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903605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3"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Form 10-K</w:t>
      </w:r>
    </w:p>
    <w:p>
      <w:pPr>
        <w:spacing w:after="0" w:line="54" w:lineRule="exact"/>
        <w:rPr>
          <w:sz w:val="24"/>
          <w:szCs w:val="24"/>
          <w:color w:val="auto"/>
        </w:rPr>
      </w:pPr>
    </w:p>
    <w:p>
      <w:pPr>
        <w:ind w:left="360" w:hanging="318"/>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ANNUAL REPORT PURSUANT TO SECTION 13 OR 15(d) OF THE SECURITIES EXCHANGE ACT OF 1934</w:t>
      </w:r>
    </w:p>
    <w:p>
      <w:pPr>
        <w:spacing w:after="0" w:line="35" w:lineRule="exact"/>
        <w:rPr>
          <w:sz w:val="24"/>
          <w:szCs w:val="24"/>
          <w:color w:val="auto"/>
        </w:rPr>
      </w:pPr>
    </w:p>
    <w:p>
      <w:pPr>
        <w:ind w:left="360"/>
        <w:spacing w:after="0"/>
        <w:tabs>
          <w:tab w:leader="none" w:pos="562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6"/>
          <w:szCs w:val="16"/>
          <w:b w:val="1"/>
          <w:bCs w:val="1"/>
          <w:color w:val="auto"/>
        </w:rPr>
        <w:t>December 31, 2020</w:t>
      </w:r>
    </w:p>
    <w:p>
      <w:pPr>
        <w:spacing w:after="0" w:line="58" w:lineRule="exact"/>
        <w:rPr>
          <w:sz w:val="24"/>
          <w:szCs w:val="24"/>
          <w:color w:val="auto"/>
        </w:rPr>
      </w:pPr>
    </w:p>
    <w:p>
      <w:pPr>
        <w:ind w:left="360" w:hanging="318"/>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5" w:lineRule="exact"/>
        <w:rPr>
          <w:sz w:val="24"/>
          <w:szCs w:val="24"/>
          <w:color w:val="auto"/>
        </w:rPr>
      </w:pPr>
    </w:p>
    <w:p>
      <w:pPr>
        <w:ind w:left="360"/>
        <w:spacing w:after="0"/>
        <w:tabs>
          <w:tab w:leader="none" w:pos="3200" w:val="left"/>
          <w:tab w:leader="none" w:pos="42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r>
        <w:rPr>
          <w:sz w:val="20"/>
          <w:szCs w:val="20"/>
          <w:color w:val="auto"/>
        </w:rPr>
        <w:tab/>
      </w:r>
      <w:r>
        <w:rPr>
          <w:rFonts w:ascii="Arial" w:cs="Arial" w:eastAsia="Arial" w:hAnsi="Arial"/>
          <w:sz w:val="13"/>
          <w:szCs w:val="13"/>
          <w:b w:val="1"/>
          <w:bCs w:val="1"/>
          <w:color w:val="auto"/>
        </w:rPr>
        <w:t>.</w:t>
      </w:r>
    </w:p>
    <w:p>
      <w:pPr>
        <w:sectPr>
          <w:pgSz w:w="11900" w:h="16838" w:orient="portrait"/>
          <w:cols w:equalWidth="0" w:num="1">
            <w:col w:w="11240"/>
          </w:cols>
          <w:pgMar w:left="320" w:top="1440" w:right="339" w:bottom="1440" w:gutter="0" w:footer="0" w:header="0"/>
          <w:type w:val="continuous"/>
        </w:sectPr>
      </w:pPr>
    </w:p>
    <w:p>
      <w:pPr>
        <w:spacing w:after="0" w:line="9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333-203369</w:t>
      </w:r>
    </w:p>
    <w:p>
      <w:pPr>
        <w:spacing w:after="0" w:line="47"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Clearway Energy LLC</w:t>
      </w:r>
    </w:p>
    <w:p>
      <w:pPr>
        <w:spacing w:after="0" w:line="137" w:lineRule="exact"/>
        <w:rPr>
          <w:sz w:val="24"/>
          <w:szCs w:val="24"/>
          <w:color w:val="auto"/>
        </w:rPr>
      </w:pPr>
    </w:p>
    <w:p>
      <w:pPr>
        <w:jc w:val="center"/>
        <w:ind w:right="-25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55"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8" w:lineRule="exact"/>
        <w:rPr>
          <w:sz w:val="24"/>
          <w:szCs w:val="24"/>
          <w:color w:val="auto"/>
        </w:rPr>
      </w:pPr>
    </w:p>
    <w:p>
      <w:pPr>
        <w:ind w:left="520"/>
        <w:spacing w:after="0"/>
        <w:rPr>
          <w:sz w:val="20"/>
          <w:szCs w:val="20"/>
          <w:color w:val="auto"/>
        </w:rPr>
      </w:pPr>
      <w:r>
        <w:rPr>
          <w:rFonts w:ascii="Arial" w:cs="Arial" w:eastAsia="Arial" w:hAnsi="Arial"/>
          <w:sz w:val="16"/>
          <w:szCs w:val="16"/>
          <w:i w:val="1"/>
          <w:iCs w:val="1"/>
          <w:color w:val="auto"/>
        </w:rPr>
        <w:t>(State or other jurisdiction of incorporation or</w:t>
      </w:r>
    </w:p>
    <w:p>
      <w:pPr>
        <w:ind w:left="1580"/>
        <w:spacing w:after="0"/>
        <w:rPr>
          <w:sz w:val="20"/>
          <w:szCs w:val="20"/>
          <w:color w:val="auto"/>
        </w:rPr>
      </w:pPr>
      <w:r>
        <w:rPr>
          <w:rFonts w:ascii="Arial" w:cs="Arial" w:eastAsia="Arial" w:hAnsi="Arial"/>
          <w:sz w:val="16"/>
          <w:szCs w:val="16"/>
          <w:i w:val="1"/>
          <w:iCs w:val="1"/>
          <w:color w:val="auto"/>
        </w:rPr>
        <w:t>organization)</w:t>
      </w:r>
    </w:p>
    <w:p>
      <w:pPr>
        <w:spacing w:after="0" w:line="14"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16"/>
          <w:szCs w:val="16"/>
          <w:b w:val="1"/>
          <w:bCs w:val="1"/>
          <w:color w:val="auto"/>
        </w:rPr>
        <w:t>300 Carnegie Center, Suite 300</w:t>
      </w:r>
      <w:r>
        <w:rPr>
          <w:sz w:val="20"/>
          <w:szCs w:val="20"/>
          <w:color w:val="auto"/>
        </w:rPr>
        <w:tab/>
      </w:r>
      <w:r>
        <w:rPr>
          <w:rFonts w:ascii="Arial" w:cs="Arial" w:eastAsia="Arial" w:hAnsi="Arial"/>
          <w:sz w:val="14"/>
          <w:szCs w:val="14"/>
          <w:b w:val="1"/>
          <w:bCs w:val="1"/>
          <w:color w:val="auto"/>
        </w:rPr>
        <w:t>Princeton</w:t>
      </w:r>
    </w:p>
    <w:p>
      <w:pPr>
        <w:spacing w:after="0" w:line="36" w:lineRule="exact"/>
        <w:rPr>
          <w:sz w:val="24"/>
          <w:szCs w:val="24"/>
          <w:color w:val="auto"/>
        </w:rPr>
      </w:pPr>
    </w:p>
    <w:p>
      <w:pPr>
        <w:ind w:left="29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New Jersey</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32-0407370</w:t>
      </w:r>
    </w:p>
    <w:p>
      <w:pPr>
        <w:spacing w:after="0" w:line="28" w:lineRule="exact"/>
        <w:rPr>
          <w:sz w:val="24"/>
          <w:szCs w:val="24"/>
          <w:color w:val="auto"/>
        </w:rPr>
      </w:pPr>
    </w:p>
    <w:p>
      <w:pPr>
        <w:jc w:val="center"/>
        <w:ind w:right="1260"/>
        <w:spacing w:after="0"/>
        <w:rPr>
          <w:sz w:val="20"/>
          <w:szCs w:val="20"/>
          <w:color w:val="auto"/>
        </w:rPr>
      </w:pPr>
      <w:r>
        <w:rPr>
          <w:rFonts w:ascii="Arial" w:cs="Arial" w:eastAsia="Arial" w:hAnsi="Arial"/>
          <w:sz w:val="16"/>
          <w:szCs w:val="16"/>
          <w:i w:val="1"/>
          <w:iCs w:val="1"/>
          <w:color w:val="auto"/>
        </w:rPr>
        <w:t>(I.R.S. Employer</w:t>
      </w:r>
    </w:p>
    <w:p>
      <w:pPr>
        <w:jc w:val="center"/>
        <w:ind w:right="1260"/>
        <w:spacing w:after="0"/>
        <w:rPr>
          <w:sz w:val="20"/>
          <w:szCs w:val="20"/>
          <w:color w:val="auto"/>
        </w:rPr>
      </w:pPr>
      <w:r>
        <w:rPr>
          <w:rFonts w:ascii="Arial" w:cs="Arial" w:eastAsia="Arial" w:hAnsi="Arial"/>
          <w:sz w:val="15"/>
          <w:szCs w:val="15"/>
          <w:i w:val="1"/>
          <w:iCs w:val="1"/>
          <w:color w:val="auto"/>
        </w:rPr>
        <w:t>Identification No.)</w:t>
      </w:r>
    </w:p>
    <w:p>
      <w:pPr>
        <w:spacing w:after="0" w:line="26"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08540</w:t>
      </w:r>
    </w:p>
    <w:p>
      <w:pPr>
        <w:spacing w:after="0" w:line="36" w:lineRule="exact"/>
        <w:rPr>
          <w:sz w:val="24"/>
          <w:szCs w:val="24"/>
          <w:color w:val="auto"/>
        </w:rPr>
      </w:pPr>
    </w:p>
    <w:p>
      <w:pPr>
        <w:jc w:val="center"/>
        <w:ind w:right="1260"/>
        <w:spacing w:after="0"/>
        <w:rPr>
          <w:sz w:val="20"/>
          <w:szCs w:val="20"/>
          <w:color w:val="auto"/>
        </w:rPr>
      </w:pPr>
      <w:r>
        <w:rPr>
          <w:rFonts w:ascii="Arial" w:cs="Arial" w:eastAsia="Arial" w:hAnsi="Arial"/>
          <w:sz w:val="16"/>
          <w:szCs w:val="16"/>
          <w:i w:val="1"/>
          <w:iCs w:val="1"/>
          <w:color w:val="auto"/>
        </w:rPr>
        <w:t>(Zip Code)</w:t>
      </w:r>
    </w:p>
    <w:p>
      <w:pPr>
        <w:spacing w:after="0" w:line="123" w:lineRule="exact"/>
        <w:rPr>
          <w:sz w:val="24"/>
          <w:szCs w:val="24"/>
          <w:color w:val="auto"/>
        </w:rPr>
      </w:pPr>
    </w:p>
    <w:p>
      <w:pPr>
        <w:sectPr>
          <w:pgSz w:w="11900" w:h="16838" w:orient="portrait"/>
          <w:cols w:equalWidth="0" w:num="3">
            <w:col w:w="5760" w:space="720"/>
            <w:col w:w="1580" w:space="720"/>
            <w:col w:w="2460"/>
          </w:cols>
          <w:pgMar w:left="320" w:top="1440" w:right="339" w:bottom="1440" w:gutter="0" w:footer="0" w:header="0"/>
          <w:type w:val="continuous"/>
        </w:sectPr>
      </w:pPr>
    </w:p>
    <w:p>
      <w:pPr>
        <w:ind w:left="5240"/>
        <w:spacing w:after="0"/>
        <w:rPr>
          <w:sz w:val="20"/>
          <w:szCs w:val="20"/>
          <w:color w:val="auto"/>
        </w:rPr>
      </w:pPr>
      <w:r>
        <w:rPr>
          <w:rFonts w:ascii="Arial" w:cs="Arial" w:eastAsia="Arial" w:hAnsi="Arial"/>
          <w:sz w:val="16"/>
          <w:szCs w:val="16"/>
          <w:b w:val="1"/>
          <w:bCs w:val="1"/>
          <w:color w:val="auto"/>
        </w:rPr>
        <w:t>(609) 608-1525</w:t>
      </w:r>
    </w:p>
    <w:p>
      <w:pPr>
        <w:spacing w:after="0" w:line="23" w:lineRule="exact"/>
        <w:rPr>
          <w:sz w:val="24"/>
          <w:szCs w:val="24"/>
          <w:color w:val="auto"/>
        </w:rPr>
      </w:pPr>
    </w:p>
    <w:p>
      <w:pPr>
        <w:ind w:left="40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5" w:lineRule="exact"/>
        <w:rPr>
          <w:sz w:val="24"/>
          <w:szCs w:val="24"/>
          <w:color w:val="auto"/>
        </w:rPr>
      </w:pPr>
    </w:p>
    <w:p>
      <w:pPr>
        <w:ind w:left="36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6" w:lineRule="exact"/>
        <w:rPr>
          <w:sz w:val="24"/>
          <w:szCs w:val="24"/>
          <w:color w:val="auto"/>
        </w:rPr>
      </w:pPr>
    </w:p>
    <w:p>
      <w:pPr>
        <w:ind w:left="260"/>
        <w:spacing w:after="0"/>
        <w:tabs>
          <w:tab w:leader="none" w:pos="7120" w:val="left"/>
          <w:tab w:leader="none" w:pos="760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13" w:lineRule="exact"/>
        <w:rPr>
          <w:sz w:val="24"/>
          <w:szCs w:val="24"/>
          <w:color w:val="auto"/>
        </w:rPr>
      </w:pPr>
    </w:p>
    <w:p>
      <w:pPr>
        <w:ind w:left="260"/>
        <w:spacing w:after="0"/>
        <w:tabs>
          <w:tab w:leader="none" w:pos="830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  Yes o</w:t>
        <w:tab/>
        <w:t>No x</w:t>
      </w:r>
    </w:p>
    <w:p>
      <w:pPr>
        <w:spacing w:after="0" w:line="121" w:lineRule="exact"/>
        <w:rPr>
          <w:sz w:val="24"/>
          <w:szCs w:val="24"/>
          <w:color w:val="auto"/>
        </w:rPr>
      </w:pPr>
    </w:p>
    <w:p>
      <w:pPr>
        <w:ind w:right="20" w:firstLine="243"/>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7" w:lineRule="exact"/>
        <w:rPr>
          <w:sz w:val="24"/>
          <w:szCs w:val="24"/>
          <w:color w:val="auto"/>
        </w:rPr>
      </w:pPr>
    </w:p>
    <w:p>
      <w:pPr>
        <w:ind w:firstLine="243"/>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7" w:lineRule="exact"/>
        <w:rPr>
          <w:sz w:val="24"/>
          <w:szCs w:val="24"/>
          <w:color w:val="auto"/>
        </w:rPr>
      </w:pPr>
    </w:p>
    <w:p>
      <w:pPr>
        <w:ind w:firstLine="243"/>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5"/>
          <w:szCs w:val="15"/>
          <w:color w:val="auto"/>
        </w:rPr>
        <w:t>.</w:t>
      </w:r>
    </w:p>
    <w:tbl>
      <w:tblPr>
        <w:tblLayout w:type="fixed"/>
        <w:tblInd w:w="1200" w:type="dxa"/>
        <w:tblCellMar>
          <w:top w:w="0" w:type="dxa"/>
          <w:left w:w="0" w:type="dxa"/>
          <w:bottom w:w="0" w:type="dxa"/>
          <w:right w:w="0" w:type="dxa"/>
        </w:tblCellMar>
      </w:tblPr>
      <w:tr>
        <w:trPr>
          <w:trHeight w:val="225"/>
        </w:trPr>
        <w:tc>
          <w:tcPr>
            <w:tcW w:w="2200" w:type="dxa"/>
            <w:vAlign w:val="bottom"/>
          </w:tcPr>
          <w:p>
            <w:pPr>
              <w:jc w:val="center"/>
              <w:ind w:right="679"/>
              <w:spacing w:after="0"/>
              <w:rPr>
                <w:sz w:val="20"/>
                <w:szCs w:val="20"/>
                <w:color w:val="auto"/>
              </w:rPr>
            </w:pPr>
            <w:r>
              <w:rPr>
                <w:rFonts w:ascii="Arial" w:cs="Arial" w:eastAsia="Arial" w:hAnsi="Arial"/>
                <w:sz w:val="16"/>
                <w:szCs w:val="16"/>
                <w:color w:val="auto"/>
                <w:w w:val="90"/>
              </w:rPr>
              <w:t>Large accelerated filer</w:t>
            </w:r>
          </w:p>
        </w:tc>
        <w:tc>
          <w:tcPr>
            <w:tcW w:w="15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600"/>
              <w:spacing w:after="0"/>
              <w:rPr>
                <w:sz w:val="20"/>
                <w:szCs w:val="20"/>
                <w:color w:val="auto"/>
              </w:rPr>
            </w:pPr>
            <w:r>
              <w:rPr>
                <w:rFonts w:ascii="Arial" w:cs="Arial" w:eastAsia="Arial" w:hAnsi="Arial"/>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200" w:type="dxa"/>
            <w:vAlign w:val="bottom"/>
          </w:tcPr>
          <w:p>
            <w:pPr>
              <w:jc w:val="center"/>
              <w:ind w:right="679"/>
              <w:spacing w:after="0"/>
              <w:rPr>
                <w:sz w:val="20"/>
                <w:szCs w:val="20"/>
                <w:color w:val="auto"/>
              </w:rPr>
            </w:pPr>
            <w:r>
              <w:rPr>
                <w:rFonts w:ascii="Arial" w:cs="Arial" w:eastAsia="Arial" w:hAnsi="Arial"/>
                <w:sz w:val="16"/>
                <w:szCs w:val="16"/>
                <w:color w:val="auto"/>
                <w:w w:val="92"/>
              </w:rPr>
              <w:t>Non-accelerated filer</w:t>
            </w:r>
          </w:p>
        </w:tc>
        <w:tc>
          <w:tcPr>
            <w:tcW w:w="15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600"/>
              <w:spacing w:after="0"/>
              <w:rPr>
                <w:sz w:val="20"/>
                <w:szCs w:val="20"/>
                <w:color w:val="auto"/>
              </w:rPr>
            </w:pPr>
            <w:r>
              <w:rPr>
                <w:rFonts w:ascii="Arial" w:cs="Arial" w:eastAsia="Arial" w:hAnsi="Arial"/>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20" w:type="dxa"/>
            <w:vAlign w:val="bottom"/>
          </w:tcPr>
          <w:p>
            <w:pPr>
              <w:ind w:left="600"/>
              <w:spacing w:after="0"/>
              <w:rPr>
                <w:sz w:val="20"/>
                <w:szCs w:val="20"/>
                <w:color w:val="auto"/>
              </w:rPr>
            </w:pPr>
            <w:r>
              <w:rPr>
                <w:rFonts w:ascii="Arial" w:cs="Arial" w:eastAsia="Arial" w:hAnsi="Arial"/>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1" w:lineRule="exact"/>
        <w:rPr>
          <w:sz w:val="24"/>
          <w:szCs w:val="24"/>
          <w:color w:val="auto"/>
        </w:rPr>
      </w:pPr>
    </w:p>
    <w:p>
      <w:pPr>
        <w:ind w:firstLine="243"/>
        <w:spacing w:after="0" w:line="26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260"/>
        <w:spacing w:after="0" w:line="161" w:lineRule="exact"/>
        <w:tabs>
          <w:tab w:leader="none" w:pos="6300" w:val="left"/>
          <w:tab w:leader="none" w:pos="68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No x</w:t>
      </w:r>
    </w:p>
    <w:p>
      <w:pPr>
        <w:spacing w:after="0" w:line="6" w:lineRule="exact"/>
        <w:rPr>
          <w:sz w:val="24"/>
          <w:szCs w:val="24"/>
          <w:color w:val="auto"/>
        </w:rPr>
      </w:pPr>
    </w:p>
    <w:p>
      <w:pPr>
        <w:ind w:firstLine="243"/>
        <w:spacing w:after="0" w:line="16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4"/>
          <w:szCs w:val="14"/>
          <w:color w:val="auto"/>
        </w:rPr>
        <w:t>Clearway Energy LLC's outstanding equity interests are held by Clearway Energy, Inc. and Clearway Energy Group LLC and there are no equity interests held by non-affiliates.</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There is no public market for the registrant's outstanding units.</w:t>
      </w:r>
    </w:p>
    <w:p>
      <w:pPr>
        <w:spacing w:after="0" w:line="42" w:lineRule="exact"/>
        <w:rPr>
          <w:sz w:val="24"/>
          <w:szCs w:val="24"/>
          <w:color w:val="auto"/>
        </w:rPr>
      </w:pPr>
    </w:p>
    <w:tbl>
      <w:tblPr>
        <w:tblLayout w:type="fixed"/>
        <w:tblInd w:w="3100" w:type="dxa"/>
        <w:tblCellMar>
          <w:top w:w="0" w:type="dxa"/>
          <w:left w:w="0" w:type="dxa"/>
          <w:bottom w:w="0" w:type="dxa"/>
          <w:right w:w="0" w:type="dxa"/>
        </w:tblCellMar>
      </w:tblPr>
      <w:tr>
        <w:trPr>
          <w:trHeight w:val="164"/>
        </w:trPr>
        <w:tc>
          <w:tcPr>
            <w:tcW w:w="2380" w:type="dxa"/>
            <w:vAlign w:val="bottom"/>
          </w:tcPr>
          <w:p>
            <w:pPr>
              <w:jc w:val="center"/>
              <w:ind w:right="1637"/>
              <w:spacing w:after="0"/>
              <w:rPr>
                <w:sz w:val="20"/>
                <w:szCs w:val="20"/>
                <w:color w:val="auto"/>
              </w:rPr>
            </w:pPr>
            <w:r>
              <w:rPr>
                <w:rFonts w:ascii="Arial" w:cs="Arial" w:eastAsia="Arial" w:hAnsi="Arial"/>
                <w:sz w:val="13"/>
                <w:szCs w:val="13"/>
                <w:b w:val="1"/>
                <w:bCs w:val="1"/>
                <w:color w:val="auto"/>
                <w:w w:val="80"/>
              </w:rPr>
              <w:t>Class</w:t>
            </w:r>
          </w:p>
        </w:tc>
        <w:tc>
          <w:tcPr>
            <w:tcW w:w="3440" w:type="dxa"/>
            <w:vAlign w:val="bottom"/>
          </w:tcPr>
          <w:p>
            <w:pPr>
              <w:jc w:val="center"/>
              <w:ind w:left="1617"/>
              <w:spacing w:after="0"/>
              <w:rPr>
                <w:sz w:val="20"/>
                <w:szCs w:val="20"/>
                <w:color w:val="auto"/>
              </w:rPr>
            </w:pPr>
            <w:r>
              <w:rPr>
                <w:rFonts w:ascii="Arial" w:cs="Arial" w:eastAsia="Arial" w:hAnsi="Arial"/>
                <w:sz w:val="13"/>
                <w:szCs w:val="13"/>
                <w:b w:val="1"/>
                <w:bCs w:val="1"/>
                <w:color w:val="auto"/>
                <w:w w:val="88"/>
              </w:rPr>
              <w:t>Outstanding at January 31, 2021</w:t>
            </w:r>
          </w:p>
        </w:tc>
      </w:tr>
      <w:tr>
        <w:trPr>
          <w:trHeight w:val="175"/>
        </w:trPr>
        <w:tc>
          <w:tcPr>
            <w:tcW w:w="2380" w:type="dxa"/>
            <w:vAlign w:val="bottom"/>
          </w:tcPr>
          <w:p>
            <w:pPr>
              <w:jc w:val="center"/>
              <w:ind w:right="1617"/>
              <w:spacing w:after="0"/>
              <w:rPr>
                <w:sz w:val="20"/>
                <w:szCs w:val="20"/>
                <w:color w:val="auto"/>
              </w:rPr>
            </w:pPr>
            <w:r>
              <w:rPr>
                <w:rFonts w:ascii="Arial" w:cs="Arial" w:eastAsia="Arial" w:hAnsi="Arial"/>
                <w:sz w:val="13"/>
                <w:szCs w:val="13"/>
                <w:color w:val="auto"/>
                <w:w w:val="89"/>
              </w:rPr>
              <w:t>Class A Units</w:t>
            </w:r>
          </w:p>
        </w:tc>
        <w:tc>
          <w:tcPr>
            <w:tcW w:w="3440" w:type="dxa"/>
            <w:vAlign w:val="bottom"/>
          </w:tcPr>
          <w:p>
            <w:pPr>
              <w:jc w:val="center"/>
              <w:ind w:left="1617"/>
              <w:spacing w:after="0"/>
              <w:rPr>
                <w:sz w:val="20"/>
                <w:szCs w:val="20"/>
                <w:color w:val="auto"/>
              </w:rPr>
            </w:pPr>
            <w:r>
              <w:rPr>
                <w:rFonts w:ascii="Arial" w:cs="Arial" w:eastAsia="Arial" w:hAnsi="Arial"/>
                <w:sz w:val="13"/>
                <w:szCs w:val="13"/>
                <w:color w:val="auto"/>
                <w:w w:val="86"/>
              </w:rPr>
              <w:t>34,599,645</w:t>
            </w:r>
          </w:p>
        </w:tc>
      </w:tr>
      <w:tr>
        <w:trPr>
          <w:trHeight w:val="175"/>
        </w:trPr>
        <w:tc>
          <w:tcPr>
            <w:tcW w:w="2380" w:type="dxa"/>
            <w:vAlign w:val="bottom"/>
          </w:tcPr>
          <w:p>
            <w:pPr>
              <w:jc w:val="center"/>
              <w:ind w:right="1617"/>
              <w:spacing w:after="0"/>
              <w:rPr>
                <w:sz w:val="20"/>
                <w:szCs w:val="20"/>
                <w:color w:val="auto"/>
              </w:rPr>
            </w:pPr>
            <w:r>
              <w:rPr>
                <w:rFonts w:ascii="Arial" w:cs="Arial" w:eastAsia="Arial" w:hAnsi="Arial"/>
                <w:sz w:val="13"/>
                <w:szCs w:val="13"/>
                <w:color w:val="auto"/>
                <w:w w:val="89"/>
              </w:rPr>
              <w:t>Class B Units</w:t>
            </w:r>
          </w:p>
        </w:tc>
        <w:tc>
          <w:tcPr>
            <w:tcW w:w="3440" w:type="dxa"/>
            <w:vAlign w:val="bottom"/>
          </w:tcPr>
          <w:p>
            <w:pPr>
              <w:jc w:val="center"/>
              <w:ind w:left="1617"/>
              <w:spacing w:after="0"/>
              <w:rPr>
                <w:sz w:val="20"/>
                <w:szCs w:val="20"/>
                <w:color w:val="auto"/>
              </w:rPr>
            </w:pPr>
            <w:r>
              <w:rPr>
                <w:rFonts w:ascii="Arial" w:cs="Arial" w:eastAsia="Arial" w:hAnsi="Arial"/>
                <w:sz w:val="13"/>
                <w:szCs w:val="13"/>
                <w:color w:val="auto"/>
                <w:w w:val="86"/>
              </w:rPr>
              <w:t>42,738,750</w:t>
            </w:r>
          </w:p>
        </w:tc>
      </w:tr>
      <w:tr>
        <w:trPr>
          <w:trHeight w:val="175"/>
        </w:trPr>
        <w:tc>
          <w:tcPr>
            <w:tcW w:w="2380" w:type="dxa"/>
            <w:vAlign w:val="bottom"/>
          </w:tcPr>
          <w:p>
            <w:pPr>
              <w:jc w:val="center"/>
              <w:ind w:right="1617"/>
              <w:spacing w:after="0"/>
              <w:rPr>
                <w:sz w:val="20"/>
                <w:szCs w:val="20"/>
                <w:color w:val="auto"/>
              </w:rPr>
            </w:pPr>
            <w:r>
              <w:rPr>
                <w:rFonts w:ascii="Arial" w:cs="Arial" w:eastAsia="Arial" w:hAnsi="Arial"/>
                <w:sz w:val="13"/>
                <w:szCs w:val="13"/>
                <w:color w:val="auto"/>
                <w:w w:val="88"/>
              </w:rPr>
              <w:t>Class C Units</w:t>
            </w:r>
          </w:p>
        </w:tc>
        <w:tc>
          <w:tcPr>
            <w:tcW w:w="3440" w:type="dxa"/>
            <w:vAlign w:val="bottom"/>
          </w:tcPr>
          <w:p>
            <w:pPr>
              <w:jc w:val="center"/>
              <w:ind w:left="1617"/>
              <w:spacing w:after="0"/>
              <w:rPr>
                <w:sz w:val="20"/>
                <w:szCs w:val="20"/>
                <w:color w:val="auto"/>
              </w:rPr>
            </w:pPr>
            <w:r>
              <w:rPr>
                <w:rFonts w:ascii="Arial" w:cs="Arial" w:eastAsia="Arial" w:hAnsi="Arial"/>
                <w:sz w:val="13"/>
                <w:szCs w:val="13"/>
                <w:color w:val="auto"/>
                <w:w w:val="86"/>
              </w:rPr>
              <w:t>81,635,540</w:t>
            </w:r>
          </w:p>
        </w:tc>
      </w:tr>
      <w:tr>
        <w:trPr>
          <w:trHeight w:val="175"/>
        </w:trPr>
        <w:tc>
          <w:tcPr>
            <w:tcW w:w="2380" w:type="dxa"/>
            <w:vAlign w:val="bottom"/>
          </w:tcPr>
          <w:p>
            <w:pPr>
              <w:jc w:val="center"/>
              <w:ind w:right="1617"/>
              <w:spacing w:after="0"/>
              <w:rPr>
                <w:sz w:val="20"/>
                <w:szCs w:val="20"/>
                <w:color w:val="auto"/>
              </w:rPr>
            </w:pPr>
            <w:r>
              <w:rPr>
                <w:rFonts w:ascii="Arial" w:cs="Arial" w:eastAsia="Arial" w:hAnsi="Arial"/>
                <w:sz w:val="13"/>
                <w:szCs w:val="13"/>
                <w:color w:val="auto"/>
                <w:w w:val="88"/>
              </w:rPr>
              <w:t>Class D Units</w:t>
            </w:r>
          </w:p>
        </w:tc>
        <w:tc>
          <w:tcPr>
            <w:tcW w:w="3440" w:type="dxa"/>
            <w:vAlign w:val="bottom"/>
          </w:tcPr>
          <w:p>
            <w:pPr>
              <w:jc w:val="center"/>
              <w:ind w:left="1617"/>
              <w:spacing w:after="0"/>
              <w:rPr>
                <w:sz w:val="20"/>
                <w:szCs w:val="20"/>
                <w:color w:val="auto"/>
              </w:rPr>
            </w:pPr>
            <w:r>
              <w:rPr>
                <w:rFonts w:ascii="Arial" w:cs="Arial" w:eastAsia="Arial" w:hAnsi="Arial"/>
                <w:sz w:val="13"/>
                <w:szCs w:val="13"/>
                <w:color w:val="auto"/>
                <w:w w:val="86"/>
              </w:rPr>
              <w:t>42,738,750</w:t>
            </w:r>
          </w:p>
        </w:tc>
      </w:tr>
    </w:tbl>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45720</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19685</wp:posOffset>
            </wp:positionV>
            <wp:extent cx="6926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96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8"/>
                <w:szCs w:val="18"/>
                <w:color w:val="auto"/>
              </w:rPr>
            </w:pPr>
          </w:p>
        </w:tc>
      </w:tr>
      <w:tr>
        <w:trPr>
          <w:trHeight w:val="234"/>
        </w:trPr>
        <w:tc>
          <w:tcPr>
            <w:tcW w:w="9960" w:type="dxa"/>
            <w:vAlign w:val="bottom"/>
          </w:tcPr>
          <w:p>
            <w:pPr>
              <w:ind w:left="5380"/>
              <w:spacing w:after="0"/>
              <w:rPr>
                <w:sz w:val="20"/>
                <w:szCs w:val="20"/>
                <w:color w:val="auto"/>
              </w:rPr>
            </w:pPr>
            <w:r>
              <w:rPr>
                <w:rFonts w:ascii="Arial" w:cs="Arial" w:eastAsia="Arial" w:hAnsi="Arial"/>
                <w:sz w:val="18"/>
                <w:szCs w:val="18"/>
                <w:b w:val="1"/>
                <w:bCs w:val="1"/>
                <w:color w:val="auto"/>
              </w:rPr>
              <w:t>Index</w:t>
            </w:r>
          </w:p>
        </w:tc>
        <w:tc>
          <w:tcPr>
            <w:tcW w:w="1220" w:type="dxa"/>
            <w:vAlign w:val="bottom"/>
          </w:tcPr>
          <w:p>
            <w:pPr>
              <w:spacing w:after="0"/>
              <w:rPr>
                <w:sz w:val="20"/>
                <w:szCs w:val="20"/>
                <w:color w:val="auto"/>
              </w:rPr>
            </w:pPr>
          </w:p>
        </w:tc>
      </w:tr>
      <w:tr>
        <w:trPr>
          <w:trHeight w:val="252"/>
        </w:trPr>
        <w:tc>
          <w:tcPr>
            <w:tcW w:w="9960" w:type="dxa"/>
            <w:vAlign w:val="bottom"/>
          </w:tcPr>
          <w:p>
            <w:pPr>
              <w:spacing w:after="0"/>
              <w:rPr>
                <w:sz w:val="20"/>
                <w:szCs w:val="20"/>
                <w:color w:val="auto"/>
              </w:rPr>
            </w:pPr>
            <w:r>
              <w:rPr>
                <w:rFonts w:ascii="Arial" w:cs="Arial" w:eastAsia="Arial" w:hAnsi="Arial"/>
                <w:sz w:val="18"/>
                <w:szCs w:val="18"/>
                <w:color w:val="auto"/>
              </w:rPr>
              <w:t>GLOSSARY OF TERMS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3</w:t>
              </w:r>
            </w:hyperlink>
          </w:p>
        </w:tc>
      </w:tr>
      <w:tr>
        <w:trPr>
          <w:trHeight w:val="229"/>
        </w:trPr>
        <w:tc>
          <w:tcPr>
            <w:tcW w:w="99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6</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1 — Business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6</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1A — Risk Factors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15">
              <w:r>
                <w:rPr>
                  <w:rFonts w:ascii="Arial" w:cs="Arial" w:eastAsia="Arial" w:hAnsi="Arial"/>
                  <w:sz w:val="18"/>
                  <w:szCs w:val="18"/>
                  <w:b w:val="1"/>
                  <w:bCs w:val="1"/>
                  <w:u w:val="single" w:color="auto"/>
                  <w:color w:val="0000FF"/>
                </w:rPr>
                <w:t>16</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1B — Unresolved Staff Comments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33</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2 — Properties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34</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3 — Legal Proceedings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37</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4 — Mine Safety Disclosures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37</w:t>
              </w:r>
            </w:hyperlink>
          </w:p>
        </w:tc>
      </w:tr>
      <w:tr>
        <w:trPr>
          <w:trHeight w:val="230"/>
        </w:trPr>
        <w:tc>
          <w:tcPr>
            <w:tcW w:w="9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38</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5 — Market for Registrant's Common Equity, Related Stockholder Matters and Issuer Purchases of Equity Securities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38</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6 — Selected Financial Data</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39</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7 — Management's Discussion and Analysis of Financial Condition and Results of Operations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40</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7A — Quantitative and Qualitative Disclosures About Market Risk</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63</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8 — Financial Statements and Supplementary Data</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64</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9 — Changes in Disagreements With Accountants on Accounting and Financial Disclosure</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65</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9A — Controls and Procedures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65</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9B — Other Information</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65</w:t>
              </w:r>
            </w:hyperlink>
          </w:p>
        </w:tc>
      </w:tr>
      <w:tr>
        <w:trPr>
          <w:trHeight w:val="229"/>
        </w:trPr>
        <w:tc>
          <w:tcPr>
            <w:tcW w:w="9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66</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10 — Directors, Executive Officers and Corporate Governance</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6">
              <w:r>
                <w:rPr>
                  <w:rFonts w:ascii="Arial" w:cs="Arial" w:eastAsia="Arial" w:hAnsi="Arial"/>
                  <w:sz w:val="18"/>
                  <w:szCs w:val="18"/>
                  <w:b w:val="1"/>
                  <w:bCs w:val="1"/>
                  <w:u w:val="single" w:color="auto"/>
                  <w:color w:val="0000FF"/>
                </w:rPr>
                <w:t>66</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11 — Executive Compensation</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66">
              <w:r>
                <w:rPr>
                  <w:rFonts w:ascii="Arial" w:cs="Arial" w:eastAsia="Arial" w:hAnsi="Arial"/>
                  <w:sz w:val="18"/>
                  <w:szCs w:val="18"/>
                  <w:b w:val="1"/>
                  <w:bCs w:val="1"/>
                  <w:u w:val="single" w:color="auto"/>
                  <w:color w:val="0000FF"/>
                </w:rPr>
                <w:t>67</w:t>
              </w:r>
            </w:hyperlink>
          </w:p>
        </w:tc>
      </w:tr>
      <w:tr>
        <w:trPr>
          <w:trHeight w:val="229"/>
        </w:trPr>
        <w:tc>
          <w:tcPr>
            <w:tcW w:w="9960" w:type="dxa"/>
            <w:vAlign w:val="bottom"/>
          </w:tcPr>
          <w:p>
            <w:pPr>
              <w:ind w:left="200"/>
              <w:spacing w:after="0"/>
              <w:rPr>
                <w:sz w:val="20"/>
                <w:szCs w:val="20"/>
                <w:color w:val="auto"/>
              </w:rPr>
            </w:pPr>
            <w:r>
              <w:rPr>
                <w:rFonts w:ascii="Arial" w:cs="Arial" w:eastAsia="Arial" w:hAnsi="Arial"/>
                <w:sz w:val="18"/>
                <w:szCs w:val="18"/>
                <w:color w:val="auto"/>
              </w:rPr>
              <w:t>Item 12 — Security Ownership of Certain Beneficial Owners and Management and Related Stockholder Matters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82">
              <w:r>
                <w:rPr>
                  <w:rFonts w:ascii="Arial" w:cs="Arial" w:eastAsia="Arial" w:hAnsi="Arial"/>
                  <w:sz w:val="18"/>
                  <w:szCs w:val="18"/>
                  <w:b w:val="1"/>
                  <w:bCs w:val="1"/>
                  <w:u w:val="single" w:color="auto"/>
                  <w:color w:val="0000FF"/>
                </w:rPr>
                <w:t>83</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13 — Certain Relationships and Related Transactions, and Director Independence</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84">
              <w:r>
                <w:rPr>
                  <w:rFonts w:ascii="Arial" w:cs="Arial" w:eastAsia="Arial" w:hAnsi="Arial"/>
                  <w:sz w:val="18"/>
                  <w:szCs w:val="18"/>
                  <w:b w:val="1"/>
                  <w:bCs w:val="1"/>
                  <w:u w:val="single" w:color="auto"/>
                  <w:color w:val="0000FF"/>
                </w:rPr>
                <w:t>84</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14 — Principal Accounting Fees and Services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93</w:t>
              </w:r>
            </w:hyperlink>
          </w:p>
        </w:tc>
      </w:tr>
      <w:tr>
        <w:trPr>
          <w:trHeight w:val="230"/>
        </w:trPr>
        <w:tc>
          <w:tcPr>
            <w:tcW w:w="9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93">
              <w:r>
                <w:rPr>
                  <w:rFonts w:ascii="Arial" w:cs="Arial" w:eastAsia="Arial" w:hAnsi="Arial"/>
                  <w:sz w:val="18"/>
                  <w:szCs w:val="18"/>
                  <w:b w:val="1"/>
                  <w:bCs w:val="1"/>
                  <w:u w:val="single" w:color="auto"/>
                  <w:color w:val="0000FF"/>
                </w:rPr>
                <w:t>94</w:t>
              </w:r>
            </w:hyperlink>
          </w:p>
        </w:tc>
      </w:tr>
      <w:tr>
        <w:trPr>
          <w:trHeight w:val="230"/>
        </w:trPr>
        <w:tc>
          <w:tcPr>
            <w:tcW w:w="9960" w:type="dxa"/>
            <w:vAlign w:val="bottom"/>
          </w:tcPr>
          <w:p>
            <w:pPr>
              <w:ind w:left="200"/>
              <w:spacing w:after="0"/>
              <w:rPr>
                <w:sz w:val="20"/>
                <w:szCs w:val="20"/>
                <w:color w:val="auto"/>
              </w:rPr>
            </w:pPr>
            <w:r>
              <w:rPr>
                <w:rFonts w:ascii="Arial" w:cs="Arial" w:eastAsia="Arial" w:hAnsi="Arial"/>
                <w:sz w:val="18"/>
                <w:szCs w:val="18"/>
                <w:color w:val="auto"/>
              </w:rPr>
              <w:t>Item 15 — Exhibits, Financial Statement Schedules</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94">
              <w:r>
                <w:rPr>
                  <w:rFonts w:ascii="Arial" w:cs="Arial" w:eastAsia="Arial" w:hAnsi="Arial"/>
                  <w:sz w:val="18"/>
                  <w:szCs w:val="18"/>
                  <w:b w:val="1"/>
                  <w:bCs w:val="1"/>
                  <w:u w:val="single" w:color="auto"/>
                  <w:color w:val="0000FF"/>
                </w:rPr>
                <w:t>94</w:t>
              </w:r>
            </w:hyperlink>
          </w:p>
        </w:tc>
      </w:tr>
      <w:tr>
        <w:trPr>
          <w:trHeight w:val="229"/>
        </w:trPr>
        <w:tc>
          <w:tcPr>
            <w:tcW w:w="996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152">
              <w:r>
                <w:rPr>
                  <w:rFonts w:ascii="Arial" w:cs="Arial" w:eastAsia="Arial" w:hAnsi="Arial"/>
                  <w:sz w:val="18"/>
                  <w:szCs w:val="18"/>
                  <w:b w:val="1"/>
                  <w:bCs w:val="1"/>
                  <w:u w:val="single" w:color="auto"/>
                  <w:color w:val="0000FF"/>
                </w:rPr>
                <w:t>153</w:t>
              </w:r>
            </w:hyperlink>
          </w:p>
        </w:tc>
      </w:tr>
      <w:tr>
        <w:trPr>
          <w:trHeight w:val="234"/>
        </w:trPr>
        <w:tc>
          <w:tcPr>
            <w:tcW w:w="9960" w:type="dxa"/>
            <w:vAlign w:val="bottom"/>
          </w:tcPr>
          <w:p>
            <w:pPr>
              <w:ind w:left="200"/>
              <w:spacing w:after="0"/>
              <w:rPr>
                <w:sz w:val="20"/>
                <w:szCs w:val="20"/>
                <w:color w:val="auto"/>
              </w:rPr>
            </w:pPr>
            <w:r>
              <w:rPr>
                <w:rFonts w:ascii="Arial" w:cs="Arial" w:eastAsia="Arial" w:hAnsi="Arial"/>
                <w:sz w:val="18"/>
                <w:szCs w:val="18"/>
                <w:color w:val="auto"/>
              </w:rPr>
              <w:t>Item 16 — Form 10-K Summary</w:t>
            </w:r>
          </w:p>
        </w:tc>
        <w:tc>
          <w:tcPr>
            <w:tcW w:w="1220" w:type="dxa"/>
            <w:vAlign w:val="bottom"/>
          </w:tcPr>
          <w:p>
            <w:pPr>
              <w:jc w:val="right"/>
              <w:spacing w:after="0"/>
              <w:rPr>
                <w:rFonts w:ascii="Arial" w:cs="Arial" w:eastAsia="Arial" w:hAnsi="Arial"/>
                <w:sz w:val="18"/>
                <w:szCs w:val="18"/>
                <w:b w:val="1"/>
                <w:bCs w:val="1"/>
                <w:u w:val="single" w:color="auto"/>
                <w:color w:val="0000FF"/>
              </w:rPr>
            </w:pPr>
            <w:hyperlink w:anchor="page160">
              <w:r>
                <w:rPr>
                  <w:rFonts w:ascii="Arial" w:cs="Arial" w:eastAsia="Arial" w:hAnsi="Arial"/>
                  <w:sz w:val="18"/>
                  <w:szCs w:val="18"/>
                  <w:b w:val="1"/>
                  <w:bCs w:val="1"/>
                  <w:u w:val="single" w:color="auto"/>
                  <w:color w:val="0000FF"/>
                </w:rPr>
                <w:t>160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21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8460" w:type="dxa"/>
            <w:vAlign w:val="bottom"/>
          </w:tcPr>
          <w:p>
            <w:pPr>
              <w:ind w:left="186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30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2020 Convertible Notes</w:t>
            </w:r>
          </w:p>
        </w:tc>
        <w:tc>
          <w:tcPr>
            <w:tcW w:w="8460" w:type="dxa"/>
            <w:vAlign w:val="bottom"/>
          </w:tcPr>
          <w:p>
            <w:pPr>
              <w:ind w:left="220"/>
              <w:spacing w:after="0" w:line="202" w:lineRule="exact"/>
              <w:rPr>
                <w:sz w:val="20"/>
                <w:szCs w:val="20"/>
                <w:color w:val="auto"/>
              </w:rPr>
            </w:pPr>
            <w:r>
              <w:rPr>
                <w:rFonts w:ascii="Arial" w:cs="Arial" w:eastAsia="Arial" w:hAnsi="Arial"/>
                <w:sz w:val="18"/>
                <w:szCs w:val="18"/>
                <w:color w:val="auto"/>
                <w:w w:val="93"/>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which were repaid on June 1, 2020</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2024 Senior Notes</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0"/>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Operating LLC, which were repaid on January 3,2020</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2025 Senior Notes</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0"/>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2026 Senior Notes</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1"/>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2028 Senior Notes</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1"/>
              </w:rPr>
              <w:t>$850 million aggregate principal amount of 4.75% unsecured senior notes due 2028, issued by Clearway Energy</w:t>
            </w:r>
          </w:p>
        </w:tc>
        <w:tc>
          <w:tcPr>
            <w:tcW w:w="0" w:type="dxa"/>
            <w:vAlign w:val="bottom"/>
          </w:tcPr>
          <w:p>
            <w:pPr>
              <w:spacing w:after="0"/>
              <w:rPr>
                <w:sz w:val="1"/>
                <w:szCs w:val="1"/>
                <w:color w:val="auto"/>
              </w:rPr>
            </w:pPr>
          </w:p>
        </w:tc>
      </w:tr>
      <w:tr>
        <w:trPr>
          <w:trHeight w:val="230"/>
        </w:trPr>
        <w:tc>
          <w:tcPr>
            <w:tcW w:w="278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846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14"/>
        </w:trPr>
        <w:tc>
          <w:tcPr>
            <w:tcW w:w="2780" w:type="dxa"/>
            <w:vAlign w:val="bottom"/>
            <w:vMerge w:val="continue"/>
          </w:tcPr>
          <w:p>
            <w:pPr>
              <w:spacing w:after="0"/>
              <w:rPr>
                <w:sz w:val="18"/>
                <w:szCs w:val="18"/>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w w:val="91"/>
              </w:rPr>
              <w:t>A non-GAAP measure, represents earnings before interest, tax, depreciation and amortization adjusted for mark-</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8460" w:type="dxa"/>
            <w:vAlign w:val="bottom"/>
          </w:tcPr>
          <w:p>
            <w:pPr>
              <w:ind w:left="220"/>
              <w:spacing w:after="0" w:line="202"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indicative of future operating performance</w:t>
            </w:r>
          </w:p>
        </w:tc>
        <w:tc>
          <w:tcPr>
            <w:tcW w:w="0" w:type="dxa"/>
            <w:vAlign w:val="bottom"/>
          </w:tcPr>
          <w:p>
            <w:pPr>
              <w:spacing w:after="0"/>
              <w:rPr>
                <w:sz w:val="1"/>
                <w:szCs w:val="1"/>
                <w:color w:val="auto"/>
              </w:rPr>
            </w:pPr>
          </w:p>
        </w:tc>
      </w:tr>
      <w:tr>
        <w:trPr>
          <w:trHeight w:val="242"/>
        </w:trPr>
        <w:tc>
          <w:tcPr>
            <w:tcW w:w="2780" w:type="dxa"/>
            <w:vAlign w:val="bottom"/>
          </w:tcPr>
          <w:p>
            <w:pPr>
              <w:ind w:left="20"/>
              <w:spacing w:after="0"/>
              <w:rPr>
                <w:sz w:val="20"/>
                <w:szCs w:val="20"/>
                <w:color w:val="auto"/>
              </w:rPr>
            </w:pPr>
            <w:r>
              <w:rPr>
                <w:rFonts w:ascii="Arial" w:cs="Arial" w:eastAsia="Arial" w:hAnsi="Arial"/>
                <w:sz w:val="18"/>
                <w:szCs w:val="18"/>
                <w:color w:val="auto"/>
              </w:rPr>
              <w:t>ARO</w:t>
            </w:r>
          </w:p>
        </w:tc>
        <w:tc>
          <w:tcPr>
            <w:tcW w:w="8460" w:type="dxa"/>
            <w:vAlign w:val="bottom"/>
          </w:tcPr>
          <w:p>
            <w:pPr>
              <w:ind w:left="220"/>
              <w:spacing w:after="0"/>
              <w:rPr>
                <w:sz w:val="20"/>
                <w:szCs w:val="20"/>
                <w:color w:val="auto"/>
              </w:rPr>
            </w:pPr>
            <w:r>
              <w:rPr>
                <w:rFonts w:ascii="Arial" w:cs="Arial" w:eastAsia="Arial" w:hAnsi="Arial"/>
                <w:sz w:val="18"/>
                <w:szCs w:val="18"/>
                <w:color w:val="auto"/>
              </w:rPr>
              <w:t>Asset Retirement Obligation</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ASC</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ASU</w:t>
            </w:r>
          </w:p>
        </w:tc>
        <w:tc>
          <w:tcPr>
            <w:tcW w:w="846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ATM Programs</w:t>
            </w:r>
          </w:p>
        </w:tc>
        <w:tc>
          <w:tcPr>
            <w:tcW w:w="8460" w:type="dxa"/>
            <w:vAlign w:val="bottom"/>
          </w:tcPr>
          <w:p>
            <w:pPr>
              <w:ind w:left="220"/>
              <w:spacing w:after="0"/>
              <w:rPr>
                <w:sz w:val="20"/>
                <w:szCs w:val="20"/>
                <w:color w:val="auto"/>
              </w:rPr>
            </w:pPr>
            <w:r>
              <w:rPr>
                <w:rFonts w:ascii="Arial" w:cs="Arial" w:eastAsia="Arial" w:hAnsi="Arial"/>
                <w:sz w:val="18"/>
                <w:szCs w:val="18"/>
                <w:color w:val="auto"/>
              </w:rPr>
              <w:t>At-The-Market Equity Offering Programs</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Bankruptcy Code</w:t>
            </w:r>
          </w:p>
        </w:tc>
        <w:tc>
          <w:tcPr>
            <w:tcW w:w="8460" w:type="dxa"/>
            <w:vAlign w:val="bottom"/>
          </w:tcPr>
          <w:p>
            <w:pPr>
              <w:ind w:left="220"/>
              <w:spacing w:after="0"/>
              <w:rPr>
                <w:sz w:val="20"/>
                <w:szCs w:val="20"/>
                <w:color w:val="auto"/>
              </w:rPr>
            </w:pPr>
            <w:r>
              <w:rPr>
                <w:rFonts w:ascii="Arial" w:cs="Arial" w:eastAsia="Arial" w:hAnsi="Arial"/>
                <w:sz w:val="18"/>
                <w:szCs w:val="18"/>
                <w:color w:val="auto"/>
              </w:rPr>
              <w:t>Title 11 of the U.S. Code</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Bankruptcy Court</w:t>
            </w:r>
          </w:p>
        </w:tc>
        <w:tc>
          <w:tcPr>
            <w:tcW w:w="8460" w:type="dxa"/>
            <w:vAlign w:val="bottom"/>
          </w:tcPr>
          <w:p>
            <w:pPr>
              <w:ind w:left="220"/>
              <w:spacing w:after="0"/>
              <w:rPr>
                <w:sz w:val="20"/>
                <w:szCs w:val="20"/>
                <w:color w:val="auto"/>
              </w:rPr>
            </w:pPr>
            <w:r>
              <w:rPr>
                <w:rFonts w:ascii="Arial" w:cs="Arial" w:eastAsia="Arial" w:hAnsi="Arial"/>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Buckthorn Solar Drop Down Asset</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7"/>
              </w:rPr>
              <w:t>Buckthorn Renewables, LLC, which owns 100% of Buckthorn Solar Portfolio, LLC, which was acquired by</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Clearway Energy Operating LLC from NRG on March 30, 2018</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CAFD</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2"/>
              </w:rPr>
              <w:t>A non-GAAP measure, Cash Available for Distribution is defined as of December 31, 2020 as Adjusted EBITDA</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rPr>
              <w:t>plus cash distributions/return of investment from unconsolidated affiliates, adjustments to reflect CAFD</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7"/>
              </w:rPr>
              <w:t>generated by unconsolidated investments that were not able to distribute project dividends prior to PG&amp;E's</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2"/>
              </w:rPr>
              <w:t>emergence from bankruptcy on July 1, 2020 and subsequent release post-bankruptcy, cash receipts from notes</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0"/>
              </w:rPr>
              <w:t>receivable, cash distributions from noncontrolling interests, adjustments to reflect sales-type lease cash payments,</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3"/>
              </w:rPr>
              <w:t>less cash distributions to noncontrolling interests, maintenance capital expenditures, pro-rata Adjusted EBITDA</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5"/>
              </w:rPr>
              <w:t>from unconsolidated affiliates, cash interest paid, income taxes paid, principal amortization of indebtedness,</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7"/>
              </w:rPr>
              <w:t>Walnut Creek investment payments, changes in prepaid and accrued capacity payments, and adjusted for</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development expenses.</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Carlsbad Drop Down</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4"/>
              </w:rPr>
              <w:t>The acquisition by the Company of the Carlsbad Energy Center, a 527 MW natural gas fired project located in</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Carlsbad, CA</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CEG</w:t>
            </w:r>
          </w:p>
        </w:tc>
        <w:tc>
          <w:tcPr>
            <w:tcW w:w="8460" w:type="dxa"/>
            <w:vAlign w:val="bottom"/>
          </w:tcPr>
          <w:p>
            <w:pPr>
              <w:ind w:left="22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CEG Master Services Agreement</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and Clearway Energy Operating LLC, and CEG</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CEG ROFO Agreement</w:t>
            </w: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5"/>
              </w:rPr>
              <w:t>Right of First Offer Agreement, entered into as of August 31, 2018, by and between Clearway Energy Group</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6"/>
              </w:rPr>
              <w:t>LLC and Clearway Energy, Inc., and solely for purposes of Section 2.4, GIP III Zephyr Acquisition Partners,</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4"/>
              </w:rPr>
              <w:t>L.P., as amended by the First Amendment dated February 14, 2019, the Second Amendment dated August 1,</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w w:val="96"/>
              </w:rPr>
              <w:t>2019, the Third Amendment dated December 6, 2019 and the Fourth Amendment dated November 2, 2020</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Clearway, Inc.</w:t>
            </w:r>
          </w:p>
        </w:tc>
        <w:tc>
          <w:tcPr>
            <w:tcW w:w="8460" w:type="dxa"/>
            <w:vAlign w:val="bottom"/>
          </w:tcPr>
          <w:p>
            <w:pPr>
              <w:ind w:left="220"/>
              <w:spacing w:after="0"/>
              <w:rPr>
                <w:sz w:val="20"/>
                <w:szCs w:val="20"/>
                <w:color w:val="auto"/>
              </w:rPr>
            </w:pPr>
            <w:r>
              <w:rPr>
                <w:rFonts w:ascii="Arial" w:cs="Arial" w:eastAsia="Arial" w:hAnsi="Arial"/>
                <w:sz w:val="18"/>
                <w:szCs w:val="18"/>
                <w:color w:val="auto"/>
              </w:rPr>
              <w:t>Clearway Energy, Inc., the holder of the Company's Class A and Class C units</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Clearway Energy Group LLC</w:t>
            </w:r>
          </w:p>
        </w:tc>
        <w:tc>
          <w:tcPr>
            <w:tcW w:w="8460" w:type="dxa"/>
            <w:vAlign w:val="bottom"/>
          </w:tcPr>
          <w:p>
            <w:pPr>
              <w:ind w:left="220"/>
              <w:spacing w:after="0"/>
              <w:rPr>
                <w:sz w:val="20"/>
                <w:szCs w:val="20"/>
                <w:color w:val="auto"/>
              </w:rPr>
            </w:pPr>
            <w:r>
              <w:rPr>
                <w:rFonts w:ascii="Arial" w:cs="Arial" w:eastAsia="Arial" w:hAnsi="Arial"/>
                <w:sz w:val="18"/>
                <w:szCs w:val="18"/>
                <w:color w:val="auto"/>
                <w:w w:val="90"/>
              </w:rPr>
              <w:t>The holder of Clearway, Inc.'s Class B and Class D common shares and the Company's Class B and Class D units</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460" w:type="dxa"/>
            <w:vAlign w:val="bottom"/>
          </w:tcPr>
          <w:p>
            <w:pPr>
              <w:ind w:left="22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COD</w:t>
            </w:r>
          </w:p>
        </w:tc>
        <w:tc>
          <w:tcPr>
            <w:tcW w:w="8460" w:type="dxa"/>
            <w:vAlign w:val="bottom"/>
          </w:tcPr>
          <w:p>
            <w:pPr>
              <w:ind w:left="22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Code</w:t>
            </w:r>
          </w:p>
        </w:tc>
        <w:tc>
          <w:tcPr>
            <w:tcW w:w="8460" w:type="dxa"/>
            <w:vAlign w:val="bottom"/>
          </w:tcPr>
          <w:p>
            <w:pPr>
              <w:ind w:left="220"/>
              <w:spacing w:after="0"/>
              <w:rPr>
                <w:sz w:val="20"/>
                <w:szCs w:val="20"/>
                <w:color w:val="auto"/>
              </w:rPr>
            </w:pPr>
            <w:r>
              <w:rPr>
                <w:rFonts w:ascii="Arial" w:cs="Arial" w:eastAsia="Arial" w:hAnsi="Arial"/>
                <w:sz w:val="18"/>
                <w:szCs w:val="18"/>
                <w:color w:val="auto"/>
              </w:rPr>
              <w:t>Internal Revenue Code of 1986, as amended</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Company</w:t>
            </w:r>
          </w:p>
        </w:tc>
        <w:tc>
          <w:tcPr>
            <w:tcW w:w="8460" w:type="dxa"/>
            <w:vAlign w:val="bottom"/>
          </w:tcPr>
          <w:p>
            <w:pPr>
              <w:ind w:left="22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CVSR</w:t>
            </w:r>
          </w:p>
        </w:tc>
        <w:tc>
          <w:tcPr>
            <w:tcW w:w="8460" w:type="dxa"/>
            <w:vAlign w:val="bottom"/>
          </w:tcPr>
          <w:p>
            <w:pPr>
              <w:ind w:left="22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877"/>
        </w:trPr>
        <w:tc>
          <w:tcPr>
            <w:tcW w:w="27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27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840" w:type="dxa"/>
            <w:vAlign w:val="bottom"/>
          </w:tcPr>
          <w:p>
            <w:pPr>
              <w:ind w:left="60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DGPV Holdco Entities</w:t>
            </w:r>
          </w:p>
        </w:tc>
        <w:tc>
          <w:tcPr>
            <w:tcW w:w="8840" w:type="dxa"/>
            <w:vAlign w:val="bottom"/>
          </w:tcPr>
          <w:p>
            <w:pPr>
              <w:ind w:left="600"/>
              <w:spacing w:after="0"/>
              <w:rPr>
                <w:sz w:val="20"/>
                <w:szCs w:val="20"/>
                <w:color w:val="auto"/>
              </w:rPr>
            </w:pPr>
            <w:r>
              <w:rPr>
                <w:rFonts w:ascii="Arial" w:cs="Arial" w:eastAsia="Arial" w:hAnsi="Arial"/>
                <w:sz w:val="18"/>
                <w:szCs w:val="18"/>
                <w:color w:val="auto"/>
              </w:rPr>
              <w:t>Collectively, DGPV Holdco 1, DGPV Holdco 2 and DGPV Holdco 3</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DGPV Holdco 1</w:t>
            </w:r>
          </w:p>
        </w:tc>
        <w:tc>
          <w:tcPr>
            <w:tcW w:w="8840" w:type="dxa"/>
            <w:vAlign w:val="bottom"/>
          </w:tcPr>
          <w:p>
            <w:pPr>
              <w:ind w:left="60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DGPV Holdco 2</w:t>
            </w:r>
          </w:p>
        </w:tc>
        <w:tc>
          <w:tcPr>
            <w:tcW w:w="8840" w:type="dxa"/>
            <w:vAlign w:val="bottom"/>
          </w:tcPr>
          <w:p>
            <w:pPr>
              <w:ind w:left="60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8840" w:type="dxa"/>
            <w:vAlign w:val="bottom"/>
          </w:tcPr>
          <w:p>
            <w:pPr>
              <w:ind w:left="60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7"/>
              </w:rPr>
              <w:t>Solar power projects, typically less than 20 MW in size, that primarily sell power produced to customers for</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usage on site, or are interconnected to sell power into the local distribution grid</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rPr>
              <w:t>Drop Down Assets</w:t>
            </w: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4"/>
              </w:rPr>
              <w:t>Collectively, assets under common control acquired by the Company from NRG from January 1, 2014 through</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1"/>
              </w:rPr>
              <w:t>the period ended August 31, 2018 and from CEG from August 31, 2018 through the period ending December 31,</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rPr>
              <w:t>Economic Gross Margin</w:t>
            </w: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1"/>
              </w:rPr>
              <w:t>A non-GAAP measure, energy and capacity revenue, less cost of fuels. See Item 7 — Management's Discussion</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6"/>
              </w:rPr>
              <w:t>and Analysis of Financial Condition and Results of Operations — Management's discussion of the results of</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operations for the years ended December 31, 2020 and 2019 for a discussion of this measure.</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ECP</w:t>
            </w:r>
          </w:p>
        </w:tc>
        <w:tc>
          <w:tcPr>
            <w:tcW w:w="8840" w:type="dxa"/>
            <w:vAlign w:val="bottom"/>
          </w:tcPr>
          <w:p>
            <w:pPr>
              <w:ind w:left="60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EPA</w:t>
            </w:r>
          </w:p>
        </w:tc>
        <w:tc>
          <w:tcPr>
            <w:tcW w:w="8840" w:type="dxa"/>
            <w:vAlign w:val="bottom"/>
          </w:tcPr>
          <w:p>
            <w:pPr>
              <w:ind w:left="600"/>
              <w:spacing w:after="0"/>
              <w:rPr>
                <w:sz w:val="20"/>
                <w:szCs w:val="20"/>
                <w:color w:val="auto"/>
              </w:rPr>
            </w:pPr>
            <w:r>
              <w:rPr>
                <w:rFonts w:ascii="Arial" w:cs="Arial" w:eastAsia="Arial" w:hAnsi="Arial"/>
                <w:sz w:val="18"/>
                <w:szCs w:val="18"/>
                <w:color w:val="auto"/>
              </w:rPr>
              <w:t>United States Environmental Protection Agency</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EPC</w:t>
            </w:r>
          </w:p>
        </w:tc>
        <w:tc>
          <w:tcPr>
            <w:tcW w:w="8840" w:type="dxa"/>
            <w:vAlign w:val="bottom"/>
          </w:tcPr>
          <w:p>
            <w:pPr>
              <w:ind w:left="600"/>
              <w:spacing w:after="0"/>
              <w:rPr>
                <w:sz w:val="20"/>
                <w:szCs w:val="20"/>
                <w:color w:val="auto"/>
              </w:rPr>
            </w:pPr>
            <w:r>
              <w:rPr>
                <w:rFonts w:ascii="Arial" w:cs="Arial" w:eastAsia="Arial" w:hAnsi="Arial"/>
                <w:sz w:val="18"/>
                <w:szCs w:val="18"/>
                <w:color w:val="auto"/>
              </w:rPr>
              <w:t>Engineering, Procurement and Construction</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rPr>
              <w:t>ERCOT</w:t>
            </w: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6"/>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EWG</w:t>
            </w:r>
          </w:p>
        </w:tc>
        <w:tc>
          <w:tcPr>
            <w:tcW w:w="8840" w:type="dxa"/>
            <w:vAlign w:val="bottom"/>
          </w:tcPr>
          <w:p>
            <w:pPr>
              <w:ind w:left="60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840" w:type="dxa"/>
            <w:vAlign w:val="bottom"/>
          </w:tcPr>
          <w:p>
            <w:pPr>
              <w:ind w:left="60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FASB</w:t>
            </w:r>
          </w:p>
        </w:tc>
        <w:tc>
          <w:tcPr>
            <w:tcW w:w="8840" w:type="dxa"/>
            <w:vAlign w:val="bottom"/>
          </w:tcPr>
          <w:p>
            <w:pPr>
              <w:ind w:left="60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FERC</w:t>
            </w:r>
          </w:p>
        </w:tc>
        <w:tc>
          <w:tcPr>
            <w:tcW w:w="8840" w:type="dxa"/>
            <w:vAlign w:val="bottom"/>
          </w:tcPr>
          <w:p>
            <w:pPr>
              <w:ind w:left="60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FPA</w:t>
            </w:r>
          </w:p>
        </w:tc>
        <w:tc>
          <w:tcPr>
            <w:tcW w:w="8840" w:type="dxa"/>
            <w:vAlign w:val="bottom"/>
          </w:tcPr>
          <w:p>
            <w:pPr>
              <w:ind w:left="600"/>
              <w:spacing w:after="0"/>
              <w:rPr>
                <w:sz w:val="20"/>
                <w:szCs w:val="20"/>
                <w:color w:val="auto"/>
              </w:rPr>
            </w:pPr>
            <w:r>
              <w:rPr>
                <w:rFonts w:ascii="Arial" w:cs="Arial" w:eastAsia="Arial" w:hAnsi="Arial"/>
                <w:sz w:val="18"/>
                <w:szCs w:val="18"/>
                <w:color w:val="auto"/>
              </w:rPr>
              <w:t>Federal Power Act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GAAP</w:t>
            </w:r>
          </w:p>
        </w:tc>
        <w:tc>
          <w:tcPr>
            <w:tcW w:w="8840" w:type="dxa"/>
            <w:vAlign w:val="bottom"/>
          </w:tcPr>
          <w:p>
            <w:pPr>
              <w:ind w:left="60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GenConn</w:t>
            </w:r>
          </w:p>
        </w:tc>
        <w:tc>
          <w:tcPr>
            <w:tcW w:w="8840" w:type="dxa"/>
            <w:vAlign w:val="bottom"/>
          </w:tcPr>
          <w:p>
            <w:pPr>
              <w:ind w:left="60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GHG</w:t>
            </w:r>
          </w:p>
        </w:tc>
        <w:tc>
          <w:tcPr>
            <w:tcW w:w="8840" w:type="dxa"/>
            <w:vAlign w:val="bottom"/>
          </w:tcPr>
          <w:p>
            <w:pPr>
              <w:ind w:left="600"/>
              <w:spacing w:after="0"/>
              <w:rPr>
                <w:sz w:val="20"/>
                <w:szCs w:val="20"/>
                <w:color w:val="auto"/>
              </w:rPr>
            </w:pPr>
            <w:r>
              <w:rPr>
                <w:rFonts w:ascii="Arial" w:cs="Arial" w:eastAsia="Arial" w:hAnsi="Arial"/>
                <w:sz w:val="18"/>
                <w:szCs w:val="18"/>
                <w:color w:val="auto"/>
              </w:rPr>
              <w:t>Greenhouse gas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GIM</w:t>
            </w:r>
          </w:p>
        </w:tc>
        <w:tc>
          <w:tcPr>
            <w:tcW w:w="8840" w:type="dxa"/>
            <w:vAlign w:val="bottom"/>
          </w:tcPr>
          <w:p>
            <w:pPr>
              <w:ind w:left="600"/>
              <w:spacing w:after="0"/>
              <w:rPr>
                <w:sz w:val="20"/>
                <w:szCs w:val="20"/>
                <w:color w:val="auto"/>
              </w:rPr>
            </w:pPr>
            <w:r>
              <w:rPr>
                <w:rFonts w:ascii="Arial" w:cs="Arial" w:eastAsia="Arial" w:hAnsi="Arial"/>
                <w:sz w:val="18"/>
                <w:szCs w:val="18"/>
                <w:color w:val="auto"/>
              </w:rPr>
              <w:t>Global Infrastructure Management, LLC</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GIP</w:t>
            </w:r>
          </w:p>
        </w:tc>
        <w:tc>
          <w:tcPr>
            <w:tcW w:w="8840" w:type="dxa"/>
            <w:vAlign w:val="bottom"/>
            <w:vMerge w:val="restart"/>
          </w:tcPr>
          <w:p>
            <w:pPr>
              <w:ind w:left="600"/>
              <w:spacing w:after="0"/>
              <w:rPr>
                <w:sz w:val="20"/>
                <w:szCs w:val="20"/>
                <w:color w:val="auto"/>
              </w:rPr>
            </w:pPr>
            <w:r>
              <w:rPr>
                <w:rFonts w:ascii="Arial" w:cs="Arial" w:eastAsia="Arial" w:hAnsi="Arial"/>
                <w:sz w:val="18"/>
                <w:szCs w:val="18"/>
                <w:color w:val="auto"/>
                <w:w w:val="94"/>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40"/>
        </w:trPr>
        <w:tc>
          <w:tcPr>
            <w:tcW w:w="2400" w:type="dxa"/>
            <w:vAlign w:val="bottom"/>
          </w:tcPr>
          <w:p>
            <w:pPr>
              <w:spacing w:after="0"/>
              <w:rPr>
                <w:sz w:val="3"/>
                <w:szCs w:val="3"/>
                <w:color w:val="auto"/>
              </w:rPr>
            </w:pPr>
          </w:p>
        </w:tc>
        <w:tc>
          <w:tcPr>
            <w:tcW w:w="8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5"/>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256"/>
        </w:trPr>
        <w:tc>
          <w:tcPr>
            <w:tcW w:w="2400" w:type="dxa"/>
            <w:vAlign w:val="bottom"/>
          </w:tcPr>
          <w:p>
            <w:pPr>
              <w:ind w:left="20"/>
              <w:spacing w:after="0"/>
              <w:rPr>
                <w:sz w:val="20"/>
                <w:szCs w:val="20"/>
                <w:color w:val="auto"/>
              </w:rPr>
            </w:pPr>
            <w:r>
              <w:rPr>
                <w:rFonts w:ascii="Arial" w:cs="Arial" w:eastAsia="Arial" w:hAnsi="Arial"/>
                <w:sz w:val="18"/>
                <w:szCs w:val="18"/>
                <w:color w:val="auto"/>
              </w:rPr>
              <w:t>GIP Transaction</w:t>
            </w:r>
          </w:p>
        </w:tc>
        <w:tc>
          <w:tcPr>
            <w:tcW w:w="8840" w:type="dxa"/>
            <w:vAlign w:val="bottom"/>
          </w:tcPr>
          <w:p>
            <w:pPr>
              <w:ind w:left="600"/>
              <w:spacing w:after="0"/>
              <w:rPr>
                <w:sz w:val="20"/>
                <w:szCs w:val="20"/>
                <w:color w:val="auto"/>
              </w:rPr>
            </w:pPr>
            <w:r>
              <w:rPr>
                <w:rFonts w:ascii="Arial" w:cs="Arial" w:eastAsia="Arial" w:hAnsi="Arial"/>
                <w:sz w:val="18"/>
                <w:szCs w:val="18"/>
                <w:color w:val="auto"/>
                <w:w w:val="92"/>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4"/>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1"/>
              </w:rPr>
              <w:t>energy development and operations platform, to an affiliate of GIP. GIP, NRG and the Company also entered into</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3"/>
              </w:rPr>
              <w:t>a 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February 6, 2018</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HLBV</w:t>
            </w:r>
          </w:p>
        </w:tc>
        <w:tc>
          <w:tcPr>
            <w:tcW w:w="8840" w:type="dxa"/>
            <w:vAlign w:val="bottom"/>
          </w:tcPr>
          <w:p>
            <w:pPr>
              <w:ind w:left="60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IRS</w:t>
            </w:r>
          </w:p>
        </w:tc>
        <w:tc>
          <w:tcPr>
            <w:tcW w:w="8840" w:type="dxa"/>
            <w:vAlign w:val="bottom"/>
          </w:tcPr>
          <w:p>
            <w:pPr>
              <w:ind w:left="600"/>
              <w:spacing w:after="0"/>
              <w:rPr>
                <w:sz w:val="20"/>
                <w:szCs w:val="20"/>
                <w:color w:val="auto"/>
              </w:rPr>
            </w:pPr>
            <w:r>
              <w:rPr>
                <w:rFonts w:ascii="Arial" w:cs="Arial" w:eastAsia="Arial" w:hAnsi="Arial"/>
                <w:sz w:val="18"/>
                <w:szCs w:val="18"/>
                <w:color w:val="auto"/>
              </w:rPr>
              <w:t>Internal Revenue Service</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ISO</w:t>
            </w:r>
          </w:p>
        </w:tc>
        <w:tc>
          <w:tcPr>
            <w:tcW w:w="8840" w:type="dxa"/>
            <w:vAlign w:val="bottom"/>
          </w:tcPr>
          <w:p>
            <w:pPr>
              <w:ind w:left="600"/>
              <w:spacing w:after="0"/>
              <w:rPr>
                <w:sz w:val="20"/>
                <w:szCs w:val="20"/>
                <w:color w:val="auto"/>
              </w:rPr>
            </w:pPr>
            <w:r>
              <w:rPr>
                <w:rFonts w:ascii="Arial" w:cs="Arial" w:eastAsia="Arial" w:hAnsi="Arial"/>
                <w:sz w:val="18"/>
                <w:szCs w:val="18"/>
                <w:color w:val="auto"/>
              </w:rPr>
              <w:t>Independent System Operator, also referred to as an RTO</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ITC</w:t>
            </w:r>
          </w:p>
        </w:tc>
        <w:tc>
          <w:tcPr>
            <w:tcW w:w="8840" w:type="dxa"/>
            <w:vAlign w:val="bottom"/>
          </w:tcPr>
          <w:p>
            <w:pPr>
              <w:ind w:left="600"/>
              <w:spacing w:after="0"/>
              <w:rPr>
                <w:sz w:val="20"/>
                <w:szCs w:val="20"/>
                <w:color w:val="auto"/>
              </w:rPr>
            </w:pPr>
            <w:r>
              <w:rPr>
                <w:rFonts w:ascii="Arial" w:cs="Arial" w:eastAsia="Arial" w:hAnsi="Arial"/>
                <w:sz w:val="18"/>
                <w:szCs w:val="18"/>
                <w:color w:val="auto"/>
              </w:rPr>
              <w:t>Investment Tax Credit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kWh</w:t>
            </w:r>
          </w:p>
        </w:tc>
        <w:tc>
          <w:tcPr>
            <w:tcW w:w="8840" w:type="dxa"/>
            <w:vAlign w:val="bottom"/>
          </w:tcPr>
          <w:p>
            <w:pPr>
              <w:ind w:left="600"/>
              <w:spacing w:after="0"/>
              <w:rPr>
                <w:sz w:val="20"/>
                <w:szCs w:val="20"/>
                <w:color w:val="auto"/>
              </w:rPr>
            </w:pPr>
            <w:r>
              <w:rPr>
                <w:rFonts w:ascii="Arial" w:cs="Arial" w:eastAsia="Arial" w:hAnsi="Arial"/>
                <w:sz w:val="18"/>
                <w:szCs w:val="18"/>
                <w:color w:val="auto"/>
              </w:rPr>
              <w:t>Kilowatt Hour</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LIBOR</w:t>
            </w:r>
          </w:p>
        </w:tc>
        <w:tc>
          <w:tcPr>
            <w:tcW w:w="8840" w:type="dxa"/>
            <w:vAlign w:val="bottom"/>
          </w:tcPr>
          <w:p>
            <w:pPr>
              <w:ind w:left="60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MBTA</w:t>
            </w:r>
          </w:p>
        </w:tc>
        <w:tc>
          <w:tcPr>
            <w:tcW w:w="8840" w:type="dxa"/>
            <w:vAlign w:val="bottom"/>
          </w:tcPr>
          <w:p>
            <w:pPr>
              <w:ind w:left="60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MMBtu</w:t>
            </w:r>
          </w:p>
        </w:tc>
        <w:tc>
          <w:tcPr>
            <w:tcW w:w="8840" w:type="dxa"/>
            <w:vAlign w:val="bottom"/>
          </w:tcPr>
          <w:p>
            <w:pPr>
              <w:ind w:left="60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MW</w:t>
            </w:r>
          </w:p>
        </w:tc>
        <w:tc>
          <w:tcPr>
            <w:tcW w:w="8840" w:type="dxa"/>
            <w:vAlign w:val="bottom"/>
          </w:tcPr>
          <w:p>
            <w:pPr>
              <w:ind w:left="60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MWh</w:t>
            </w:r>
          </w:p>
        </w:tc>
        <w:tc>
          <w:tcPr>
            <w:tcW w:w="8840" w:type="dxa"/>
            <w:vAlign w:val="bottom"/>
          </w:tcPr>
          <w:p>
            <w:pPr>
              <w:ind w:left="60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MWt</w:t>
            </w:r>
          </w:p>
        </w:tc>
        <w:tc>
          <w:tcPr>
            <w:tcW w:w="8840" w:type="dxa"/>
            <w:vAlign w:val="bottom"/>
          </w:tcPr>
          <w:p>
            <w:pPr>
              <w:ind w:left="60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NERC</w:t>
            </w:r>
          </w:p>
        </w:tc>
        <w:tc>
          <w:tcPr>
            <w:tcW w:w="8840" w:type="dxa"/>
            <w:vAlign w:val="bottom"/>
          </w:tcPr>
          <w:p>
            <w:pPr>
              <w:ind w:left="60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8840" w:type="dxa"/>
            <w:vAlign w:val="bottom"/>
          </w:tcPr>
          <w:p>
            <w:pPr>
              <w:ind w:left="600"/>
              <w:spacing w:after="0"/>
              <w:rPr>
                <w:sz w:val="20"/>
                <w:szCs w:val="20"/>
                <w:color w:val="auto"/>
              </w:rPr>
            </w:pPr>
            <w:r>
              <w:rPr>
                <w:rFonts w:ascii="Arial" w:cs="Arial" w:eastAsia="Arial" w:hAnsi="Arial"/>
                <w:sz w:val="18"/>
                <w:szCs w:val="18"/>
                <w:color w:val="auto"/>
              </w:rPr>
              <w:t>Counterparty credit exposure to Clearway Energy LLC, net of collateral</w:t>
            </w:r>
          </w:p>
        </w:tc>
        <w:tc>
          <w:tcPr>
            <w:tcW w:w="0" w:type="dxa"/>
            <w:vAlign w:val="bottom"/>
          </w:tcPr>
          <w:p>
            <w:pPr>
              <w:spacing w:after="0"/>
              <w:rPr>
                <w:sz w:val="1"/>
                <w:szCs w:val="1"/>
                <w:color w:val="auto"/>
              </w:rPr>
            </w:pPr>
          </w:p>
        </w:tc>
      </w:tr>
      <w:tr>
        <w:trPr>
          <w:trHeight w:val="877"/>
        </w:trPr>
        <w:tc>
          <w:tcPr>
            <w:tcW w:w="2400" w:type="dxa"/>
            <w:vAlign w:val="bottom"/>
          </w:tcPr>
          <w:p>
            <w:pPr>
              <w:spacing w:after="0"/>
              <w:rPr>
                <w:sz w:val="24"/>
                <w:szCs w:val="24"/>
                <w:color w:val="auto"/>
              </w:rPr>
            </w:pPr>
          </w:p>
        </w:tc>
        <w:tc>
          <w:tcPr>
            <w:tcW w:w="8840" w:type="dxa"/>
            <w:vAlign w:val="bottom"/>
          </w:tcPr>
          <w:p>
            <w:pPr>
              <w:ind w:left="3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8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7"/>
        </w:trPr>
        <w:tc>
          <w:tcPr>
            <w:tcW w:w="2360" w:type="dxa"/>
            <w:vAlign w:val="bottom"/>
          </w:tcPr>
          <w:p>
            <w:pPr>
              <w:spacing w:after="0"/>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800" w:type="dxa"/>
            <w:vAlign w:val="bottom"/>
          </w:tcPr>
          <w:p>
            <w:pPr>
              <w:ind w:left="620"/>
              <w:spacing w:after="0"/>
              <w:rPr>
                <w:sz w:val="20"/>
                <w:szCs w:val="20"/>
                <w:color w:val="auto"/>
              </w:rPr>
            </w:pPr>
            <w:r>
              <w:rPr>
                <w:rFonts w:ascii="Arial" w:cs="Arial" w:eastAsia="Arial" w:hAnsi="Arial"/>
                <w:sz w:val="18"/>
                <w:szCs w:val="18"/>
                <w:color w:val="auto"/>
              </w:rPr>
              <w:t>Nitrogen Oxides</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NPNS</w:t>
            </w:r>
          </w:p>
        </w:tc>
        <w:tc>
          <w:tcPr>
            <w:tcW w:w="8800" w:type="dxa"/>
            <w:vAlign w:val="bottom"/>
          </w:tcPr>
          <w:p>
            <w:pPr>
              <w:ind w:left="620"/>
              <w:spacing w:after="0"/>
              <w:rPr>
                <w:sz w:val="20"/>
                <w:szCs w:val="20"/>
                <w:color w:val="auto"/>
              </w:rPr>
            </w:pPr>
            <w:r>
              <w:rPr>
                <w:rFonts w:ascii="Arial" w:cs="Arial" w:eastAsia="Arial" w:hAnsi="Arial"/>
                <w:sz w:val="18"/>
                <w:szCs w:val="18"/>
                <w:color w:val="auto"/>
              </w:rPr>
              <w:t>Normal Purchases and Normal Sales</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NRG</w:t>
            </w:r>
          </w:p>
        </w:tc>
        <w:tc>
          <w:tcPr>
            <w:tcW w:w="8800" w:type="dxa"/>
            <w:vAlign w:val="bottom"/>
          </w:tcPr>
          <w:p>
            <w:pPr>
              <w:ind w:left="62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NRG Power Marketing</w:t>
            </w:r>
          </w:p>
        </w:tc>
        <w:tc>
          <w:tcPr>
            <w:tcW w:w="8800" w:type="dxa"/>
            <w:vAlign w:val="bottom"/>
          </w:tcPr>
          <w:p>
            <w:pPr>
              <w:ind w:left="620"/>
              <w:spacing w:after="0"/>
              <w:rPr>
                <w:sz w:val="20"/>
                <w:szCs w:val="20"/>
                <w:color w:val="auto"/>
              </w:rPr>
            </w:pPr>
            <w:r>
              <w:rPr>
                <w:rFonts w:ascii="Arial" w:cs="Arial" w:eastAsia="Arial" w:hAnsi="Arial"/>
                <w:sz w:val="18"/>
                <w:szCs w:val="18"/>
                <w:color w:val="auto"/>
              </w:rPr>
              <w:t>NRG Power Marketing LLC</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NRG TSA</w:t>
            </w:r>
          </w:p>
        </w:tc>
        <w:tc>
          <w:tcPr>
            <w:tcW w:w="8800" w:type="dxa"/>
            <w:vAlign w:val="bottom"/>
          </w:tcPr>
          <w:p>
            <w:pPr>
              <w:ind w:left="620"/>
              <w:spacing w:after="0"/>
              <w:rPr>
                <w:sz w:val="20"/>
                <w:szCs w:val="20"/>
                <w:color w:val="auto"/>
              </w:rPr>
            </w:pPr>
            <w:r>
              <w:rPr>
                <w:rFonts w:ascii="Arial" w:cs="Arial" w:eastAsia="Arial" w:hAnsi="Arial"/>
                <w:sz w:val="18"/>
                <w:szCs w:val="18"/>
                <w:color w:val="auto"/>
                <w:w w:val="94"/>
              </w:rPr>
              <w:t>Transition Services Agreement, entered into as of August 31, 2018, by and between NRG and the Company</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OCI/OCL</w:t>
            </w:r>
          </w:p>
        </w:tc>
        <w:tc>
          <w:tcPr>
            <w:tcW w:w="8800" w:type="dxa"/>
            <w:vAlign w:val="bottom"/>
          </w:tcPr>
          <w:p>
            <w:pPr>
              <w:ind w:left="62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O&amp;M</w:t>
            </w:r>
          </w:p>
        </w:tc>
        <w:tc>
          <w:tcPr>
            <w:tcW w:w="8800" w:type="dxa"/>
            <w:vAlign w:val="bottom"/>
          </w:tcPr>
          <w:p>
            <w:pPr>
              <w:ind w:left="62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PG&amp;E</w:t>
            </w:r>
          </w:p>
        </w:tc>
        <w:tc>
          <w:tcPr>
            <w:tcW w:w="8800" w:type="dxa"/>
            <w:vAlign w:val="bottom"/>
          </w:tcPr>
          <w:p>
            <w:pPr>
              <w:ind w:left="62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PG&amp;E Bankruptcy</w:t>
            </w:r>
          </w:p>
        </w:tc>
        <w:tc>
          <w:tcPr>
            <w:tcW w:w="8800" w:type="dxa"/>
            <w:vAlign w:val="bottom"/>
            <w:vMerge w:val="restart"/>
          </w:tcPr>
          <w:p>
            <w:pPr>
              <w:ind w:left="620"/>
              <w:spacing w:after="0"/>
              <w:rPr>
                <w:sz w:val="20"/>
                <w:szCs w:val="20"/>
                <w:color w:val="auto"/>
              </w:rPr>
            </w:pPr>
            <w:r>
              <w:rPr>
                <w:rFonts w:ascii="Arial" w:cs="Arial" w:eastAsia="Arial" w:hAnsi="Arial"/>
                <w:sz w:val="18"/>
                <w:szCs w:val="18"/>
                <w:color w:val="auto"/>
                <w:w w:val="95"/>
              </w:rPr>
              <w:t>On January 29, 2019, PG&amp;E Corporation and Pacific Gas and Electric Company filed voluntary petitions for</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8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8800" w:type="dxa"/>
            <w:vAlign w:val="bottom"/>
          </w:tcPr>
          <w:p>
            <w:pPr>
              <w:ind w:left="620"/>
              <w:spacing w:after="0"/>
              <w:rPr>
                <w:sz w:val="20"/>
                <w:szCs w:val="20"/>
                <w:color w:val="auto"/>
              </w:rPr>
            </w:pPr>
            <w:r>
              <w:rPr>
                <w:rFonts w:ascii="Arial" w:cs="Arial" w:eastAsia="Arial" w:hAnsi="Arial"/>
                <w:sz w:val="18"/>
                <w:szCs w:val="18"/>
                <w:color w:val="auto"/>
              </w:rPr>
              <w:t>relief under the Bankruptcy Code in the U.S. Bankruptcy Court for the Northern District of California</w:t>
            </w:r>
          </w:p>
        </w:tc>
        <w:tc>
          <w:tcPr>
            <w:tcW w:w="0" w:type="dxa"/>
            <w:vAlign w:val="bottom"/>
          </w:tcPr>
          <w:p>
            <w:pPr>
              <w:spacing w:after="0"/>
              <w:rPr>
                <w:sz w:val="1"/>
                <w:szCs w:val="1"/>
                <w:color w:val="auto"/>
              </w:rPr>
            </w:pPr>
          </w:p>
        </w:tc>
      </w:tr>
      <w:tr>
        <w:trPr>
          <w:trHeight w:val="309"/>
        </w:trPr>
        <w:tc>
          <w:tcPr>
            <w:tcW w:w="2360" w:type="dxa"/>
            <w:vAlign w:val="bottom"/>
          </w:tcPr>
          <w:p>
            <w:pPr>
              <w:spacing w:after="0"/>
              <w:rPr>
                <w:sz w:val="20"/>
                <w:szCs w:val="20"/>
                <w:color w:val="auto"/>
              </w:rPr>
            </w:pPr>
            <w:r>
              <w:rPr>
                <w:rFonts w:ascii="Arial" w:cs="Arial" w:eastAsia="Arial" w:hAnsi="Arial"/>
                <w:sz w:val="18"/>
                <w:szCs w:val="18"/>
                <w:color w:val="auto"/>
              </w:rPr>
              <w:t>PJM</w:t>
            </w:r>
          </w:p>
        </w:tc>
        <w:tc>
          <w:tcPr>
            <w:tcW w:w="8800" w:type="dxa"/>
            <w:vAlign w:val="bottom"/>
          </w:tcPr>
          <w:p>
            <w:pPr>
              <w:ind w:left="620"/>
              <w:spacing w:after="0"/>
              <w:rPr>
                <w:sz w:val="20"/>
                <w:szCs w:val="20"/>
                <w:color w:val="auto"/>
              </w:rPr>
            </w:pPr>
            <w:r>
              <w:rPr>
                <w:rFonts w:ascii="Arial" w:cs="Arial" w:eastAsia="Arial" w:hAnsi="Arial"/>
                <w:sz w:val="18"/>
                <w:szCs w:val="18"/>
                <w:color w:val="auto"/>
              </w:rPr>
              <w:t>PJM Interconnection, LLC</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PPA</w:t>
            </w:r>
          </w:p>
        </w:tc>
        <w:tc>
          <w:tcPr>
            <w:tcW w:w="8800" w:type="dxa"/>
            <w:vAlign w:val="bottom"/>
          </w:tcPr>
          <w:p>
            <w:pPr>
              <w:ind w:left="62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PTC</w:t>
            </w:r>
          </w:p>
        </w:tc>
        <w:tc>
          <w:tcPr>
            <w:tcW w:w="8800" w:type="dxa"/>
            <w:vAlign w:val="bottom"/>
          </w:tcPr>
          <w:p>
            <w:pPr>
              <w:ind w:left="62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PUCT</w:t>
            </w:r>
          </w:p>
        </w:tc>
        <w:tc>
          <w:tcPr>
            <w:tcW w:w="8800" w:type="dxa"/>
            <w:vAlign w:val="bottom"/>
          </w:tcPr>
          <w:p>
            <w:pPr>
              <w:ind w:left="620"/>
              <w:spacing w:after="0"/>
              <w:rPr>
                <w:sz w:val="20"/>
                <w:szCs w:val="20"/>
                <w:color w:val="auto"/>
              </w:rPr>
            </w:pPr>
            <w:r>
              <w:rPr>
                <w:rFonts w:ascii="Arial" w:cs="Arial" w:eastAsia="Arial" w:hAnsi="Arial"/>
                <w:sz w:val="18"/>
                <w:szCs w:val="18"/>
                <w:color w:val="auto"/>
              </w:rPr>
              <w:t>Public Utility Commission of Texas</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PUHCA</w:t>
            </w:r>
          </w:p>
        </w:tc>
        <w:tc>
          <w:tcPr>
            <w:tcW w:w="8800" w:type="dxa"/>
            <w:vAlign w:val="bottom"/>
          </w:tcPr>
          <w:p>
            <w:pPr>
              <w:ind w:left="620"/>
              <w:spacing w:after="0"/>
              <w:rPr>
                <w:sz w:val="20"/>
                <w:szCs w:val="20"/>
                <w:color w:val="auto"/>
              </w:rPr>
            </w:pPr>
            <w:r>
              <w:rPr>
                <w:rFonts w:ascii="Arial" w:cs="Arial" w:eastAsia="Arial" w:hAnsi="Arial"/>
                <w:sz w:val="18"/>
                <w:szCs w:val="18"/>
                <w:color w:val="auto"/>
              </w:rPr>
              <w:t>Public Utility Holding Company Act of 2005</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PURPA</w:t>
            </w:r>
          </w:p>
        </w:tc>
        <w:tc>
          <w:tcPr>
            <w:tcW w:w="8800" w:type="dxa"/>
            <w:vAlign w:val="bottom"/>
          </w:tcPr>
          <w:p>
            <w:pPr>
              <w:ind w:left="620"/>
              <w:spacing w:after="0"/>
              <w:rPr>
                <w:sz w:val="20"/>
                <w:szCs w:val="20"/>
                <w:color w:val="auto"/>
              </w:rPr>
            </w:pPr>
            <w:r>
              <w:rPr>
                <w:rFonts w:ascii="Arial" w:cs="Arial" w:eastAsia="Arial" w:hAnsi="Arial"/>
                <w:sz w:val="18"/>
                <w:szCs w:val="18"/>
                <w:color w:val="auto"/>
              </w:rPr>
              <w:t>Public Utility Regulatory Policies Act of 1978</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QF</w:t>
            </w:r>
          </w:p>
        </w:tc>
        <w:tc>
          <w:tcPr>
            <w:tcW w:w="8800" w:type="dxa"/>
            <w:vAlign w:val="bottom"/>
          </w:tcPr>
          <w:p>
            <w:pPr>
              <w:ind w:left="620"/>
              <w:spacing w:after="0"/>
              <w:rPr>
                <w:sz w:val="20"/>
                <w:szCs w:val="20"/>
                <w:color w:val="auto"/>
              </w:rPr>
            </w:pPr>
            <w:r>
              <w:rPr>
                <w:rFonts w:ascii="Arial" w:cs="Arial" w:eastAsia="Arial" w:hAnsi="Arial"/>
                <w:sz w:val="18"/>
                <w:szCs w:val="18"/>
                <w:color w:val="auto"/>
              </w:rPr>
              <w:t>Qualifying Facility under PURPA</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RENOM</w:t>
            </w:r>
          </w:p>
        </w:tc>
        <w:tc>
          <w:tcPr>
            <w:tcW w:w="8800" w:type="dxa"/>
            <w:vAlign w:val="bottom"/>
          </w:tcPr>
          <w:p>
            <w:pPr>
              <w:ind w:left="62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405"/>
        </w:trPr>
        <w:tc>
          <w:tcPr>
            <w:tcW w:w="2360" w:type="dxa"/>
            <w:vAlign w:val="bottom"/>
          </w:tcPr>
          <w:p>
            <w:pPr>
              <w:spacing w:after="0"/>
              <w:rPr>
                <w:sz w:val="20"/>
                <w:szCs w:val="20"/>
                <w:color w:val="auto"/>
              </w:rPr>
            </w:pPr>
            <w:r>
              <w:rPr>
                <w:rFonts w:ascii="Arial" w:cs="Arial" w:eastAsia="Arial" w:hAnsi="Arial"/>
                <w:sz w:val="18"/>
                <w:szCs w:val="18"/>
                <w:color w:val="auto"/>
              </w:rPr>
              <w:t>ROFO</w:t>
            </w:r>
          </w:p>
        </w:tc>
        <w:tc>
          <w:tcPr>
            <w:tcW w:w="8800" w:type="dxa"/>
            <w:vAlign w:val="bottom"/>
          </w:tcPr>
          <w:p>
            <w:pPr>
              <w:ind w:left="620"/>
              <w:spacing w:after="0"/>
              <w:rPr>
                <w:sz w:val="20"/>
                <w:szCs w:val="20"/>
                <w:color w:val="auto"/>
              </w:rPr>
            </w:pPr>
            <w:r>
              <w:rPr>
                <w:rFonts w:ascii="Arial" w:cs="Arial" w:eastAsia="Arial" w:hAnsi="Arial"/>
                <w:sz w:val="18"/>
                <w:szCs w:val="18"/>
                <w:color w:val="auto"/>
              </w:rPr>
              <w:t>Right of First Offer</w:t>
            </w:r>
          </w:p>
        </w:tc>
        <w:tc>
          <w:tcPr>
            <w:tcW w:w="0" w:type="dxa"/>
            <w:vAlign w:val="bottom"/>
          </w:tcPr>
          <w:p>
            <w:pPr>
              <w:spacing w:after="0"/>
              <w:rPr>
                <w:sz w:val="1"/>
                <w:szCs w:val="1"/>
                <w:color w:val="auto"/>
              </w:rPr>
            </w:pPr>
          </w:p>
        </w:tc>
      </w:tr>
      <w:tr>
        <w:trPr>
          <w:trHeight w:val="404"/>
        </w:trPr>
        <w:tc>
          <w:tcPr>
            <w:tcW w:w="2360" w:type="dxa"/>
            <w:vAlign w:val="bottom"/>
          </w:tcPr>
          <w:p>
            <w:pPr>
              <w:spacing w:after="0"/>
              <w:rPr>
                <w:sz w:val="20"/>
                <w:szCs w:val="20"/>
                <w:color w:val="auto"/>
              </w:rPr>
            </w:pPr>
            <w:r>
              <w:rPr>
                <w:rFonts w:ascii="Arial" w:cs="Arial" w:eastAsia="Arial" w:hAnsi="Arial"/>
                <w:sz w:val="18"/>
                <w:szCs w:val="18"/>
                <w:color w:val="auto"/>
              </w:rPr>
              <w:t>RPS</w:t>
            </w:r>
          </w:p>
        </w:tc>
        <w:tc>
          <w:tcPr>
            <w:tcW w:w="8800" w:type="dxa"/>
            <w:vAlign w:val="bottom"/>
          </w:tcPr>
          <w:p>
            <w:pPr>
              <w:ind w:left="620"/>
              <w:spacing w:after="0"/>
              <w:rPr>
                <w:sz w:val="20"/>
                <w:szCs w:val="20"/>
                <w:color w:val="auto"/>
              </w:rPr>
            </w:pPr>
            <w:r>
              <w:rPr>
                <w:rFonts w:ascii="Arial" w:cs="Arial" w:eastAsia="Arial" w:hAnsi="Arial"/>
                <w:sz w:val="18"/>
                <w:szCs w:val="18"/>
                <w:color w:val="auto"/>
              </w:rPr>
              <w:t>Renewable Portfolio Standards</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RTO</w:t>
            </w:r>
          </w:p>
        </w:tc>
        <w:tc>
          <w:tcPr>
            <w:tcW w:w="8800" w:type="dxa"/>
            <w:vAlign w:val="bottom"/>
          </w:tcPr>
          <w:p>
            <w:pPr>
              <w:ind w:left="62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SCE</w:t>
            </w:r>
          </w:p>
        </w:tc>
        <w:tc>
          <w:tcPr>
            <w:tcW w:w="8800" w:type="dxa"/>
            <w:vAlign w:val="bottom"/>
          </w:tcPr>
          <w:p>
            <w:pPr>
              <w:ind w:left="62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SEC</w:t>
            </w:r>
          </w:p>
        </w:tc>
        <w:tc>
          <w:tcPr>
            <w:tcW w:w="8800" w:type="dxa"/>
            <w:vAlign w:val="bottom"/>
          </w:tcPr>
          <w:p>
            <w:pPr>
              <w:ind w:left="62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Senior Notes</w:t>
            </w:r>
          </w:p>
        </w:tc>
        <w:tc>
          <w:tcPr>
            <w:tcW w:w="8800" w:type="dxa"/>
            <w:vAlign w:val="bottom"/>
          </w:tcPr>
          <w:p>
            <w:pPr>
              <w:ind w:left="620"/>
              <w:spacing w:after="0"/>
              <w:rPr>
                <w:sz w:val="20"/>
                <w:szCs w:val="20"/>
                <w:color w:val="auto"/>
              </w:rPr>
            </w:pPr>
            <w:r>
              <w:rPr>
                <w:rFonts w:ascii="Arial" w:cs="Arial" w:eastAsia="Arial" w:hAnsi="Arial"/>
                <w:sz w:val="18"/>
                <w:szCs w:val="18"/>
                <w:color w:val="auto"/>
                <w:w w:val="92"/>
              </w:rPr>
              <w:t>Collectively, the 2024 Senior Notes, the 2025 Senior Notes, the 2026 Senior Notes and the 2028 Senior Notes</w:t>
            </w:r>
          </w:p>
        </w:tc>
        <w:tc>
          <w:tcPr>
            <w:tcW w:w="0" w:type="dxa"/>
            <w:vAlign w:val="bottom"/>
          </w:tcPr>
          <w:p>
            <w:pPr>
              <w:spacing w:after="0"/>
              <w:rPr>
                <w:sz w:val="1"/>
                <w:szCs w:val="1"/>
                <w:color w:val="auto"/>
              </w:rPr>
            </w:pPr>
          </w:p>
        </w:tc>
      </w:tr>
      <w:tr>
        <w:trPr>
          <w:trHeight w:val="229"/>
        </w:trPr>
        <w:tc>
          <w:tcPr>
            <w:tcW w:w="2360" w:type="dxa"/>
            <w:vAlign w:val="bottom"/>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800" w:type="dxa"/>
            <w:vAlign w:val="bottom"/>
          </w:tcPr>
          <w:p>
            <w:pPr>
              <w:ind w:left="62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SREC</w:t>
            </w:r>
          </w:p>
        </w:tc>
        <w:tc>
          <w:tcPr>
            <w:tcW w:w="8800" w:type="dxa"/>
            <w:vAlign w:val="bottom"/>
          </w:tcPr>
          <w:p>
            <w:pPr>
              <w:ind w:left="62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176"/>
        </w:trPr>
        <w:tc>
          <w:tcPr>
            <w:tcW w:w="2360" w:type="dxa"/>
            <w:vAlign w:val="bottom"/>
          </w:tcPr>
          <w:p>
            <w:pPr>
              <w:spacing w:after="0" w:line="176" w:lineRule="exact"/>
              <w:rPr>
                <w:sz w:val="20"/>
                <w:szCs w:val="20"/>
                <w:color w:val="auto"/>
              </w:rPr>
            </w:pPr>
            <w:r>
              <w:rPr>
                <w:rFonts w:ascii="Arial" w:cs="Arial" w:eastAsia="Arial" w:hAnsi="Arial"/>
                <w:sz w:val="18"/>
                <w:szCs w:val="18"/>
                <w:color w:val="auto"/>
              </w:rPr>
              <w:t>Thermal Business</w:t>
            </w:r>
          </w:p>
        </w:tc>
        <w:tc>
          <w:tcPr>
            <w:tcW w:w="8800" w:type="dxa"/>
            <w:vAlign w:val="bottom"/>
          </w:tcPr>
          <w:p>
            <w:pPr>
              <w:ind w:left="620"/>
              <w:spacing w:after="0" w:line="176" w:lineRule="exact"/>
              <w:rPr>
                <w:sz w:val="20"/>
                <w:szCs w:val="20"/>
                <w:color w:val="auto"/>
              </w:rPr>
            </w:pPr>
            <w:r>
              <w:rPr>
                <w:rFonts w:ascii="Arial" w:cs="Arial" w:eastAsia="Arial" w:hAnsi="Arial"/>
                <w:sz w:val="18"/>
                <w:szCs w:val="18"/>
                <w:color w:val="auto"/>
                <w:w w:val="92"/>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8800" w:type="dxa"/>
            <w:vAlign w:val="bottom"/>
          </w:tcPr>
          <w:p>
            <w:pPr>
              <w:ind w:left="620"/>
              <w:spacing w:after="0" w:line="176" w:lineRule="exact"/>
              <w:rPr>
                <w:sz w:val="20"/>
                <w:szCs w:val="20"/>
                <w:color w:val="auto"/>
              </w:rPr>
            </w:pPr>
            <w:r>
              <w:rPr>
                <w:rFonts w:ascii="Arial" w:cs="Arial" w:eastAsia="Arial" w:hAnsi="Arial"/>
                <w:sz w:val="18"/>
                <w:szCs w:val="18"/>
                <w:color w:val="auto"/>
                <w:w w:val="95"/>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176"/>
        </w:trPr>
        <w:tc>
          <w:tcPr>
            <w:tcW w:w="2360" w:type="dxa"/>
            <w:vAlign w:val="bottom"/>
          </w:tcPr>
          <w:p>
            <w:pPr>
              <w:spacing w:after="0" w:line="176" w:lineRule="exact"/>
              <w:rPr>
                <w:sz w:val="20"/>
                <w:szCs w:val="20"/>
                <w:color w:val="auto"/>
              </w:rPr>
            </w:pPr>
            <w:r>
              <w:rPr>
                <w:rFonts w:ascii="Arial" w:cs="Arial" w:eastAsia="Arial" w:hAnsi="Arial"/>
                <w:sz w:val="18"/>
                <w:szCs w:val="18"/>
                <w:color w:val="auto"/>
              </w:rPr>
              <w:t>UPMC Thermal Project</w:t>
            </w:r>
          </w:p>
        </w:tc>
        <w:tc>
          <w:tcPr>
            <w:tcW w:w="8800" w:type="dxa"/>
            <w:vAlign w:val="bottom"/>
          </w:tcPr>
          <w:p>
            <w:pPr>
              <w:ind w:left="620"/>
              <w:spacing w:after="0" w:line="176" w:lineRule="exact"/>
              <w:rPr>
                <w:sz w:val="20"/>
                <w:szCs w:val="20"/>
                <w:color w:val="auto"/>
              </w:rPr>
            </w:pPr>
            <w:r>
              <w:rPr>
                <w:rFonts w:ascii="Arial" w:cs="Arial" w:eastAsia="Arial" w:hAnsi="Arial"/>
                <w:sz w:val="18"/>
                <w:szCs w:val="18"/>
                <w:color w:val="auto"/>
                <w:w w:val="93"/>
              </w:rPr>
              <w:t>The University of Pittsburgh Medical Center Thermal Project, a 73 MWt district energy system that allows ECP</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Arial" w:cs="Arial" w:eastAsia="Arial" w:hAnsi="Arial"/>
                <w:sz w:val="18"/>
                <w:szCs w:val="18"/>
                <w:color w:val="auto"/>
              </w:rPr>
              <w:t>to provide steam, chilled water and 7.5 MW of emergency backup power service to UPMC</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U.S.</w:t>
            </w:r>
          </w:p>
        </w:tc>
        <w:tc>
          <w:tcPr>
            <w:tcW w:w="8800" w:type="dxa"/>
            <w:vAlign w:val="bottom"/>
          </w:tcPr>
          <w:p>
            <w:pPr>
              <w:ind w:left="6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U.S. DOE</w:t>
            </w:r>
          </w:p>
        </w:tc>
        <w:tc>
          <w:tcPr>
            <w:tcW w:w="8800" w:type="dxa"/>
            <w:vAlign w:val="bottom"/>
          </w:tcPr>
          <w:p>
            <w:pPr>
              <w:ind w:left="620"/>
              <w:spacing w:after="0"/>
              <w:rPr>
                <w:sz w:val="20"/>
                <w:szCs w:val="20"/>
                <w:color w:val="auto"/>
              </w:rPr>
            </w:pPr>
            <w:r>
              <w:rPr>
                <w:rFonts w:ascii="Arial" w:cs="Arial" w:eastAsia="Arial" w:hAnsi="Arial"/>
                <w:sz w:val="18"/>
                <w:szCs w:val="18"/>
                <w:color w:val="auto"/>
              </w:rPr>
              <w:t>U.S. Department of Energy</w:t>
            </w:r>
          </w:p>
        </w:tc>
        <w:tc>
          <w:tcPr>
            <w:tcW w:w="0" w:type="dxa"/>
            <w:vAlign w:val="bottom"/>
          </w:tcPr>
          <w:p>
            <w:pPr>
              <w:spacing w:after="0"/>
              <w:rPr>
                <w:sz w:val="1"/>
                <w:szCs w:val="1"/>
                <w:color w:val="auto"/>
              </w:rPr>
            </w:pPr>
          </w:p>
        </w:tc>
      </w:tr>
      <w:tr>
        <w:trPr>
          <w:trHeight w:val="176"/>
        </w:trPr>
        <w:tc>
          <w:tcPr>
            <w:tcW w:w="2360" w:type="dxa"/>
            <w:vAlign w:val="bottom"/>
          </w:tcPr>
          <w:p>
            <w:pPr>
              <w:spacing w:after="0" w:line="176" w:lineRule="exact"/>
              <w:rPr>
                <w:sz w:val="20"/>
                <w:szCs w:val="20"/>
                <w:color w:val="auto"/>
              </w:rPr>
            </w:pPr>
            <w:r>
              <w:rPr>
                <w:rFonts w:ascii="Arial" w:cs="Arial" w:eastAsia="Arial" w:hAnsi="Arial"/>
                <w:sz w:val="18"/>
                <w:szCs w:val="18"/>
                <w:color w:val="auto"/>
              </w:rPr>
              <w:t>Utah Solar Portfolio</w:t>
            </w:r>
          </w:p>
        </w:tc>
        <w:tc>
          <w:tcPr>
            <w:tcW w:w="8800" w:type="dxa"/>
            <w:vAlign w:val="bottom"/>
          </w:tcPr>
          <w:p>
            <w:pPr>
              <w:ind w:left="620"/>
              <w:spacing w:after="0" w:line="176" w:lineRule="exact"/>
              <w:rPr>
                <w:sz w:val="20"/>
                <w:szCs w:val="20"/>
                <w:color w:val="auto"/>
              </w:rPr>
            </w:pPr>
            <w:r>
              <w:rPr>
                <w:rFonts w:ascii="Arial" w:cs="Arial" w:eastAsia="Arial" w:hAnsi="Arial"/>
                <w:sz w:val="18"/>
                <w:szCs w:val="18"/>
                <w:color w:val="auto"/>
                <w:w w:val="94"/>
              </w:rPr>
              <w:t>Collection consists of Four Brothers Solar, LLC, Granite Mountain Holdings, LLC, and Iron Springs Holdings,</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8800" w:type="dxa"/>
            <w:vAlign w:val="bottom"/>
          </w:tcPr>
          <w:p>
            <w:pPr>
              <w:ind w:left="620"/>
              <w:spacing w:after="0" w:line="176" w:lineRule="exact"/>
              <w:rPr>
                <w:sz w:val="20"/>
                <w:szCs w:val="20"/>
                <w:color w:val="auto"/>
              </w:rPr>
            </w:pPr>
            <w:r>
              <w:rPr>
                <w:rFonts w:ascii="Arial" w:cs="Arial" w:eastAsia="Arial" w:hAnsi="Arial"/>
                <w:sz w:val="18"/>
                <w:szCs w:val="18"/>
                <w:color w:val="auto"/>
                <w:w w:val="94"/>
              </w:rPr>
              <w:t>LLC, which are equity investments owned by Four Brothers Capital, LLC, Granite Mountain Capital, LLC, and</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Arial" w:cs="Arial" w:eastAsia="Arial" w:hAnsi="Arial"/>
                <w:sz w:val="18"/>
                <w:szCs w:val="18"/>
                <w:color w:val="auto"/>
              </w:rPr>
              <w:t>Iron Springs Capital, LLC, respectively</w:t>
            </w:r>
          </w:p>
        </w:tc>
        <w:tc>
          <w:tcPr>
            <w:tcW w:w="0" w:type="dxa"/>
            <w:vAlign w:val="bottom"/>
          </w:tcPr>
          <w:p>
            <w:pPr>
              <w:spacing w:after="0"/>
              <w:rPr>
                <w:sz w:val="1"/>
                <w:szCs w:val="1"/>
                <w:color w:val="auto"/>
              </w:rPr>
            </w:pPr>
          </w:p>
        </w:tc>
      </w:tr>
      <w:tr>
        <w:trPr>
          <w:trHeight w:val="176"/>
        </w:trPr>
        <w:tc>
          <w:tcPr>
            <w:tcW w:w="2360" w:type="dxa"/>
            <w:vAlign w:val="bottom"/>
          </w:tcPr>
          <w:p>
            <w:pPr>
              <w:spacing w:after="0" w:line="176" w:lineRule="exact"/>
              <w:rPr>
                <w:sz w:val="20"/>
                <w:szCs w:val="20"/>
                <w:color w:val="auto"/>
              </w:rPr>
            </w:pPr>
            <w:r>
              <w:rPr>
                <w:rFonts w:ascii="Arial" w:cs="Arial" w:eastAsia="Arial" w:hAnsi="Arial"/>
                <w:sz w:val="18"/>
                <w:szCs w:val="18"/>
                <w:color w:val="auto"/>
              </w:rPr>
              <w:t>Utility Scale Solar</w:t>
            </w:r>
          </w:p>
        </w:tc>
        <w:tc>
          <w:tcPr>
            <w:tcW w:w="8800" w:type="dxa"/>
            <w:vAlign w:val="bottom"/>
          </w:tcPr>
          <w:p>
            <w:pPr>
              <w:ind w:left="620"/>
              <w:spacing w:after="0" w:line="176" w:lineRule="exact"/>
              <w:rPr>
                <w:sz w:val="20"/>
                <w:szCs w:val="20"/>
                <w:color w:val="auto"/>
              </w:rPr>
            </w:pPr>
            <w:r>
              <w:rPr>
                <w:rFonts w:ascii="Arial" w:cs="Arial" w:eastAsia="Arial" w:hAnsi="Arial"/>
                <w:sz w:val="18"/>
                <w:szCs w:val="18"/>
                <w:color w:val="auto"/>
                <w:w w:val="98"/>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VaR</w:t>
            </w:r>
          </w:p>
        </w:tc>
        <w:tc>
          <w:tcPr>
            <w:tcW w:w="8800" w:type="dxa"/>
            <w:vAlign w:val="bottom"/>
          </w:tcPr>
          <w:p>
            <w:pPr>
              <w:ind w:left="620"/>
              <w:spacing w:after="0"/>
              <w:rPr>
                <w:sz w:val="20"/>
                <w:szCs w:val="20"/>
                <w:color w:val="auto"/>
              </w:rPr>
            </w:pPr>
            <w:r>
              <w:rPr>
                <w:rFonts w:ascii="Arial" w:cs="Arial" w:eastAsia="Arial" w:hAnsi="Arial"/>
                <w:sz w:val="18"/>
                <w:szCs w:val="18"/>
                <w:color w:val="auto"/>
              </w:rPr>
              <w:t>Value at Risk</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VIE</w:t>
            </w:r>
          </w:p>
        </w:tc>
        <w:tc>
          <w:tcPr>
            <w:tcW w:w="8800" w:type="dxa"/>
            <w:vAlign w:val="bottom"/>
          </w:tcPr>
          <w:p>
            <w:pPr>
              <w:ind w:left="62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Wind TE Holdco</w:t>
            </w:r>
          </w:p>
        </w:tc>
        <w:tc>
          <w:tcPr>
            <w:tcW w:w="8800" w:type="dxa"/>
            <w:vAlign w:val="bottom"/>
          </w:tcPr>
          <w:p>
            <w:pPr>
              <w:ind w:left="620"/>
              <w:spacing w:after="0"/>
              <w:rPr>
                <w:sz w:val="20"/>
                <w:szCs w:val="20"/>
                <w:color w:val="auto"/>
              </w:rPr>
            </w:pPr>
            <w:r>
              <w:rPr>
                <w:rFonts w:ascii="Arial" w:cs="Arial" w:eastAsia="Arial" w:hAnsi="Arial"/>
                <w:sz w:val="18"/>
                <w:szCs w:val="18"/>
                <w:color w:val="auto"/>
              </w:rPr>
              <w:t>Wind TE Holdco LLC, an 814 net MW portfolio of twelve wind projects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868"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288"/>
        <w:spacing w:after="0" w:line="308"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sponsored by GIP through GIP's portfolio company, CEG.</w:t>
      </w:r>
    </w:p>
    <w:p>
      <w:pPr>
        <w:spacing w:after="0" w:line="92" w:lineRule="exact"/>
        <w:rPr>
          <w:sz w:val="20"/>
          <w:szCs w:val="20"/>
          <w:color w:val="auto"/>
        </w:rPr>
      </w:pPr>
    </w:p>
    <w:p>
      <w:pPr>
        <w:jc w:val="both"/>
        <w:ind w:firstLine="221"/>
        <w:spacing w:after="0" w:line="255" w:lineRule="auto"/>
        <w:rPr>
          <w:sz w:val="20"/>
          <w:szCs w:val="20"/>
          <w:color w:val="auto"/>
        </w:rPr>
      </w:pPr>
      <w:r>
        <w:rPr>
          <w:rFonts w:ascii="Arial" w:cs="Arial" w:eastAsia="Arial" w:hAnsi="Arial"/>
          <w:sz w:val="18"/>
          <w:szCs w:val="18"/>
          <w:color w:val="auto"/>
        </w:rPr>
        <w:t xml:space="preserve">The Company is one of the largest renewable energy owners in the U.S. with over 4,200 net MW of installed wind and solar generation projects. The Company also owns approximately 2,500 net MW of environmentally-sound, highly efficient natural gas generation facilities as well as a portfolio of district energy systems. Through this environmentally-sound, diversified and primarily contracted portfolio, the Company endeavors to increase distributions to Clearway, Inc. Substantially all of the Company's generation assets are under long-term contractual arrangements for the output or capacity from these assets. The weighted average remaining contract duration of these offtake agreements was approximately 13 years </w:t>
      </w:r>
      <w:r>
        <w:rPr>
          <w:rFonts w:ascii="Arial" w:cs="Arial" w:eastAsia="Arial" w:hAnsi="Arial"/>
          <w:sz w:val="18"/>
          <w:szCs w:val="18"/>
          <w:color w:val="231F20"/>
        </w:rPr>
        <w:t>as of</w:t>
      </w:r>
      <w:r>
        <w:rPr>
          <w:rFonts w:ascii="Arial" w:cs="Arial" w:eastAsia="Arial" w:hAnsi="Arial"/>
          <w:sz w:val="18"/>
          <w:szCs w:val="18"/>
          <w:color w:val="auto"/>
        </w:rPr>
        <w:t xml:space="preserve"> December 31, 2020 </w:t>
      </w:r>
      <w:r>
        <w:rPr>
          <w:rFonts w:ascii="Arial" w:cs="Arial" w:eastAsia="Arial" w:hAnsi="Arial"/>
          <w:sz w:val="18"/>
          <w:szCs w:val="18"/>
          <w:color w:val="231F20"/>
        </w:rPr>
        <w:t>based on CAFD.</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GIP indirectly owns 42.39% of the economic interests in the Company and 54.93% of the voting interests in Clearway Energy, Inc., or Clearway, Inc.</w:t>
      </w:r>
    </w:p>
    <w:p>
      <w:pPr>
        <w:spacing w:after="0" w:line="116"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8"/>
          <w:szCs w:val="18"/>
          <w:color w:val="auto"/>
        </w:rPr>
        <w:t>A complete listing of the Company's interests in facilities, operations and/or projects owned or leased as of December 31, 2020 can be found in Item 2 — Properties</w:t>
      </w:r>
      <w:r>
        <w:rPr>
          <w:rFonts w:ascii="Arial" w:cs="Arial" w:eastAsia="Arial" w:hAnsi="Arial"/>
          <w:sz w:val="18"/>
          <w:szCs w:val="18"/>
          <w:i w:val="1"/>
          <w:iCs w:val="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was formed as a Delaware limited liability company by NRG on March 5, 2013. On August 31, 2018, NRG transferred its full ownership interest in Clearway, Inc. and its subsidiaries to CEG, the holder of NRG's renewable energy development and operations platform, and subsequently sold 100% of its interest in CEG to GIP, referred to hereinafter as the GIP Transaction.</w:t>
      </w:r>
    </w:p>
    <w:p>
      <w:pPr>
        <w:spacing w:after="0" w:line="130" w:lineRule="exact"/>
        <w:rPr>
          <w:sz w:val="20"/>
          <w:szCs w:val="20"/>
          <w:color w:val="auto"/>
        </w:rPr>
      </w:pPr>
    </w:p>
    <w:p>
      <w:pPr>
        <w:jc w:val="both"/>
        <w:ind w:firstLine="188"/>
        <w:spacing w:after="0" w:line="263" w:lineRule="auto"/>
        <w:rPr>
          <w:sz w:val="20"/>
          <w:szCs w:val="20"/>
          <w:color w:val="auto"/>
        </w:rPr>
      </w:pPr>
      <w:r>
        <w:rPr>
          <w:rFonts w:ascii="Arial" w:cs="Arial" w:eastAsia="Arial" w:hAnsi="Arial"/>
          <w:sz w:val="18"/>
          <w:szCs w:val="18"/>
          <w:color w:val="auto"/>
        </w:rPr>
        <w:t>The Company is a holding company for the companies that directly and indirectly own and operate Clearway, Inc.'s business. As of December 31, 2020, GIP, through CEG, controls Clearway, Inc., and Clearway, Inc. in turn, as the sole managing member of the Company, controls the Company and its subsidiaries.</w:t>
      </w:r>
    </w:p>
    <w:p>
      <w:pPr>
        <w:spacing w:after="0" w:line="130"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18"/>
          <w:szCs w:val="18"/>
          <w:color w:val="auto"/>
        </w:rPr>
        <w:t>As of December 31, 2020, GIP, through CEG, owned 42,738,750 of each of the Company's Class B units and Class D units and Clearway, Inc. owned 34,599,645 of the Company's Class A units and 81,558,845 of the Company's Class C units. Clearway, Inc., through its holdings of Class A units and Class C units, has a 57.61% economic interest in the Company. GIP, through CEG's holdings of Class B units and Class D units, has a 42.39% economic interest in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ind w:left="180"/>
        <w:spacing w:after="0"/>
        <w:rPr>
          <w:sz w:val="20"/>
          <w:szCs w:val="20"/>
          <w:color w:val="auto"/>
        </w:rPr>
      </w:pPr>
      <w:r>
        <w:rPr>
          <w:rFonts w:ascii="Arial" w:cs="Arial" w:eastAsia="Arial" w:hAnsi="Arial"/>
          <w:sz w:val="18"/>
          <w:szCs w:val="18"/>
          <w:color w:val="auto"/>
        </w:rPr>
        <w:t>The diagram below depicts the Company’s organizational structure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63590" cy="4397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75" w:lineRule="exact"/>
        <w:rPr>
          <w:sz w:val="20"/>
          <w:szCs w:val="20"/>
          <w:color w:val="auto"/>
        </w:rPr>
      </w:pPr>
    </w:p>
    <w:p>
      <w:pPr>
        <w:jc w:val="both"/>
        <w:ind w:firstLine="219"/>
        <w:spacing w:after="0" w:line="308" w:lineRule="auto"/>
        <w:rPr>
          <w:sz w:val="20"/>
          <w:szCs w:val="20"/>
          <w:color w:val="auto"/>
        </w:rPr>
      </w:pPr>
      <w:r>
        <w:rPr>
          <w:rFonts w:ascii="Arial" w:cs="Arial" w:eastAsia="Arial" w:hAnsi="Arial"/>
          <w:sz w:val="17"/>
          <w:szCs w:val="17"/>
          <w:color w:val="auto"/>
        </w:rPr>
        <w:t>The Company's primary business strategy is to focus on the acquisition and ownership of assets with predictable, long-term cash flows in order that it may be able to increase the cash distributions to Clearway, Inc. over time without compromising the ongoing stability of the business.</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plan for executing its business strategy includes the following key components:</w:t>
      </w:r>
    </w:p>
    <w:p>
      <w:pPr>
        <w:spacing w:after="0" w:line="171" w:lineRule="exact"/>
        <w:rPr>
          <w:sz w:val="20"/>
          <w:szCs w:val="20"/>
          <w:color w:val="auto"/>
        </w:rPr>
      </w:pPr>
    </w:p>
    <w:p>
      <w:pPr>
        <w:jc w:val="both"/>
        <w:ind w:firstLine="202"/>
        <w:spacing w:after="0" w:line="279" w:lineRule="auto"/>
        <w:rPr>
          <w:sz w:val="20"/>
          <w:szCs w:val="20"/>
          <w:color w:val="auto"/>
        </w:rPr>
      </w:pPr>
      <w:r>
        <w:rPr>
          <w:rFonts w:ascii="Arial" w:cs="Arial" w:eastAsia="Arial" w:hAnsi="Arial"/>
          <w:sz w:val="17"/>
          <w:szCs w:val="17"/>
          <w:b w:val="1"/>
          <w:bCs w:val="1"/>
          <w:i w:val="1"/>
          <w:iCs w:val="1"/>
          <w:color w:val="auto"/>
        </w:rPr>
        <w:t xml:space="preserve">Focus on contracted renewable energy and conventional generation and thermal infrastructure assets. </w:t>
      </w:r>
      <w:r>
        <w:rPr>
          <w:rFonts w:ascii="Arial" w:cs="Arial" w:eastAsia="Arial" w:hAnsi="Arial"/>
          <w:sz w:val="17"/>
          <w:szCs w:val="17"/>
          <w:color w:val="auto"/>
        </w:rPr>
        <w:t>The Company owns and operates utility scale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distributed renewable energy and natural gas-fired 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117"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6"/>
          <w:szCs w:val="16"/>
          <w:b w:val="1"/>
          <w:bCs w:val="1"/>
          <w:i w:val="1"/>
          <w:iCs w:val="1"/>
          <w:color w:val="auto"/>
        </w:rPr>
        <w:t xml:space="preserve">Growing the business through acquisitions of contracted operating assets. </w:t>
      </w:r>
      <w:r>
        <w:rPr>
          <w:rFonts w:ascii="Arial" w:cs="Arial" w:eastAsia="Arial" w:hAnsi="Arial"/>
          <w:sz w:val="16"/>
          <w:szCs w:val="16"/>
          <w:color w:val="auto"/>
        </w:rPr>
        <w:t>The Company believes that its base of operations provides a platform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conventional and renewable power 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the CEG ROFO Agreement. Under the CEG ROFO Agreement, CEG has granted the Company and its affiliates a right of first offer on any proposed sale, transfer or other disposition of certain assets of CEG, or the CEG ROFO Assets, until August 31, 2023. CEG is not obligated to sell the remaining CEG ROFO Assets to the Company and, if offered by CEG, the Company cannot be sure whether these assets will be offered on acceptable terms, or that the Company will choose to consummate such acquisitions. The Company and CEG work collaboratively in considering new assets to be added under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CEG ROFO Agreement or to be acquired by the Company outside of the CEG ROFO Agreement. The assets listed below represent the Company's currently committed investments in projects with CEG and the CEG ROFO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Investments and CEG ROFO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w:t>
            </w:r>
          </w:p>
        </w:tc>
        <w:tc>
          <w:tcPr>
            <w:tcW w:w="8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Technology</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Gross Capacity (MW)</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State</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COD</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Status</w:t>
            </w:r>
          </w:p>
        </w:tc>
      </w:tr>
      <w:tr>
        <w:trPr>
          <w:trHeight w:val="21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Pinnacle Repowering</w:t>
            </w: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Wind</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WV</w:t>
            </w:r>
          </w:p>
        </w:tc>
        <w:tc>
          <w:tcPr>
            <w:tcW w:w="15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30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Mesquite Sky </w:t>
            </w:r>
            <w:r>
              <w:rPr>
                <w:rFonts w:ascii="Arial" w:cs="Arial" w:eastAsia="Arial" w:hAnsi="Arial"/>
                <w:sz w:val="21"/>
                <w:szCs w:val="21"/>
                <w:color w:val="auto"/>
                <w:vertAlign w:val="superscript"/>
              </w:rPr>
              <w:t>(a)</w:t>
            </w:r>
          </w:p>
        </w:tc>
        <w:tc>
          <w:tcPr>
            <w:tcW w:w="192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Wind</w:t>
            </w: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345</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rPr>
              <w:t>TX</w:t>
            </w:r>
          </w:p>
        </w:tc>
        <w:tc>
          <w:tcPr>
            <w:tcW w:w="1500" w:type="dxa"/>
            <w:vAlign w:val="bottom"/>
          </w:tcPr>
          <w:p>
            <w:pPr>
              <w:ind w:left="58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3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Black Rock </w:t>
            </w:r>
            <w:r>
              <w:rPr>
                <w:rFonts w:ascii="Arial" w:cs="Arial" w:eastAsia="Arial" w:hAnsi="Arial"/>
                <w:sz w:val="21"/>
                <w:szCs w:val="21"/>
                <w:color w:val="auto"/>
                <w:vertAlign w:val="superscript"/>
              </w:rPr>
              <w:t>(a)</w:t>
            </w: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Wind</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WV</w:t>
            </w:r>
          </w:p>
        </w:tc>
        <w:tc>
          <w:tcPr>
            <w:tcW w:w="15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30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Mililani I </w:t>
            </w:r>
            <w:r>
              <w:rPr>
                <w:rFonts w:ascii="Arial" w:cs="Arial" w:eastAsia="Arial" w:hAnsi="Arial"/>
                <w:sz w:val="21"/>
                <w:szCs w:val="21"/>
                <w:color w:val="auto"/>
                <w:vertAlign w:val="superscript"/>
              </w:rPr>
              <w:t>(a)</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Solar</w:t>
            </w: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rPr>
              <w:t>HI</w:t>
            </w:r>
          </w:p>
        </w:tc>
        <w:tc>
          <w:tcPr>
            <w:tcW w:w="1500" w:type="dxa"/>
            <w:vAlign w:val="bottom"/>
          </w:tcPr>
          <w:p>
            <w:pPr>
              <w:ind w:left="58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3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Waiawa </w:t>
            </w:r>
            <w:r>
              <w:rPr>
                <w:rFonts w:ascii="Arial" w:cs="Arial" w:eastAsia="Arial" w:hAnsi="Arial"/>
                <w:sz w:val="21"/>
                <w:szCs w:val="21"/>
                <w:color w:val="auto"/>
                <w:vertAlign w:val="superscript"/>
              </w:rPr>
              <w:t>(a)</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Solar</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HI</w:t>
            </w:r>
          </w:p>
        </w:tc>
        <w:tc>
          <w:tcPr>
            <w:tcW w:w="15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30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Daggett </w:t>
            </w:r>
            <w:r>
              <w:rPr>
                <w:rFonts w:ascii="Arial" w:cs="Arial" w:eastAsia="Arial" w:hAnsi="Arial"/>
                <w:sz w:val="21"/>
                <w:szCs w:val="21"/>
                <w:color w:val="auto"/>
                <w:vertAlign w:val="superscript"/>
              </w:rPr>
              <w:t>(a)</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Solar</w:t>
            </w: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482</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CA</w:t>
            </w:r>
          </w:p>
        </w:tc>
        <w:tc>
          <w:tcPr>
            <w:tcW w:w="1500" w:type="dxa"/>
            <w:vAlign w:val="bottom"/>
          </w:tcPr>
          <w:p>
            <w:pPr>
              <w:ind w:left="58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Wildflower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Solar</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MS</w:t>
            </w:r>
          </w:p>
        </w:tc>
        <w:tc>
          <w:tcPr>
            <w:tcW w:w="15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ROFO</w:t>
            </w:r>
          </w:p>
        </w:tc>
      </w:tr>
    </w:tbl>
    <w:p>
      <w:pPr>
        <w:spacing w:after="0" w:line="98"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Projects included in a co-investment partnership with Hannon Armstrong Sustainable Infrastructure Capital, Inc</w:t>
      </w:r>
    </w:p>
    <w:p>
      <w:pPr>
        <w:spacing w:after="0" w:line="221"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b w:val="1"/>
          <w:bCs w:val="1"/>
          <w:i w:val="1"/>
          <w:iCs w:val="1"/>
          <w:color w:val="auto"/>
        </w:rPr>
        <w:t xml:space="preserve">Primary focus on North America. </w:t>
      </w:r>
      <w:r>
        <w:rPr>
          <w:rFonts w:ascii="Arial" w:cs="Arial" w:eastAsia="Arial" w:hAnsi="Arial"/>
          <w:sz w:val="17"/>
          <w:szCs w:val="17"/>
          <w:color w:val="auto"/>
        </w:rPr>
        <w:t>The Company intends to primarily focus its investments in North America (including the unincorporated territories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U.S.). The Company believes that industry fundamentals in North America present it with significant opportunity to grow its portfolio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117"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7"/>
          <w:szCs w:val="17"/>
          <w:b w:val="1"/>
          <w:bCs w:val="1"/>
          <w:i w:val="1"/>
          <w:iCs w:val="1"/>
          <w:color w:val="auto"/>
        </w:rPr>
        <w:t xml:space="preserve">Maintain sound financial practices to grow the distributions. </w:t>
      </w:r>
      <w:r>
        <w:rPr>
          <w:rFonts w:ascii="Arial" w:cs="Arial" w:eastAsia="Arial" w:hAnsi="Arial"/>
          <w:sz w:val="17"/>
          <w:szCs w:val="17"/>
          <w:color w:val="auto"/>
        </w:rPr>
        <w:t>The Company intends to maintain a commitment to disciplined financial analysis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balanced capital structure to enable it to increase its distribution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distributions and maximize value. The Company intends to evaluate various alternatives for financing future acquisitions and refinancing of existing project-level debt, in each case, to reduce the cost of debt, extend maturities and maximize CAFD. The Company believes it has additional flexibility to seek alternative financing arrangements, including, but not limited to, debt financings and equity-like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6"/>
          <w:szCs w:val="16"/>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11" w:lineRule="exact"/>
        <w:rPr>
          <w:sz w:val="20"/>
          <w:szCs w:val="20"/>
          <w:color w:val="auto"/>
        </w:rPr>
      </w:pPr>
    </w:p>
    <w:p>
      <w:pPr>
        <w:jc w:val="both"/>
        <w:ind w:firstLine="222"/>
        <w:spacing w:after="0" w:line="255" w:lineRule="auto"/>
        <w:rPr>
          <w:sz w:val="20"/>
          <w:szCs w:val="20"/>
          <w:color w:val="auto"/>
        </w:rPr>
      </w:pPr>
      <w:r>
        <w:rPr>
          <w:rFonts w:ascii="Arial" w:cs="Arial" w:eastAsia="Arial" w:hAnsi="Arial"/>
          <w:sz w:val="18"/>
          <w:szCs w:val="18"/>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jc w:val="both"/>
        <w:ind w:firstLine="258"/>
        <w:spacing w:after="0" w:line="253" w:lineRule="auto"/>
        <w:rPr>
          <w:sz w:val="20"/>
          <w:szCs w:val="20"/>
          <w:color w:val="auto"/>
        </w:rPr>
      </w:pPr>
      <w:r>
        <w:rPr>
          <w:rFonts w:ascii="Arial" w:cs="Arial" w:eastAsia="Arial" w:hAnsi="Arial"/>
          <w:sz w:val="18"/>
          <w:szCs w:val="18"/>
          <w:b w:val="1"/>
          <w:bCs w:val="1"/>
          <w:i w:val="1"/>
          <w:iCs w:val="1"/>
          <w:color w:val="auto"/>
        </w:rPr>
        <w:t xml:space="preserve">Stable, high quality cash flows. </w:t>
      </w:r>
      <w:r>
        <w:rPr>
          <w:rFonts w:ascii="Arial" w:cs="Arial" w:eastAsia="Arial" w:hAnsi="Arial"/>
          <w:sz w:val="18"/>
          <w:szCs w:val="18"/>
          <w:color w:val="auto"/>
        </w:rPr>
        <w:t>The Company's facilities have a stable, predictable cash flow profile consisting of predominantly long-life electric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generation assets that sell electricity under long-term fixed priced contracts or pursuant to regulated rates with investment grade and certain other creditworthy counterparties. The Company's facilities have minimal fuel risk. For the Company's conventional assets, fuel is provided by the toll counterparty or the cost thereof is a pass-through cost under the Contract for Differences.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based on CAFD, of approximately </w:t>
      </w:r>
      <w:r>
        <w:rPr>
          <w:rFonts w:ascii="Arial" w:cs="Arial" w:eastAsia="Arial" w:hAnsi="Arial"/>
          <w:sz w:val="18"/>
          <w:szCs w:val="18"/>
          <w:color w:val="231F20"/>
        </w:rPr>
        <w:t>13 years</w:t>
      </w:r>
      <w:r>
        <w:rPr>
          <w:rFonts w:ascii="Arial" w:cs="Arial" w:eastAsia="Arial" w:hAnsi="Arial"/>
          <w:sz w:val="18"/>
          <w:szCs w:val="18"/>
          <w:color w:val="auto"/>
        </w:rPr>
        <w:t xml:space="preserve"> as of December 31, 2020, providing long-term cash flow stability. The Company's generation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142" w:lineRule="exact"/>
        <w:rPr>
          <w:sz w:val="20"/>
          <w:szCs w:val="20"/>
          <w:color w:val="auto"/>
        </w:rPr>
      </w:pPr>
    </w:p>
    <w:p>
      <w:pPr>
        <w:jc w:val="both"/>
        <w:ind w:firstLine="264"/>
        <w:spacing w:after="0" w:line="291"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The Company's portfolio of electric generation assets consists of 4,208 net MW of renewable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capacity that are non-emitting sources of power generation. The Company's conventional assets consist of the dual fuel-fired GenConn assets as well as the Carlsbad,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High quality, long-lived assets with low operating and capital requirements. </w:t>
      </w:r>
      <w:r>
        <w:rPr>
          <w:rFonts w:ascii="Arial" w:cs="Arial" w:eastAsia="Arial" w:hAnsi="Arial"/>
          <w:sz w:val="18"/>
          <w:szCs w:val="18"/>
          <w:color w:val="auto"/>
        </w:rPr>
        <w:t>The Company benefits from a portfolio of relatively younger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thermal infrastructure assets. The Company's assets are comprised of proven and reliable technologies, provided by leading original solar and wind equipment manufacturers such as General Electric, Siemens AG, SunPower Corporation, or SunPower, First Solar Inc., or First Solar, Vestas, Mitsubishi, Trina Solar, JA Solar and Siemens Gamesa.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138" w:lineRule="exact"/>
        <w:rPr>
          <w:sz w:val="20"/>
          <w:szCs w:val="20"/>
          <w:color w:val="auto"/>
        </w:rPr>
      </w:pPr>
    </w:p>
    <w:p>
      <w:pPr>
        <w:jc w:val="both"/>
        <w:ind w:firstLine="180"/>
        <w:spacing w:after="0" w:line="272" w:lineRule="auto"/>
        <w:rPr>
          <w:sz w:val="20"/>
          <w:szCs w:val="20"/>
          <w:color w:val="auto"/>
        </w:rPr>
      </w:pPr>
      <w:r>
        <w:rPr>
          <w:rFonts w:ascii="Arial" w:cs="Arial" w:eastAsia="Arial" w:hAnsi="Arial"/>
          <w:sz w:val="17"/>
          <w:szCs w:val="17"/>
          <w:b w:val="1"/>
          <w:bCs w:val="1"/>
          <w:i w:val="1"/>
          <w:iCs w:val="1"/>
          <w:color w:val="auto"/>
        </w:rPr>
        <w:t xml:space="preserve">Significant scale and diversity. </w:t>
      </w:r>
      <w:r>
        <w:rPr>
          <w:rFonts w:ascii="Arial" w:cs="Arial" w:eastAsia="Arial" w:hAnsi="Arial"/>
          <w:sz w:val="17"/>
          <w:szCs w:val="17"/>
          <w:color w:val="auto"/>
        </w:rPr>
        <w:t>The Company owns and operates a large and diverse portfolio of electric generation and thermal infrastructure assets.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December 31, 2020, the Company owns and operates a portfolio of 6,690 net MW of primarily contracted renewable and conventional generation assets which benefit from significant diversification in terms of technology, fuel type, counterparty and geography. The Company's Thermal Business consists of thirteen operations, seven of which are district energy centers that provide steam and chilled water to approximately 695 customers, and six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ind w:firstLine="180"/>
        <w:spacing w:after="0" w:line="293" w:lineRule="auto"/>
        <w:rPr>
          <w:sz w:val="20"/>
          <w:szCs w:val="20"/>
          <w:color w:val="auto"/>
        </w:rPr>
      </w:pPr>
      <w:r>
        <w:rPr>
          <w:rFonts w:ascii="Arial" w:cs="Arial" w:eastAsia="Arial" w:hAnsi="Arial"/>
          <w:sz w:val="16"/>
          <w:szCs w:val="16"/>
          <w:b w:val="1"/>
          <w:bCs w:val="1"/>
          <w:i w:val="1"/>
          <w:iCs w:val="1"/>
          <w:color w:val="auto"/>
        </w:rPr>
        <w:t xml:space="preserve">Relationship with GIP and CEG. </w:t>
      </w:r>
      <w:r>
        <w:rPr>
          <w:rFonts w:ascii="Arial" w:cs="Arial" w:eastAsia="Arial" w:hAnsi="Arial"/>
          <w:sz w:val="16"/>
          <w:szCs w:val="16"/>
          <w:color w:val="auto"/>
        </w:rPr>
        <w:t>The Company believes that its relationship with GIP and CEG provides significant benefits. GIM, the manager of GIP,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an independent infrastructure fund manager that invests in infrastructure assets and businesses in both the Organization for Economic Co-operation and Development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Additionally, the Company believes that CEG provides the Company access to a highly capable renewable development and operations platform that is aligned to support the Company's growth.</w:t>
      </w:r>
    </w:p>
    <w:p>
      <w:pPr>
        <w:spacing w:after="0" w:line="110"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18"/>
          <w:szCs w:val="18"/>
          <w:b w:val="1"/>
          <w:bCs w:val="1"/>
          <w:i w:val="1"/>
          <w:iCs w:val="1"/>
          <w:color w:val="auto"/>
        </w:rPr>
        <w:t xml:space="preserve">Thermal infrastructure business has high entry costs. </w:t>
      </w:r>
      <w:r>
        <w:rPr>
          <w:rFonts w:ascii="Arial" w:cs="Arial" w:eastAsia="Arial" w:hAnsi="Arial"/>
          <w:sz w:val="18"/>
          <w:szCs w:val="18"/>
          <w:color w:val="auto"/>
        </w:rPr>
        <w:t>Significant capital has been invested to construct the Company's thermal infrastructure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serving as a barrier to entry in the markets in which such assets operate.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175" w:lineRule="exact"/>
        <w:rPr>
          <w:sz w:val="20"/>
          <w:szCs w:val="20"/>
          <w:color w:val="auto"/>
        </w:rPr>
      </w:pPr>
    </w:p>
    <w:p>
      <w:pPr>
        <w:jc w:val="both"/>
        <w:ind w:firstLine="226"/>
        <w:spacing w:after="0" w:line="269" w:lineRule="auto"/>
        <w:rPr>
          <w:sz w:val="20"/>
          <w:szCs w:val="20"/>
          <w:color w:val="auto"/>
        </w:rPr>
      </w:pPr>
      <w:r>
        <w:rPr>
          <w:rFonts w:ascii="Arial" w:cs="Arial" w:eastAsia="Arial" w:hAnsi="Arial"/>
          <w:sz w:val="18"/>
          <w:szCs w:val="18"/>
          <w:color w:val="auto"/>
        </w:rPr>
        <w:t xml:space="preserve">The following tables summarize the Company's operating revenues, net income (loss) and assets by segment for the years ended December 31, 2020, 2019 and 2018, as discussed in Item 15 — Note 12, </w:t>
      </w:r>
      <w:r>
        <w:rPr>
          <w:rFonts w:ascii="Arial" w:cs="Arial" w:eastAsia="Arial" w:hAnsi="Arial"/>
          <w:sz w:val="18"/>
          <w:szCs w:val="18"/>
          <w:i w:val="1"/>
          <w:iCs w:val="1"/>
          <w:color w:val="auto"/>
        </w:rPr>
        <w:t>Segment Reporting</w:t>
      </w:r>
      <w:r>
        <w:rPr>
          <w:rFonts w:ascii="Arial" w:cs="Arial" w:eastAsia="Arial" w:hAnsi="Arial"/>
          <w:sz w:val="18"/>
          <w:szCs w:val="18"/>
          <w:color w:val="auto"/>
        </w:rPr>
        <w:t>, to the Consolidated Financial Statements.</w:t>
      </w: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1"/>
              </w:rPr>
              <w:t>Year ended December 31, 2020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Renewables</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Thermal</w:t>
            </w:r>
          </w:p>
        </w:tc>
        <w:tc>
          <w:tcPr>
            <w:tcW w:w="13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Corporate</w:t>
            </w: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12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Generation</w:t>
            </w:r>
          </w:p>
        </w:tc>
        <w:tc>
          <w:tcPr>
            <w:tcW w:w="12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10,488</w:t>
            </w:r>
          </w:p>
        </w:tc>
        <w:tc>
          <w:tcPr>
            <w:tcW w:w="0" w:type="dxa"/>
            <w:vAlign w:val="bottom"/>
          </w:tcPr>
          <w:p>
            <w:pPr>
              <w:spacing w:after="0"/>
              <w:rPr>
                <w:sz w:val="1"/>
                <w:szCs w:val="1"/>
                <w:color w:val="auto"/>
              </w:rPr>
            </w:pPr>
          </w:p>
        </w:tc>
      </w:tr>
      <w:tr>
        <w:trPr>
          <w:trHeight w:val="615"/>
        </w:trPr>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 2019</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9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99"/>
              </w:rPr>
              <w:t>Thermal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Generation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669"/>
        </w:trPr>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 2018</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9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99"/>
              </w:rPr>
              <w:t>Thermal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Generation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Incentives</w:t>
      </w:r>
    </w:p>
    <w:p>
      <w:pPr>
        <w:spacing w:after="0" w:line="175" w:lineRule="exact"/>
        <w:rPr>
          <w:sz w:val="20"/>
          <w:szCs w:val="20"/>
          <w:color w:val="auto"/>
        </w:rPr>
      </w:pPr>
    </w:p>
    <w:p>
      <w:pPr>
        <w:jc w:val="both"/>
        <w:ind w:firstLine="215"/>
        <w:spacing w:after="0" w:line="301" w:lineRule="auto"/>
        <w:rPr>
          <w:sz w:val="20"/>
          <w:szCs w:val="20"/>
          <w:color w:val="auto"/>
        </w:rPr>
      </w:pPr>
      <w:r>
        <w:rPr>
          <w:rFonts w:ascii="Arial" w:cs="Arial" w:eastAsia="Arial" w:hAnsi="Arial"/>
          <w:sz w:val="16"/>
          <w:szCs w:val="16"/>
          <w:color w:val="auto"/>
        </w:rPr>
        <w:t>Policy incentives in the U.S. have the effect of making the development of renewable energy projects more competitive by providing credits and other tax benefits for a portion of the development costs. A loss of or reduction in such incentives could decrease the attractiveness of renewable energy projects to developers, including CEG, which could reduce the Company's future acquisition opportunities. Such a loss or reduction could also reduce the Company's willingness to pursue or develop certain renewable energy projects due to higher operating costs or decreased revenues under its PPAs.</w:t>
      </w:r>
    </w:p>
    <w:p>
      <w:pPr>
        <w:spacing w:after="0" w:line="103"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18"/>
          <w:szCs w:val="18"/>
          <w:color w:val="auto"/>
        </w:rPr>
        <w:t>U.S. federal, state and local governments have established various incentives to support the development of renewable energy projects. These incentives include accelerated tax depreciation, PTCs, ITCs, cash grants, tax abatements and RPS programs. Pursuant to the U.S. federal Modified Accelerated Cost Recovery System, or MACRS, wind and solar projects are generally fully depreciated for tax purposes over a five-year period (before taking into account certain conventions) even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though the useful life of such projects is generally much longer than five years. The Tax Act also provides the ability for wind and solar projects to claim immediate expensing for property acquired and placed in service after September 27, 2017, and before January 1, 2023.</w:t>
      </w:r>
    </w:p>
    <w:p>
      <w:pPr>
        <w:spacing w:after="0" w:line="116" w:lineRule="exact"/>
        <w:rPr>
          <w:sz w:val="20"/>
          <w:szCs w:val="20"/>
          <w:color w:val="auto"/>
        </w:rPr>
      </w:pPr>
    </w:p>
    <w:p>
      <w:pPr>
        <w:jc w:val="both"/>
        <w:ind w:firstLine="277"/>
        <w:spacing w:after="0" w:line="269" w:lineRule="auto"/>
        <w:rPr>
          <w:sz w:val="20"/>
          <w:szCs w:val="20"/>
          <w:color w:val="auto"/>
        </w:rPr>
      </w:pPr>
      <w:r>
        <w:rPr>
          <w:rFonts w:ascii="Arial" w:cs="Arial" w:eastAsia="Arial" w:hAnsi="Arial"/>
          <w:sz w:val="17"/>
          <w:szCs w:val="17"/>
          <w:color w:val="auto"/>
        </w:rPr>
        <w:t>Owners of utility-scale wind facilities are eligible to claim an income tax credit (the PTC, or an ITC in lieu of the PTC) upon initially achieving commercial operation. The PTC is determined based on the amount of electricity produced by the wind facility during the first ten years of commercial operation. This incentive was created under the Energy Policy Act of 1992 and has been extended several times. Alternatively, an ITC equal to a percentage of the cost of a wind facility may be claimed in lieu of the PTC. In order to qualify for the PTC (or ITC in lieu of the PTC), construction of a wind facility must begin before a specified date and the taxpayer must maintain a continuous program of construction or continuous efforts to advance the project to completion. The Internal Revenue Service, or IRS, issued guidance stating that the safe harbor for continuous efforts and continuous construction requirements will generally be satisfied if the facility is placed in service no more than four years after the year in which construction of the facility began. In response to the COVID-19 pandemic, the IRS extended this safe harbor by one year for facilities that began construction in 2016 or 2017. The IRS also confirmed that retrofitted wind facilities may re-qualify for PTCs or ITCs pursuant to the beginning construction requirement, as long as the cost basis of the new investment is at least 80% of the facility’s total fair value.</w:t>
      </w:r>
    </w:p>
    <w:p>
      <w:pPr>
        <w:spacing w:after="0" w:line="131" w:lineRule="exact"/>
        <w:rPr>
          <w:sz w:val="20"/>
          <w:szCs w:val="20"/>
          <w:color w:val="auto"/>
        </w:rPr>
      </w:pPr>
    </w:p>
    <w:p>
      <w:pPr>
        <w:jc w:val="both"/>
        <w:ind w:right="20" w:firstLine="282"/>
        <w:spacing w:after="0" w:line="277" w:lineRule="auto"/>
        <w:rPr>
          <w:sz w:val="20"/>
          <w:szCs w:val="20"/>
          <w:color w:val="auto"/>
        </w:rPr>
      </w:pPr>
      <w:r>
        <w:rPr>
          <w:rFonts w:ascii="Arial" w:cs="Arial" w:eastAsia="Arial" w:hAnsi="Arial"/>
          <w:sz w:val="18"/>
          <w:szCs w:val="18"/>
          <w:color w:val="auto"/>
        </w:rPr>
        <w:t>Owners of solar projects are eligible to claim an ITC for new solar projects. Tax credits for qualifying wind and solar projects are subject to the following phase-down schedule.</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color w:val="auto"/>
                <w:w w:val="96"/>
              </w:rPr>
              <w:t>Year construction of project begins</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86"/>
        </w:trPr>
        <w:tc>
          <w:tcPr>
            <w:tcW w:w="28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2015</w:t>
            </w:r>
          </w:p>
        </w:tc>
        <w:tc>
          <w:tcPr>
            <w:tcW w:w="840" w:type="dxa"/>
            <w:vAlign w:val="bottom"/>
            <w:gridSpan w:val="2"/>
          </w:tcPr>
          <w:p>
            <w:pPr>
              <w:jc w:val="right"/>
              <w:ind w:right="1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6"/>
                <w:szCs w:val="16"/>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2024</w:t>
            </w:r>
          </w:p>
        </w:tc>
      </w:tr>
      <w:tr>
        <w:trPr>
          <w:trHeight w:val="186"/>
        </w:trPr>
        <w:tc>
          <w:tcPr>
            <w:tcW w:w="2860" w:type="dxa"/>
            <w:vAlign w:val="bottom"/>
            <w:tcBorders>
              <w:top w:val="single" w:sz="8" w:color="CCEEFF"/>
            </w:tcBorders>
            <w:shd w:val="clear" w:color="auto" w:fill="CCEEFF"/>
          </w:tcPr>
          <w:p>
            <w:pPr>
              <w:ind w:left="20"/>
              <w:spacing w:after="0" w:line="186" w:lineRule="exact"/>
              <w:rPr>
                <w:sz w:val="20"/>
                <w:szCs w:val="20"/>
                <w:color w:val="auto"/>
              </w:rPr>
            </w:pPr>
            <w:r>
              <w:rPr>
                <w:rFonts w:ascii="Arial" w:cs="Arial" w:eastAsia="Arial" w:hAnsi="Arial"/>
                <w:sz w:val="14"/>
                <w:szCs w:val="14"/>
                <w:color w:val="auto"/>
              </w:rPr>
              <w:t xml:space="preserve">PTC </w:t>
            </w:r>
            <w:r>
              <w:rPr>
                <w:rFonts w:ascii="Arial" w:cs="Arial" w:eastAsia="Arial" w:hAnsi="Arial"/>
                <w:sz w:val="18"/>
                <w:szCs w:val="18"/>
                <w:color w:val="auto"/>
                <w:vertAlign w:val="superscript"/>
              </w:rPr>
              <w:t>(a)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8"/>
              </w:rPr>
              <w:t>— %</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 %</w:t>
            </w:r>
          </w:p>
        </w:tc>
      </w:tr>
      <w:tr>
        <w:trPr>
          <w:trHeight w:val="189"/>
        </w:trPr>
        <w:tc>
          <w:tcPr>
            <w:tcW w:w="28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On Shore Wind ITC </w:t>
            </w:r>
            <w:r>
              <w:rPr>
                <w:rFonts w:ascii="Arial" w:cs="Arial" w:eastAsia="Arial" w:hAnsi="Arial"/>
                <w:sz w:val="18"/>
                <w:szCs w:val="18"/>
                <w:color w:val="auto"/>
                <w:vertAlign w:val="superscript"/>
              </w:rPr>
              <w:t>(b)</w:t>
            </w:r>
          </w:p>
        </w:tc>
        <w:tc>
          <w:tcPr>
            <w:tcW w:w="760" w:type="dxa"/>
            <w:vAlign w:val="bottom"/>
          </w:tcPr>
          <w:p>
            <w:pPr>
              <w:jc w:val="right"/>
              <w:spacing w:after="0"/>
              <w:rPr>
                <w:sz w:val="20"/>
                <w:szCs w:val="20"/>
                <w:color w:val="auto"/>
              </w:rPr>
            </w:pPr>
            <w:r>
              <w:rPr>
                <w:rFonts w:ascii="Arial" w:cs="Arial" w:eastAsia="Arial" w:hAnsi="Arial"/>
                <w:sz w:val="14"/>
                <w:szCs w:val="14"/>
                <w:color w:val="auto"/>
              </w:rPr>
              <w:t>30 %</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6"/>
                <w:szCs w:val="16"/>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 %</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 %</w:t>
            </w: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Solar ITC</w:t>
            </w:r>
            <w:r>
              <w:rPr>
                <w:rFonts w:ascii="Arial" w:cs="Arial" w:eastAsia="Arial" w:hAnsi="Arial"/>
                <w:sz w:val="5"/>
                <w:szCs w:val="5"/>
                <w:color w:val="auto"/>
              </w:rPr>
              <w:t>(c)</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26 %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10 %</w:t>
            </w:r>
          </w:p>
        </w:tc>
      </w:tr>
    </w:tbl>
    <w:p>
      <w:pPr>
        <w:spacing w:after="0" w:line="7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Percentage of the full PTC available for wind projects that begin construction during the applicable year.</w:t>
      </w:r>
    </w:p>
    <w:p>
      <w:pPr>
        <w:ind w:left="240" w:hanging="151"/>
        <w:spacing w:after="0" w:line="187" w:lineRule="auto"/>
        <w:tabs>
          <w:tab w:leader="none" w:pos="240" w:val="left"/>
        </w:tabs>
        <w:numPr>
          <w:ilvl w:val="1"/>
          <w:numId w:val="4"/>
        </w:numPr>
        <w:rPr>
          <w:rFonts w:ascii="Arial" w:cs="Arial" w:eastAsia="Arial" w:hAnsi="Arial"/>
          <w:sz w:val="18"/>
          <w:szCs w:val="18"/>
          <w:color w:val="auto"/>
          <w:vertAlign w:val="superscript"/>
        </w:rPr>
      </w:pPr>
      <w:r>
        <w:rPr>
          <w:rFonts w:ascii="Arial" w:cs="Arial" w:eastAsia="Arial" w:hAnsi="Arial"/>
          <w:sz w:val="14"/>
          <w:szCs w:val="14"/>
          <w:color w:val="auto"/>
        </w:rPr>
        <w:t>The Taxpayer Certainty and Disaster Tax Relief Act of 2020 provides for a new 30% ITC for offshore wind projects that begin construction before January 1, 2026.</w:t>
      </w:r>
    </w:p>
    <w:p>
      <w:pPr>
        <w:ind w:left="220" w:hanging="131"/>
        <w:spacing w:after="0" w:line="222" w:lineRule="auto"/>
        <w:tabs>
          <w:tab w:leader="none" w:pos="220" w:val="left"/>
        </w:tabs>
        <w:numPr>
          <w:ilvl w:val="1"/>
          <w:numId w:val="4"/>
        </w:numPr>
        <w:rPr>
          <w:rFonts w:ascii="Arial" w:cs="Arial" w:eastAsia="Arial" w:hAnsi="Arial"/>
          <w:sz w:val="16"/>
          <w:szCs w:val="16"/>
          <w:color w:val="auto"/>
          <w:vertAlign w:val="superscript"/>
        </w:rPr>
      </w:pPr>
      <w:r>
        <w:rPr>
          <w:rFonts w:ascii="Arial" w:cs="Arial" w:eastAsia="Arial" w:hAnsi="Arial"/>
          <w:sz w:val="12"/>
          <w:szCs w:val="12"/>
          <w:color w:val="auto"/>
        </w:rPr>
        <w:t>ITC is limited to 10% for projects not placed in service before January 1, 2026.</w:t>
      </w:r>
    </w:p>
    <w:p>
      <w:pPr>
        <w:spacing w:after="0" w:line="227"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RPS,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195"/>
        <w:spacing w:after="0" w:line="294" w:lineRule="auto"/>
        <w:rPr>
          <w:sz w:val="20"/>
          <w:szCs w:val="20"/>
          <w:color w:val="auto"/>
        </w:rPr>
      </w:pPr>
      <w:r>
        <w:rPr>
          <w:rFonts w:ascii="Arial" w:cs="Arial" w:eastAsia="Arial" w:hAnsi="Arial"/>
          <w:sz w:val="16"/>
          <w:szCs w:val="16"/>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w:t>
      </w:r>
    </w:p>
    <w:p>
      <w:pPr>
        <w:spacing w:after="0" w:line="171" w:lineRule="exact"/>
        <w:rPr>
          <w:sz w:val="20"/>
          <w:szCs w:val="20"/>
          <w:color w:val="auto"/>
        </w:rPr>
      </w:pPr>
    </w:p>
    <w:p>
      <w:pPr>
        <w:jc w:val="both"/>
        <w:ind w:firstLine="219"/>
        <w:spacing w:after="0" w:line="257" w:lineRule="auto"/>
        <w:rPr>
          <w:sz w:val="20"/>
          <w:szCs w:val="20"/>
          <w:color w:val="auto"/>
        </w:rPr>
      </w:pPr>
      <w:r>
        <w:rPr>
          <w:rFonts w:ascii="Arial" w:cs="Arial" w:eastAsia="Arial" w:hAnsi="Arial"/>
          <w:sz w:val="18"/>
          <w:szCs w:val="18"/>
          <w:color w:val="auto"/>
        </w:rPr>
        <w:t>FERC, among other things, regulates the transmission and the wholesale sale of electricity in interstate commerce under the authority of the FPA. The transmission and sale of electric energy occurring wholly within ERCOT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134" w:lineRule="exact"/>
        <w:rPr>
          <w:sz w:val="20"/>
          <w:szCs w:val="20"/>
          <w:color w:val="auto"/>
        </w:rPr>
      </w:pPr>
    </w:p>
    <w:p>
      <w:pPr>
        <w:jc w:val="both"/>
        <w:ind w:firstLine="213"/>
        <w:spacing w:after="0" w:line="311" w:lineRule="auto"/>
        <w:rPr>
          <w:sz w:val="20"/>
          <w:szCs w:val="20"/>
          <w:color w:val="auto"/>
        </w:rPr>
      </w:pPr>
      <w:r>
        <w:rPr>
          <w:rFonts w:ascii="Arial" w:cs="Arial" w:eastAsia="Arial" w:hAnsi="Arial"/>
          <w:sz w:val="16"/>
          <w:szCs w:val="16"/>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that are just and reasonable.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ind w:firstLine="192"/>
        <w:spacing w:after="0" w:line="301" w:lineRule="auto"/>
        <w:rPr>
          <w:sz w:val="20"/>
          <w:szCs w:val="20"/>
          <w:color w:val="auto"/>
        </w:rPr>
      </w:pPr>
      <w:r>
        <w:rPr>
          <w:rFonts w:ascii="Arial" w:cs="Arial" w:eastAsia="Arial" w:hAnsi="Arial"/>
          <w:sz w:val="16"/>
          <w:szCs w:val="16"/>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03" w:lineRule="exact"/>
        <w:rPr>
          <w:sz w:val="20"/>
          <w:szCs w:val="20"/>
          <w:color w:val="auto"/>
        </w:rPr>
      </w:pPr>
    </w:p>
    <w:p>
      <w:pPr>
        <w:jc w:val="both"/>
        <w:ind w:firstLine="184"/>
        <w:spacing w:after="0" w:line="311" w:lineRule="auto"/>
        <w:rPr>
          <w:sz w:val="20"/>
          <w:szCs w:val="20"/>
          <w:color w:val="auto"/>
        </w:rPr>
      </w:pPr>
      <w:r>
        <w:rPr>
          <w:rFonts w:ascii="Arial" w:cs="Arial" w:eastAsia="Arial" w:hAnsi="Arial"/>
          <w:sz w:val="16"/>
          <w:szCs w:val="16"/>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95" w:lineRule="exact"/>
        <w:rPr>
          <w:sz w:val="20"/>
          <w:szCs w:val="20"/>
          <w:color w:val="auto"/>
        </w:rPr>
      </w:pPr>
    </w:p>
    <w:p>
      <w:pPr>
        <w:jc w:val="both"/>
        <w:ind w:firstLine="231"/>
        <w:spacing w:after="0" w:line="263" w:lineRule="auto"/>
        <w:rPr>
          <w:sz w:val="20"/>
          <w:szCs w:val="20"/>
          <w:color w:val="auto"/>
        </w:rPr>
      </w:pPr>
      <w:r>
        <w:rPr>
          <w:rFonts w:ascii="Arial" w:cs="Arial" w:eastAsia="Arial" w:hAnsi="Arial"/>
          <w:sz w:val="18"/>
          <w:szCs w:val="18"/>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13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8"/>
          <w:szCs w:val="18"/>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 number of regulations that may affect the Company are either recently effective for 2021 or under review for potential revision or rescission in 2021, including the Affordable Clean Energy (ACE) rule, state solar photovoltaic module (solar panel) disposal and recycling regulations, and federal Migratory Bird Treaty Act, or MBTA, incidental take regulations. Government leaders have also considered proposed MBTA legislation. The Company will evaluate the impact of the legislation and regulations as they are 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spacing w:after="0" w:line="16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Affordable Clean Energy Rule </w:t>
      </w:r>
      <w:r>
        <w:rPr>
          <w:rFonts w:ascii="Arial" w:cs="Arial" w:eastAsia="Arial" w:hAnsi="Arial"/>
          <w:sz w:val="17"/>
          <w:szCs w:val="17"/>
          <w:color w:val="auto"/>
        </w:rPr>
        <w:t>— The attention in recent years on GHG emissions has resulted in federal regulations and state legislative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action. In 2015, the EPA finalized the Clean Power Plan, or the CPP, which addressed GHG emissions from existing electric utility steam generating units. The CPP was challenged in court and in 2016 the U.S. Supreme Court stayed the CPP. In 2019, the EPA published the Affordable Clean Energy, or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However, on January 19, 2021, the U.S. Court of Appeals for the District of Columbia Circuit issued a judgment vacating and remanding the ACE rule. The CPP is currently expected to become effective in 2021, barring additional action by the Biden Administration or the U.S. Supreme Court. The reimplementation of the CPP, or a potential replacement of the CPP by the Biden Administration with another program regulating GHG emissions could result in increased operating costs or capital expenses for our conventional power generating facilities.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Proposed and Final State Solar Photovoltaic Module Disposal and Recycling Regulations </w:t>
      </w:r>
      <w:r>
        <w:rPr>
          <w:rFonts w:ascii="Arial" w:cs="Arial" w:eastAsia="Arial" w:hAnsi="Arial"/>
          <w:sz w:val="18"/>
          <w:szCs w:val="18"/>
          <w:color w:val="auto"/>
        </w:rPr>
        <w:t>— On October 1, 2015, California enacted SB 489, which</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California’s Department of Toxic Substances Control ("DTSC") to adopt regulations to designate discarded photovoltaic modules, which are classified as hazardous waste, as universal waste subject to universal waste management. On April 19, 2019, the department proposed regulations that would allow discarded photovoltaic modules to be managed as universal waste. The final regulations were approved by the CA Office of Administrative Law in September 2020 and became effective January 1, 2021. DTSC issued the final regulatory text in April 2020 and the regulations became effective January 1,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ind w:firstLine="405"/>
        <w:spacing w:after="0" w:line="263" w:lineRule="auto"/>
        <w:rPr>
          <w:sz w:val="20"/>
          <w:szCs w:val="20"/>
          <w:color w:val="auto"/>
        </w:rPr>
      </w:pPr>
      <w:r>
        <w:rPr>
          <w:rFonts w:ascii="Arial" w:cs="Arial" w:eastAsia="Arial" w:hAnsi="Arial"/>
          <w:sz w:val="18"/>
          <w:szCs w:val="18"/>
          <w:color w:val="auto"/>
        </w:rPr>
        <w:t>In January 2021, the State of Hawaii issued a public notice of proposed rule changes which amongst other items, include proposed new solar panel universal waste rule. This proposed rule would create a new universal waste category for solar panels and allow solar panel waste management to be conducted under the existing regulatory framework.</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Proposed Federal MBTA Incidental Take Legislation and Regulations </w:t>
      </w:r>
      <w:r>
        <w:rPr>
          <w:rFonts w:ascii="Arial" w:cs="Arial" w:eastAsia="Arial" w:hAnsi="Arial"/>
          <w:sz w:val="16"/>
          <w:szCs w:val="16"/>
          <w:color w:val="auto"/>
        </w:rPr>
        <w:t>— On January 15, 2020, the House Natural Resources Committee voted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advance a bill that would reinstate the interpretation that incidental take is prohibited under the MBTA, overriding the Trump-administration Solicitor’s</w:t>
      </w:r>
    </w:p>
    <w:p>
      <w:pPr>
        <w:spacing w:after="0" w:line="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116"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7"/>
          <w:szCs w:val="17"/>
          <w:color w:val="auto"/>
        </w:rPr>
        <w:t>On January 7, 2021, the U.S. Fish and Wildlife Service (“FWS”) published a final rule codifying the Solicitor’s Opinion M-37050 defining the scope of certain prohibitions under the MBTA. The final rule clarifies that criminal liability for pursuing, hunting, taking, capturing, or killing or attempting to take, capture or kill migratory birds is limited to actions directed at migratory birds, their nests, or their eggs. Under the final rule, these prohibitions do not extend to actions that only incidentally take or kill migratory birds as a result of otherwise lawful activities. However, the final rule and the underlying Solicitor’s Opinion have both been subject to legal challenges. On August 11, 2020, the Southern District Court in New York vacated the Solicitor's Opinion, finding there was not an adequate legal basis for the policy changes articulated in the guidance document. In addition, on January 19, 2021, environmental groups filed a lawsuit in the U.S. District Court for the Southern District of New York arguing that the FWS’s January 2021 final rule improperly relied on the vacated Solicitor’s Opinion, violates the MBTA, and should be vacated. Finally, on January 20, 2021, President Biden issued an executive order to review and consider suspending, revising, or rescinding agency actions taken between January 20, 2017 and January 20, 2021 determined to be inconsistent with certain public health and environmental goals. This includes a review of both the Solicitor’s Opinion and the FWS’s January 2021 final rule. In response to this directive, on February 9, 2021, the FWS delayed the effective date of the January 2021 final rule until March 8, 2021 and requested public comment to inform its review and a potential extended delay. A return to the position that incidental take is prohibited under the MBTA, or the development of legislation or regulations contrary to the FWS’s January 2021 rule, could increase potential liability and impose additional permitting requirements on our operations.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State Migratory Bird Incidental Take Legislation and Regulations </w:t>
      </w:r>
      <w:r>
        <w:rPr>
          <w:rFonts w:ascii="Arial" w:cs="Arial" w:eastAsia="Arial" w:hAnsi="Arial"/>
          <w:sz w:val="18"/>
          <w:szCs w:val="18"/>
          <w:color w:val="auto"/>
        </w:rPr>
        <w:t>— In 2019, Assembly Member Kalra introduced AB 454 to protect migratory bird</w:t>
      </w:r>
      <w:r>
        <w:rPr>
          <w:rFonts w:ascii="Arial" w:cs="Arial" w:eastAsia="Arial" w:hAnsi="Arial"/>
          <w:sz w:val="18"/>
          <w:szCs w:val="18"/>
          <w:i w:val="1"/>
          <w:iCs w:val="1"/>
          <w:color w:val="auto"/>
        </w:rPr>
        <w:t xml:space="preserve"> </w:t>
      </w:r>
      <w:r>
        <w:rPr>
          <w:rFonts w:ascii="Arial" w:cs="Arial" w:eastAsia="Arial" w:hAnsi="Arial"/>
          <w:sz w:val="18"/>
          <w:szCs w:val="18"/>
          <w:color w:val="auto"/>
        </w:rPr>
        <w:t>species in California. This new bill was intended to backstop the MBTA. The bill, which sunsets on January 20, 2025, makes it unlawful to take or possess any migratory bird in California except as provided by pre-2017 federal guidance. The bill was approved by the State Legislature and signed into law by Governor Newsom in October 2019.</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The Company sells its electricity and environmental attributes, including RECs, primarily to local utilities under long-term, fixed-price PPAs. During the year ended December 31, 2020, the Company derived approximately 34% of its consolidated revenue from Southern California Edison, or SCE, and approximately 18% of its consolidated revenue from PG&amp;E.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 of December 31, 2020, the Company had 301 employees, 56 of which are in Corporate and 245 of which are in the Thermal business. The Company also depends upon personnel of CEG for the provision of management, administration, O&amp;M and certain other services at certain of the Company's renewable generation facilities.</w:t>
      </w:r>
    </w:p>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Company focuses on attracting, developing and retaining a team of highly talented and motivated employees. The Company regularly conducts assessments of its compensation and benefit practices and pay levels to help ensure that staff members are compensated fairly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 See "Environmental, Social and Governance (ESG)" below for a discussion of the Company's commitment to the health and safety of the Company's employees.</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is committed to maintaining a workplace that acknowledges, encourages, and values diversity and inclusion.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ind w:firstLine="648"/>
        <w:spacing w:after="0" w:line="248" w:lineRule="auto"/>
        <w:rPr>
          <w:sz w:val="20"/>
          <w:szCs w:val="20"/>
          <w:color w:val="auto"/>
        </w:rPr>
      </w:pPr>
      <w:r>
        <w:rPr>
          <w:rFonts w:ascii="Arial" w:cs="Arial" w:eastAsia="Arial" w:hAnsi="Arial"/>
          <w:sz w:val="18"/>
          <w:szCs w:val="18"/>
          <w:color w:val="auto"/>
        </w:rPr>
        <w:t>By leveraging the multitude of backgrounds and perspectives of its team and developing ongoing relationships with diverse vendors, the Company achieves a collective strength that enhances the work place and makes the Company a better business partner for its customers and others with a stake in the Company’s success.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2020, the Company launched its Equity, Partnership &amp; Inclusion Council, or EPIC. As part of its commitment, the Company provides education on topics related to diversity, inclusion, and anti-racism. The Company also identified three areas of focus – Our People, Our Product &amp; Customers and Our Purchasing. With the involvement of its employees, EPIC is advancing efforts in each of these areas to identify and implement opportunities for the Company to address equity, partnership and inclusion issues in our business activities.</w:t>
      </w:r>
    </w:p>
    <w:p>
      <w:pPr>
        <w:spacing w:after="0" w:line="134" w:lineRule="exact"/>
        <w:rPr>
          <w:sz w:val="20"/>
          <w:szCs w:val="20"/>
          <w:color w:val="auto"/>
        </w:rPr>
      </w:pPr>
    </w:p>
    <w:p>
      <w:pPr>
        <w:ind w:left="660" w:right="660"/>
        <w:spacing w:after="0" w:line="261" w:lineRule="auto"/>
        <w:rPr>
          <w:sz w:val="20"/>
          <w:szCs w:val="20"/>
          <w:color w:val="auto"/>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focuses on education and training; diversity, equity and inclusion policies and recruitment strategies; community and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and maintaining high employee engagement and retention.</w:t>
      </w:r>
    </w:p>
    <w:p>
      <w:pPr>
        <w:spacing w:after="0" w:line="198" w:lineRule="exact"/>
        <w:rPr>
          <w:sz w:val="20"/>
          <w:szCs w:val="20"/>
          <w:color w:val="auto"/>
        </w:rPr>
      </w:pPr>
    </w:p>
    <w:p>
      <w:pPr>
        <w:ind w:left="660" w:right="660"/>
        <w:spacing w:after="0" w:line="261" w:lineRule="auto"/>
        <w:rPr>
          <w:sz w:val="20"/>
          <w:szCs w:val="20"/>
          <w:color w:val="auto"/>
        </w:rPr>
      </w:pPr>
      <w:r>
        <w:rPr>
          <w:rFonts w:ascii="Arial" w:cs="Arial" w:eastAsia="Arial" w:hAnsi="Arial"/>
          <w:sz w:val="18"/>
          <w:szCs w:val="18"/>
          <w:i w:val="1"/>
          <w:iCs w:val="1"/>
          <w:color w:val="auto"/>
        </w:rPr>
        <w:t xml:space="preserve">Our Product &amp; Customers </w:t>
      </w:r>
      <w:r>
        <w:rPr>
          <w:rFonts w:ascii="Arial" w:cs="Arial" w:eastAsia="Arial" w:hAnsi="Arial"/>
          <w:sz w:val="18"/>
          <w:szCs w:val="18"/>
          <w:color w:val="auto"/>
        </w:rPr>
        <w:t>focuses on identifying and eliminating any sales practices that could have a discriminatory impact and creating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development for low-income customers.</w:t>
      </w:r>
    </w:p>
    <w:p>
      <w:pPr>
        <w:spacing w:after="0" w:line="198" w:lineRule="exact"/>
        <w:rPr>
          <w:sz w:val="20"/>
          <w:szCs w:val="20"/>
          <w:color w:val="auto"/>
        </w:rPr>
      </w:pPr>
    </w:p>
    <w:p>
      <w:pPr>
        <w:ind w:left="660" w:right="620"/>
        <w:spacing w:after="0" w:line="261" w:lineRule="auto"/>
        <w:rPr>
          <w:sz w:val="20"/>
          <w:szCs w:val="20"/>
          <w:color w:val="auto"/>
        </w:rPr>
      </w:pPr>
      <w:r>
        <w:rPr>
          <w:rFonts w:ascii="Arial" w:cs="Arial" w:eastAsia="Arial" w:hAnsi="Arial"/>
          <w:sz w:val="18"/>
          <w:szCs w:val="18"/>
          <w:i w:val="1"/>
          <w:iCs w:val="1"/>
          <w:color w:val="auto"/>
        </w:rPr>
        <w:t xml:space="preserve">Our Purchasing </w:t>
      </w:r>
      <w:r>
        <w:rPr>
          <w:rFonts w:ascii="Arial" w:cs="Arial" w:eastAsia="Arial" w:hAnsi="Arial"/>
          <w:sz w:val="18"/>
          <w:szCs w:val="18"/>
          <w:color w:val="auto"/>
        </w:rPr>
        <w:t>focuses on establishing a non-discriminatory practices standard for the Company’s suppliers, diverse vendor sourcing and</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benchmarking.</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addition to the personnel of CEG, the Company relies on other third-party service providers in the daily operations of certain of the Company's renewable and conventional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 Company is committed to engaging with its stakeholders on environmental, social and governance, or ESG, matters in a proactive, holistic and integrated manner. The Company strives to provide recent, credible and comparable data to ESG agencies while engaging institutional investors and investor advocacy organizations around ESG issues. The Company's Corporate Governance, Conflicts and Nominating Committee reviews developing trends and emerging ESG matters, as well as the Company’s strategies, activities policies and communications regarding ESG matters, and makes recommendations to the Company's Board of Directors regarding potential actions by the Company.</w:t>
      </w:r>
    </w:p>
    <w:p>
      <w:pPr>
        <w:spacing w:after="0" w:line="20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has issued $1.1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The Company's projects and alignment of its Green Bond Principles (2018) are reviewed by Sustainalytics, an outside consultant with recognized expertise in ESG research and analysis.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Company includes safety performance goals in the annual incentive plan for its management and the Company had zero fatalities in 2020. 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As discussed in greater detail above, the Company has focused its diversity, equity and inclusion efforts in three areas </w:t>
      </w:r>
      <w:r>
        <w:rPr>
          <w:rFonts w:ascii="Arial" w:cs="Arial" w:eastAsia="Arial" w:hAnsi="Arial"/>
          <w:sz w:val="19"/>
          <w:szCs w:val="19"/>
          <w:color w:val="auto"/>
        </w:rPr>
        <w:t>–</w:t>
      </w:r>
      <w:r>
        <w:rPr>
          <w:rFonts w:ascii="Arial" w:cs="Arial" w:eastAsia="Arial" w:hAnsi="Arial"/>
          <w:sz w:val="16"/>
          <w:szCs w:val="16"/>
          <w:color w:val="auto"/>
        </w:rPr>
        <w:t xml:space="preserve"> Our People, Our Product</w:t>
      </w:r>
    </w:p>
    <w:p>
      <w:pPr>
        <w:spacing w:after="0" w:line="48" w:lineRule="exact"/>
        <w:rPr>
          <w:sz w:val="20"/>
          <w:szCs w:val="20"/>
          <w:color w:val="auto"/>
        </w:rPr>
      </w:pPr>
    </w:p>
    <w:p>
      <w:pPr>
        <w:ind w:firstLine="8"/>
        <w:spacing w:after="0" w:line="303" w:lineRule="auto"/>
        <w:tabs>
          <w:tab w:leader="none" w:pos="193"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Customers and Our Purchasing – through its launch of EPIC. With the involvement of the Company’s employees, EPIC is advancing efforts in each of these areas to identify and implement opportunities for the Company to address equity, partnership and inclusion issues in its business activities.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215"/>
        <w:spacing w:after="0" w:line="241" w:lineRule="auto"/>
        <w:rPr>
          <w:sz w:val="20"/>
          <w:szCs w:val="20"/>
          <w:color w:val="auto"/>
        </w:rPr>
      </w:pPr>
      <w:r>
        <w:rPr>
          <w:rFonts w:ascii="Arial" w:cs="Arial" w:eastAsia="Arial" w:hAnsi="Arial"/>
          <w:sz w:val="18"/>
          <w:szCs w:val="18"/>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"Investor Relations" section of Clearway, Inc.'s website, </w:t>
      </w:r>
      <w:r>
        <w:rPr>
          <w:rFonts w:ascii="Arial" w:cs="Arial" w:eastAsia="Arial" w:hAnsi="Arial"/>
          <w:sz w:val="18"/>
          <w:szCs w:val="18"/>
          <w:i w:val="1"/>
          <w:iCs w:val="1"/>
          <w:color w:val="auto"/>
        </w:rPr>
        <w:t>www.clearwayenergy.com</w:t>
      </w:r>
      <w:r>
        <w:rPr>
          <w:rFonts w:ascii="Arial" w:cs="Arial" w:eastAsia="Arial" w:hAnsi="Arial"/>
          <w:sz w:val="18"/>
          <w:szCs w:val="18"/>
          <w:color w:val="auto"/>
        </w:rPr>
        <w:t>, as soon as reasonably practicable after they are electronically filed with, or furnished to, the SEC. The Company also routinely posts press releases, presentations, webcasts, and other information regarding the Company on Clearway, Inc.'s website. The information posted on Clearway, Inc.'s website is not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 Risk Factors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00" w:lineRule="exact"/>
        <w:rPr>
          <w:sz w:val="20"/>
          <w:szCs w:val="20"/>
          <w:color w:val="auto"/>
        </w:rPr>
      </w:pP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Company’s business is subject to numerous risks and uncertainties, discussed in more detail in the following section. These risks include among others, the following key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256" w:lineRule="exact"/>
        <w:rPr>
          <w:sz w:val="20"/>
          <w:szCs w:val="20"/>
          <w:color w:val="auto"/>
        </w:rPr>
      </w:pPr>
    </w:p>
    <w:p>
      <w:pPr>
        <w:ind w:left="660" w:right="320" w:hanging="328"/>
        <w:spacing w:after="0" w:line="23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ongoing coronavirus (COVID-19) outbreak or any other pandemic could adversely affect the Company’s business, financial condition and results of operations.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Certain facilities are newly constructed and may not perform as expected.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Company's ability to grow and make acquisitions through cash on hand could be limited.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Company may not be able to effectively identify or consummate any future acquisitions on favorable terms, or at all.</w:t>
      </w:r>
    </w:p>
    <w:p>
      <w:pPr>
        <w:spacing w:after="0" w:line="2" w:lineRule="exact"/>
        <w:rPr>
          <w:rFonts w:ascii="Arial" w:cs="Arial" w:eastAsia="Arial" w:hAnsi="Arial"/>
          <w:sz w:val="20"/>
          <w:szCs w:val="20"/>
          <w:color w:val="auto"/>
        </w:rPr>
      </w:pPr>
    </w:p>
    <w:p>
      <w:pPr>
        <w:ind w:left="660" w:right="100" w:hanging="328"/>
        <w:spacing w:after="0" w:line="241"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7"/>
          <w:szCs w:val="17"/>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1" w:lineRule="exact"/>
        <w:rPr>
          <w:rFonts w:ascii="Arial" w:cs="Arial" w:eastAsia="Arial" w:hAnsi="Arial"/>
          <w:sz w:val="19"/>
          <w:szCs w:val="19"/>
          <w:color w:val="auto"/>
        </w:rPr>
      </w:pPr>
    </w:p>
    <w:p>
      <w:pPr>
        <w:ind w:left="660" w:right="100" w:hanging="328"/>
        <w:spacing w:after="0" w:line="22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Company’s ability to effectively consummate future acquisitions will also depend on the Company’s ability to arrange the required or desired financing for acquisitions.</w:t>
      </w:r>
    </w:p>
    <w:p>
      <w:pPr>
        <w:spacing w:after="0" w:line="1" w:lineRule="exact"/>
        <w:rPr>
          <w:rFonts w:ascii="Arial" w:cs="Arial" w:eastAsia="Arial" w:hAnsi="Arial"/>
          <w:sz w:val="20"/>
          <w:szCs w:val="20"/>
          <w:color w:val="auto"/>
        </w:rPr>
      </w:pPr>
    </w:p>
    <w:p>
      <w:pPr>
        <w:ind w:left="660" w:right="100" w:hanging="328"/>
        <w:spacing w:after="0" w:line="259"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6"/>
          <w:szCs w:val="16"/>
          <w:color w:val="auto"/>
        </w:rPr>
        <w:t>Even if the Company consummates acquisitions that it believes will be accretive to CAFD per share of Class A common stock and Class C common stock, those acquisitions may decrease the CAFD per share of Class A common stock and Class C common stock as a result of incorrect assumptions in the Company’s evaluation of such acquisitions, unforeseen consequences or other external events beyond the Company’s control.</w:t>
      </w:r>
    </w:p>
    <w:p>
      <w:pPr>
        <w:ind w:left="660" w:right="200" w:hanging="328"/>
        <w:spacing w:after="0" w:line="242"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7"/>
          <w:szCs w:val="17"/>
          <w:color w:val="auto"/>
        </w:rPr>
        <w:t>The Company’s indebtedness could adversely affect its ability to raise additional capital to fund the Company’s operations or pay dividends, and its debt may be adversely affected by changes to, or replacement of, the London Interbank Offered Rate, or LIBOR.</w:t>
      </w:r>
    </w:p>
    <w:p>
      <w:pPr>
        <w:spacing w:after="0" w:line="1" w:lineRule="exact"/>
        <w:rPr>
          <w:rFonts w:ascii="Arial" w:cs="Arial" w:eastAsia="Arial" w:hAnsi="Arial"/>
          <w:sz w:val="19"/>
          <w:szCs w:val="19"/>
          <w:color w:val="auto"/>
        </w:rPr>
      </w:pPr>
    </w:p>
    <w:p>
      <w:pPr>
        <w:ind w:left="660" w:right="120" w:hanging="328"/>
        <w:spacing w:after="0" w:line="23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1" w:lineRule="exact"/>
        <w:rPr>
          <w:rFonts w:ascii="Arial" w:cs="Arial" w:eastAsia="Arial" w:hAnsi="Arial"/>
          <w:sz w:val="20"/>
          <w:szCs w:val="20"/>
          <w:color w:val="auto"/>
        </w:rPr>
      </w:pPr>
    </w:p>
    <w:p>
      <w:pPr>
        <w:ind w:left="660" w:right="200" w:hanging="328"/>
        <w:spacing w:after="0" w:line="22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Maintenance, expansion and refurbishment of electric generation facilities involve significant risks that could result in unplanned power outages or reduced output.</w:t>
      </w:r>
    </w:p>
    <w:p>
      <w:pPr>
        <w:spacing w:after="0" w:line="1" w:lineRule="exact"/>
        <w:rPr>
          <w:rFonts w:ascii="Arial" w:cs="Arial" w:eastAsia="Arial" w:hAnsi="Arial"/>
          <w:sz w:val="20"/>
          <w:szCs w:val="20"/>
          <w:color w:val="auto"/>
        </w:rPr>
      </w:pPr>
    </w:p>
    <w:p>
      <w:pPr>
        <w:ind w:left="660" w:right="860" w:hanging="328"/>
        <w:spacing w:after="0" w:line="22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Supplier and/or customer concentration at certain of the Company's facilities may expose the Company to significant financial credit or performance risks. The Company's operations also depend on key personnel.</w:t>
      </w:r>
    </w:p>
    <w:p>
      <w:pPr>
        <w:spacing w:after="0" w:line="1" w:lineRule="exact"/>
        <w:rPr>
          <w:rFonts w:ascii="Arial" w:cs="Arial" w:eastAsia="Arial" w:hAnsi="Arial"/>
          <w:sz w:val="20"/>
          <w:szCs w:val="20"/>
          <w:color w:val="auto"/>
        </w:rPr>
      </w:pPr>
    </w:p>
    <w:p>
      <w:pPr>
        <w:ind w:left="660" w:right="80" w:hanging="328"/>
        <w:spacing w:after="0" w:line="22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 w:lineRule="exact"/>
        <w:rPr>
          <w:rFonts w:ascii="Arial" w:cs="Arial" w:eastAsia="Arial" w:hAnsi="Arial"/>
          <w:sz w:val="20"/>
          <w:szCs w:val="20"/>
          <w:color w:val="auto"/>
        </w:rPr>
      </w:pPr>
    </w:p>
    <w:p>
      <w:pPr>
        <w:ind w:left="660" w:right="100" w:hanging="328"/>
        <w:spacing w:after="0" w:line="22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 w:lineRule="exact"/>
        <w:rPr>
          <w:rFonts w:ascii="Arial" w:cs="Arial" w:eastAsia="Arial" w:hAnsi="Arial"/>
          <w:sz w:val="20"/>
          <w:szCs w:val="20"/>
          <w:color w:val="auto"/>
        </w:rPr>
      </w:pPr>
    </w:p>
    <w:p>
      <w:pPr>
        <w:ind w:left="660" w:right="440" w:hanging="328"/>
        <w:spacing w:after="0" w:line="22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Company does not own all of the land on which its power generation or thermal assets are located, which could result in disruption to its operations.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Company's businesses are subject to physical, market and economic risks relating to potential effects of climate change.</w:t>
      </w:r>
    </w:p>
    <w:p>
      <w:pPr>
        <w:spacing w:after="0" w:line="2" w:lineRule="exact"/>
        <w:rPr>
          <w:rFonts w:ascii="Arial" w:cs="Arial" w:eastAsia="Arial" w:hAnsi="Arial"/>
          <w:sz w:val="20"/>
          <w:szCs w:val="20"/>
          <w:color w:val="auto"/>
        </w:rPr>
      </w:pPr>
    </w:p>
    <w:p>
      <w:pPr>
        <w:jc w:val="both"/>
        <w:ind w:left="660" w:right="340" w:hanging="328"/>
        <w:spacing w:after="0" w:line="23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operation of the Company’s businesses is subject to cyber-based security and integrity risk.</w:t>
      </w:r>
    </w:p>
    <w:p>
      <w:pPr>
        <w:spacing w:after="0" w:line="2" w:lineRule="exact"/>
        <w:rPr>
          <w:rFonts w:ascii="Arial" w:cs="Arial" w:eastAsia="Arial" w:hAnsi="Arial"/>
          <w:sz w:val="20"/>
          <w:szCs w:val="20"/>
          <w:color w:val="auto"/>
        </w:rPr>
      </w:pPr>
    </w:p>
    <w:p>
      <w:pPr>
        <w:ind w:left="660" w:right="140" w:hanging="328"/>
        <w:spacing w:after="0" w:line="259"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7"/>
          <w:szCs w:val="17"/>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2" w:lineRule="exact"/>
        <w:rPr>
          <w:rFonts w:ascii="Arial" w:cs="Arial" w:eastAsia="Arial" w:hAnsi="Arial"/>
          <w:sz w:val="19"/>
          <w:szCs w:val="19"/>
          <w:color w:val="auto"/>
        </w:rPr>
      </w:pPr>
    </w:p>
    <w:p>
      <w:pPr>
        <w:ind w:left="660" w:right="180" w:hanging="328"/>
        <w:spacing w:after="0" w:line="22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the Company’s Relationship with GIP and CEG</w:t>
      </w:r>
    </w:p>
    <w:p>
      <w:pPr>
        <w:spacing w:after="0" w:line="200" w:lineRule="exact"/>
        <w:rPr>
          <w:sz w:val="20"/>
          <w:szCs w:val="20"/>
          <w:color w:val="auto"/>
        </w:rPr>
      </w:pPr>
    </w:p>
    <w:p>
      <w:pPr>
        <w:spacing w:after="0" w:line="232" w:lineRule="exact"/>
        <w:rPr>
          <w:sz w:val="20"/>
          <w:szCs w:val="20"/>
          <w:color w:val="auto"/>
        </w:rPr>
      </w:pPr>
    </w:p>
    <w:p>
      <w:pPr>
        <w:ind w:left="660" w:right="740" w:hanging="328"/>
        <w:spacing w:after="0" w:line="24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auto"/>
        </w:rPr>
        <w:t>GIP, through its ownership of CEG, is the Company's controlling stockholder and exercises substantial influence over the Company. The Company is highly dependent on GIP and CEG.</w:t>
      </w:r>
    </w:p>
    <w:p>
      <w:pPr>
        <w:ind w:left="640" w:hanging="308"/>
        <w:spacing w:after="0" w:line="225" w:lineRule="auto"/>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The Company may not be able to consummate future acquisitions from CEG.</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The Company may be unable to terminate the CEG Master Services Agreement, in certain circumstances.</w:t>
      </w:r>
    </w:p>
    <w:p>
      <w:pPr>
        <w:spacing w:after="0" w:line="2" w:lineRule="exact"/>
        <w:rPr>
          <w:rFonts w:ascii="Arial" w:cs="Arial" w:eastAsia="Arial" w:hAnsi="Arial"/>
          <w:sz w:val="20"/>
          <w:szCs w:val="20"/>
          <w:color w:val="auto"/>
        </w:rPr>
      </w:pPr>
    </w:p>
    <w:p>
      <w:pPr>
        <w:ind w:left="660" w:right="180" w:hanging="328"/>
        <w:spacing w:after="0" w:line="228"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 w:lineRule="exact"/>
        <w:rPr>
          <w:rFonts w:ascii="Arial" w:cs="Arial" w:eastAsia="Arial" w:hAnsi="Arial"/>
          <w:sz w:val="20"/>
          <w:szCs w:val="20"/>
          <w:color w:val="auto"/>
        </w:rPr>
      </w:pPr>
    </w:p>
    <w:p>
      <w:pPr>
        <w:ind w:left="660" w:right="320" w:hanging="328"/>
        <w:spacing w:after="0" w:line="237"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auto"/>
        </w:rPr>
        <w:t>The Company is a “controlled company," controlled by GIP, and as a result, is exempt from certain corporate governance requirements that are designed to provide protection to stockholders of companies that are not controlled companies.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4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Company's business is subject to restrictions resulting from environmental, health and safety laws and regulations.</w:t>
      </w:r>
    </w:p>
    <w:p>
      <w:pPr>
        <w:spacing w:after="0" w:line="23" w:lineRule="exact"/>
        <w:rPr>
          <w:rFonts w:ascii="Arial" w:cs="Arial" w:eastAsia="Arial" w:hAnsi="Arial"/>
          <w:sz w:val="18"/>
          <w:szCs w:val="18"/>
          <w:b w:val="1"/>
          <w:bCs w:val="1"/>
          <w:color w:val="auto"/>
        </w:rPr>
      </w:pPr>
    </w:p>
    <w:p>
      <w:pPr>
        <w:ind w:left="660" w:right="20" w:hanging="328"/>
        <w:spacing w:after="0" w:line="22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ind w:left="660" w:right="380" w:hanging="328"/>
        <w:spacing w:after="0" w:line="23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regulations providing incentives for renewable generation could change at any time and such changes may negatively impact the Company's growth strategy.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profitability of certain of the Company's Thermal assets is dependent on regulatory approval.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the Company's Business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ongoing coronavirus (COVID-19) pandemic or any other pandemic could adversely affect the Company’s business, financial condition and results of operations.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The ongoing coronavirus (COVID-19) outbreak, which the World Health Organization declared as a pandemic on March 11, 2020, has reached every region of the world and has resulted in widespread adverse impacts on the global economy. In response, the Company has modified certain business and workforce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conform to government restrictions and best practices encouraged by governmental and regulatory authorities. However, the quarantine of personnel or the inability to access the Company’s facilities or customer sites could adversely affect the Company’s operations. Also, the Company has a limited number of highly skilled employees for some of its operations. If a large proportion of the Company’s employees in those critical positions were to contract COVID-19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w:t>
      </w:r>
    </w:p>
    <w:p>
      <w:pPr>
        <w:spacing w:after="0" w:line="19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There is considerable uncertainty regarding how long the COVID-19 pandemic will persist and affect economic conditions, as well as whether governmental and other measures implemented to try to slow the spread of the virus, such as large-scale travel bans and restrictions, border closures, quarantines, shelter-in-place orders and business and government shutdowns that exist as of the date of this report will be effective or whether new measures will be implemented or reinstated. Restrictions of this nature may cause the Company, its suppliers and other business counterparties to experience operational delays and delays in the delivery of materials and supplies and may cause milestones or deadlines relating to various projects to be missed. As a result, the Company could experience reductions in its sales and corresponding revenues in future periods. In addition, worsening economic conditions could result in the Company’s customers being unable or unwilling to fulfill their contractual obligations over time, or as contracts expire, to replace them with agreements on similar terms, which would impact the Company’s future financial performance. A significant decline in sales for the output the Company generates, whether due to decreases in consumer demand or disruption to its facilities or otherwise, would have a material adverse effect on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13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of the date of this report, the Company's efforts to respond to the challenges presented by the conditions described above have allowed the Company to minimize the impacts to its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ind w:firstLine="405"/>
        <w:spacing w:after="0" w:line="257" w:lineRule="auto"/>
        <w:rPr>
          <w:sz w:val="20"/>
          <w:szCs w:val="20"/>
          <w:color w:val="auto"/>
        </w:rPr>
      </w:pPr>
      <w:r>
        <w:rPr>
          <w:rFonts w:ascii="Arial" w:cs="Arial" w:eastAsia="Arial" w:hAnsi="Arial"/>
          <w:sz w:val="17"/>
          <w:szCs w:val="17"/>
          <w:color w:val="auto"/>
        </w:rPr>
        <w:t>Additionally, the effects of COVID-19 or any other pandemic on the global economy could adversely affect the Company’s ability to access the capital and other financial markets, and if so, the Company may need to consider alternative sources of funding for some of its operations and for working capital, which may increase its cost of, as well as adversely impact its access to, capital. These uncertain economic conditions may also result in the inability of the Company’s customers and other counterparties to make payments to the Company, on a timely basis or at all, which could adversely affect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121"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duration and persistence of the pandemic, the consequences of governmental and other measures designed to prevent the spread of the virus, the ability of governments and health care providers to timely distribute available vaccines and the efficacy of such vaccines, the duration of the outbreak, actions taken by governmental actions taken by authorities, customers, suppliers and other third parties, workforce availability and the timing and extent to which normal economic and operating conditions resume.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facilities are newly constructed and may not perform as expected.</w:t>
      </w:r>
    </w:p>
    <w:p>
      <w:pPr>
        <w:spacing w:after="0" w:line="239" w:lineRule="exact"/>
        <w:rPr>
          <w:sz w:val="20"/>
          <w:szCs w:val="20"/>
          <w:color w:val="auto"/>
        </w:rPr>
      </w:pPr>
    </w:p>
    <w:p>
      <w:pPr>
        <w:jc w:val="both"/>
        <w:ind w:firstLine="223"/>
        <w:spacing w:after="0" w:line="257" w:lineRule="auto"/>
        <w:rPr>
          <w:sz w:val="20"/>
          <w:szCs w:val="20"/>
          <w:color w:val="auto"/>
        </w:rPr>
      </w:pPr>
      <w:r>
        <w:rPr>
          <w:rFonts w:ascii="Arial" w:cs="Arial" w:eastAsia="Arial" w:hAnsi="Arial"/>
          <w:sz w:val="18"/>
          <w:szCs w:val="18"/>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distributions to Clearway, Inc. and CEG.</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Pursuant to the Company's cash distribution policy, the Company intends to distribute a significant amount of the CAFD through regular quarterly distributions, and the Company's ability to grow and make acquisitions through cash on hand could be limited.</w:t>
      </w:r>
    </w:p>
    <w:p>
      <w:pPr>
        <w:spacing w:after="0" w:line="116" w:lineRule="exact"/>
        <w:rPr>
          <w:sz w:val="20"/>
          <w:szCs w:val="20"/>
          <w:color w:val="auto"/>
        </w:rPr>
      </w:pPr>
    </w:p>
    <w:p>
      <w:pPr>
        <w:jc w:val="both"/>
        <w:ind w:firstLine="207"/>
        <w:spacing w:after="0" w:line="272" w:lineRule="auto"/>
        <w:rPr>
          <w:sz w:val="20"/>
          <w:szCs w:val="20"/>
          <w:color w:val="auto"/>
        </w:rPr>
      </w:pPr>
      <w:r>
        <w:rPr>
          <w:rFonts w:ascii="Arial" w:cs="Arial" w:eastAsia="Arial" w:hAnsi="Arial"/>
          <w:sz w:val="17"/>
          <w:szCs w:val="17"/>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makes to Clearway, Inc. and CEG.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effectively identify or consummate any future acquisitions on favorable terms, or at all.</w:t>
      </w:r>
    </w:p>
    <w:p>
      <w:pPr>
        <w:spacing w:after="0" w:line="171" w:lineRule="exact"/>
        <w:rPr>
          <w:sz w:val="20"/>
          <w:szCs w:val="20"/>
          <w:color w:val="auto"/>
        </w:rPr>
      </w:pPr>
    </w:p>
    <w:p>
      <w:pPr>
        <w:jc w:val="both"/>
        <w:ind w:firstLine="241"/>
        <w:spacing w:after="0" w:line="290" w:lineRule="auto"/>
        <w:rPr>
          <w:sz w:val="20"/>
          <w:szCs w:val="20"/>
          <w:color w:val="auto"/>
        </w:rPr>
      </w:pPr>
      <w:r>
        <w:rPr>
          <w:rFonts w:ascii="Arial" w:cs="Arial" w:eastAsia="Arial" w:hAnsi="Arial"/>
          <w:sz w:val="16"/>
          <w:szCs w:val="16"/>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Clearway, Inc.'s common stock.</w:t>
      </w:r>
    </w:p>
    <w:p>
      <w:pPr>
        <w:spacing w:after="0" w:line="111"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jc w:val="both"/>
        <w:spacing w:after="0" w:line="308" w:lineRule="auto"/>
        <w:rPr>
          <w:sz w:val="20"/>
          <w:szCs w:val="20"/>
          <w:color w:val="auto"/>
        </w:rPr>
      </w:pPr>
      <w:r>
        <w:rPr>
          <w:rFonts w:ascii="Arial" w:cs="Arial" w:eastAsia="Arial" w:hAnsi="Arial"/>
          <w:sz w:val="17"/>
          <w:szCs w:val="17"/>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92" w:lineRule="exact"/>
        <w:rPr>
          <w:sz w:val="20"/>
          <w:szCs w:val="20"/>
          <w:color w:val="auto"/>
        </w:rPr>
      </w:pPr>
    </w:p>
    <w:p>
      <w:pPr>
        <w:jc w:val="both"/>
        <w:ind w:firstLine="265"/>
        <w:spacing w:after="0" w:line="257" w:lineRule="auto"/>
        <w:rPr>
          <w:sz w:val="20"/>
          <w:szCs w:val="20"/>
          <w:color w:val="auto"/>
        </w:rPr>
      </w:pPr>
      <w:r>
        <w:rPr>
          <w:rFonts w:ascii="Arial" w:cs="Arial" w:eastAsia="Arial" w:hAnsi="Arial"/>
          <w:sz w:val="18"/>
          <w:szCs w:val="18"/>
          <w:color w:val="auto"/>
        </w:rPr>
        <w:t>A significant portion of the electric power the Company generates is sold under long-term offtake agreements with public utilities or industrial or commercial end-users, with a weighted average remaining duration, based on CAFD, of approximately 13 years. As of December 31, 2020, the largest customers of the Company's power generation assets, including assets in which the Company has less than a 100% membership interest, were SCE and PG&amp;E, which represented 34% and 18%, respectively, of total consolidated revenues generated by the Company during the year ended December 31, 2020. On July 1, 2020, PG&amp;E emerged from bankruptcy.</w:t>
      </w:r>
    </w:p>
    <w:p>
      <w:pPr>
        <w:spacing w:after="0" w:line="134"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8"/>
          <w:szCs w:val="18"/>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34" w:lineRule="exact"/>
        <w:rPr>
          <w:sz w:val="20"/>
          <w:szCs w:val="20"/>
          <w:color w:val="auto"/>
        </w:rPr>
      </w:pPr>
    </w:p>
    <w:p>
      <w:pPr>
        <w:jc w:val="both"/>
        <w:ind w:firstLine="184"/>
        <w:spacing w:after="0" w:line="268" w:lineRule="auto"/>
        <w:rPr>
          <w:sz w:val="20"/>
          <w:szCs w:val="20"/>
          <w:color w:val="auto"/>
        </w:rPr>
      </w:pPr>
      <w:r>
        <w:rPr>
          <w:rFonts w:ascii="Arial" w:cs="Arial" w:eastAsia="Arial" w:hAnsi="Arial"/>
          <w:sz w:val="17"/>
          <w:szCs w:val="17"/>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32"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ability to effectively consummate future acquisitions will also depend on the Company’s ability to arrange the required or desired financing for acquisitions.</w:t>
      </w:r>
    </w:p>
    <w:p>
      <w:pPr>
        <w:spacing w:after="0" w:line="116" w:lineRule="exact"/>
        <w:rPr>
          <w:sz w:val="20"/>
          <w:szCs w:val="20"/>
          <w:color w:val="auto"/>
        </w:rPr>
      </w:pPr>
    </w:p>
    <w:p>
      <w:pPr>
        <w:jc w:val="both"/>
        <w:ind w:firstLine="268"/>
        <w:spacing w:after="0" w:line="254" w:lineRule="auto"/>
        <w:rPr>
          <w:sz w:val="20"/>
          <w:szCs w:val="20"/>
          <w:color w:val="auto"/>
        </w:rPr>
      </w:pPr>
      <w:r>
        <w:rPr>
          <w:rFonts w:ascii="Arial" w:cs="Arial" w:eastAsia="Arial" w:hAnsi="Arial"/>
          <w:sz w:val="18"/>
          <w:szCs w:val="18"/>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including, but not limited to, approval by FERC under Section 203 of the FPA.</w:t>
      </w:r>
    </w:p>
    <w:p>
      <w:pPr>
        <w:spacing w:after="0" w:line="141" w:lineRule="exact"/>
        <w:rPr>
          <w:sz w:val="20"/>
          <w:szCs w:val="20"/>
          <w:color w:val="auto"/>
        </w:rPr>
      </w:pPr>
    </w:p>
    <w:p>
      <w:pPr>
        <w:jc w:val="both"/>
        <w:ind w:firstLine="212"/>
        <w:spacing w:after="0" w:line="291" w:lineRule="auto"/>
        <w:rPr>
          <w:sz w:val="20"/>
          <w:szCs w:val="20"/>
          <w:color w:val="auto"/>
        </w:rPr>
      </w:pPr>
      <w:r>
        <w:rPr>
          <w:rFonts w:ascii="Arial" w:cs="Arial" w:eastAsia="Arial" w:hAnsi="Arial"/>
          <w:sz w:val="16"/>
          <w:szCs w:val="16"/>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distributions to Clearway, Inc. and CEG.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Even if the Company consummates acquisitions that it believes will be accretive to CAFD, those acquisitions may decrease CAFD as a result of incorrect assumptions in the Company’s evaluation of such acquisitions, unforeseen consequences or other external events beyond the Company’s control.</w:t>
      </w:r>
    </w:p>
    <w:p>
      <w:pPr>
        <w:spacing w:after="0" w:line="184" w:lineRule="exact"/>
        <w:rPr>
          <w:sz w:val="20"/>
          <w:szCs w:val="20"/>
          <w:color w:val="auto"/>
        </w:rPr>
      </w:pPr>
    </w:p>
    <w:p>
      <w:pPr>
        <w:jc w:val="both"/>
        <w:ind w:firstLine="239"/>
        <w:spacing w:after="0" w:line="289" w:lineRule="auto"/>
        <w:rPr>
          <w:sz w:val="20"/>
          <w:szCs w:val="20"/>
          <w:color w:val="auto"/>
        </w:rPr>
      </w:pPr>
      <w:r>
        <w:rPr>
          <w:rFonts w:ascii="Arial" w:cs="Arial" w:eastAsia="Arial" w:hAnsi="Arial"/>
          <w:sz w:val="16"/>
          <w:szCs w:val="16"/>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unitholders. Any failure of the Company’s acquired generation assets to be accretive or difficulty in integrating such acquisition into the Company’s business could have a material adverse effect on the Company’s ability to grow its business and make cash distributions to its unitholders.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11" w:lineRule="exact"/>
        <w:rPr>
          <w:sz w:val="20"/>
          <w:szCs w:val="20"/>
          <w:color w:val="auto"/>
        </w:rPr>
      </w:pPr>
    </w:p>
    <w:p>
      <w:pPr>
        <w:jc w:val="both"/>
        <w:ind w:firstLine="193"/>
        <w:spacing w:after="0" w:line="279" w:lineRule="auto"/>
        <w:rPr>
          <w:sz w:val="20"/>
          <w:szCs w:val="20"/>
          <w:color w:val="auto"/>
        </w:rPr>
      </w:pPr>
      <w:r>
        <w:rPr>
          <w:rFonts w:ascii="Arial" w:cs="Arial" w:eastAsia="Arial" w:hAnsi="Arial"/>
          <w:sz w:val="17"/>
          <w:szCs w:val="17"/>
          <w:color w:val="auto"/>
        </w:rPr>
        <w:t>As of December 31, 2020, the Company had approximately $7,043 million of total consolidated indebtedness, $5,243 million of which was incurred by the Company's non-guarantor subsidiaries. In addition, the Company’s share of its unconsolidated affiliates’ total indebtedness and letters of credit outstanding as of December 31, 2020, totaled approximately $481 million and $59 million, respectively (calculated as the Company’s unconsolidated affiliates’ total indebtedness as of such date multiplied by the Company’s percentage membership interest in such assets).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substantial debt could have important negative consequences on the Company’s financial condition, including:</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Company’s vulnerability to general economic and industry conditions;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a substantial portion of the Company’s cash flow from operations to be dedicated to the payment of principal and interest on the Company’s indebtedness, therefore reducing the Company’s ability to pay distributions to Clearway, Inc. and CEG or to use the Company’s cash flow to fund its operations, capital expenditures and future business opportunities;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the Company’s ability to enter into long-term power sales or fuel purchases which require credit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the Company’s ability to fund operations or future acquisitions;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restricting the Company’s ability to make certain distributions to Clearway, Inc. and CEG and the ability of the Company’s subsidiaries to make certain distributions to it, in light of restricted payment and other financial covenants in the Company’s credit facilities and other financing agreements;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exposing the Company to the risk of increased interest rates because certain of the Company’s borrowings, which may include borrowings under the Company’s revolving credit facility, are at variable rates of interest;</w:t>
      </w: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ind w:left="6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the Company’s ability to adjust to changing market conditions and placing it at a competitive disadvantage compared to the Company’s competitors who have less debt.</w:t>
      </w:r>
    </w:p>
    <w:p>
      <w:pPr>
        <w:spacing w:after="0" w:line="131" w:lineRule="exact"/>
        <w:rPr>
          <w:sz w:val="20"/>
          <w:szCs w:val="20"/>
          <w:color w:val="auto"/>
        </w:rPr>
      </w:pPr>
    </w:p>
    <w:p>
      <w:pPr>
        <w:jc w:val="both"/>
        <w:ind w:firstLine="334"/>
        <w:spacing w:after="0" w:line="273" w:lineRule="auto"/>
        <w:rPr>
          <w:sz w:val="20"/>
          <w:szCs w:val="20"/>
          <w:color w:val="auto"/>
        </w:rPr>
      </w:pPr>
      <w:r>
        <w:rPr>
          <w:rFonts w:ascii="Arial" w:cs="Arial" w:eastAsia="Arial" w:hAnsi="Arial"/>
          <w:sz w:val="17"/>
          <w:szCs w:val="17"/>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24" w:lineRule="exact"/>
        <w:rPr>
          <w:sz w:val="20"/>
          <w:szCs w:val="20"/>
          <w:color w:val="auto"/>
        </w:rPr>
      </w:pPr>
    </w:p>
    <w:p>
      <w:pPr>
        <w:jc w:val="both"/>
        <w:ind w:firstLine="262"/>
        <w:spacing w:after="0" w:line="259" w:lineRule="auto"/>
        <w:rPr>
          <w:sz w:val="20"/>
          <w:szCs w:val="20"/>
          <w:color w:val="auto"/>
        </w:rPr>
      </w:pPr>
      <w:r>
        <w:rPr>
          <w:rFonts w:ascii="Arial" w:cs="Arial" w:eastAsia="Arial" w:hAnsi="Arial"/>
          <w:sz w:val="18"/>
          <w:szCs w:val="18"/>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Clearway, Inc. and CEG.</w:t>
      </w:r>
    </w:p>
    <w:p>
      <w:pPr>
        <w:spacing w:after="0" w:line="138" w:lineRule="exact"/>
        <w:rPr>
          <w:sz w:val="20"/>
          <w:szCs w:val="20"/>
          <w:color w:val="auto"/>
        </w:rPr>
      </w:pPr>
    </w:p>
    <w:p>
      <w:pPr>
        <w:jc w:val="both"/>
        <w:ind w:firstLine="278"/>
        <w:spacing w:after="0" w:line="255" w:lineRule="auto"/>
        <w:rPr>
          <w:sz w:val="20"/>
          <w:szCs w:val="20"/>
          <w:color w:val="auto"/>
        </w:rPr>
      </w:pPr>
      <w:r>
        <w:rPr>
          <w:rFonts w:ascii="Arial" w:cs="Arial" w:eastAsia="Arial" w:hAnsi="Arial"/>
          <w:sz w:val="18"/>
          <w:szCs w:val="18"/>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138"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availability from banks and other financial institutions;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confidence in the Company, its partners, Clearway, Inc. (as the Company's sole managing member), or GIP, through CEG, as Clearway, Inc.'s principal stockholder (on a combined voting basis) and the regional wholesale power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financial performance and the financial performance of the Company subsidiaries;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level of indebtedness and compliance with covenants in debt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maintenance of acceptable project credit ratings or credit quality;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of tax and securities laws that may impact raising capital.</w:t>
      </w:r>
    </w:p>
    <w:p>
      <w:pPr>
        <w:spacing w:after="0" w:line="171" w:lineRule="exact"/>
        <w:rPr>
          <w:sz w:val="20"/>
          <w:szCs w:val="20"/>
          <w:color w:val="auto"/>
        </w:rPr>
      </w:pPr>
    </w:p>
    <w:p>
      <w:pPr>
        <w:jc w:val="both"/>
        <w:ind w:firstLine="191"/>
        <w:spacing w:after="0" w:line="257" w:lineRule="auto"/>
        <w:rPr>
          <w:sz w:val="20"/>
          <w:szCs w:val="20"/>
          <w:color w:val="auto"/>
        </w:rPr>
      </w:pPr>
      <w:r>
        <w:rPr>
          <w:rFonts w:ascii="Arial" w:cs="Arial" w:eastAsia="Arial" w:hAnsi="Arial"/>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the London Interbank Offered Rate, or LIBOR, or the replacement of LIBOR with an alternative reference rate, may adversely affect interest expense related to outstanding debt.</w:t>
      </w:r>
    </w:p>
    <w:p>
      <w:pPr>
        <w:spacing w:after="0" w:line="116"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6"/>
          <w:szCs w:val="16"/>
          <w:color w:val="auto"/>
        </w:rPr>
        <w:t>Amounts drawn under the Company's revolving credit facility and certain of the Company's project-level debt facilities currently bear interest at rates based on LIBOR. On July 27, 2017, the Financial Conduct Authority in the United Kingdom announced that it would phase out LIBOR as a benchmark by the end of 2021. On November 30, 2020, ICE Benchmark Administration Limited, the administrator of LIBOR, with the support of the United States Federal Reserve and the United Kingdom’s Financial Conduct Authority, announced plans to consult on ceasing publication of USD LIBOR on December 31, 2021 for only the one week and two month USD LIBOR tenors, and on June 30, 2023 for all other USD LIBOR tenors. While this announcement extends the transition period to June 30, 2023, the United States Federal Reserve concurrently issued a statement advising banks to stop new LIBOR issuances by the end of 2021. In light of these recent announcements, the future of LIBOR at this time is uncertain and any changes in the methods by which LIBOR is determined or regulatory activity related to LIBOR’s phase-out could cause LIBOR to perform differently than in the past or cease to exist. While the Company's revolving credit facility includes a mechanism to amend the facilities to reflect the establishment of an alternative rate of interest upon the occurrence of certain events related to the phase-out of LIBOR, many of the Company's project-level debt facilities and swap arrangements do not. The Company has not yet pursued technical amendments or other contractual alternatives to address this matter with respect to all its existing debt facilities and swap arrangements and is continuing to evaluate the impact of LIBOR’s expected replacement. If no such amendments or other contractual alternatives are established on or prior to the phase-out of LIBOR, interest under the Company's revolving credit facility and other project-level debt facilities will bear interest at higher rates based on the prime rate until such amendments or other contractual amendments are established. Even if the Company has entered into interest rate swaps or other derivative instruments for purposes of managing its interest rate exposure or has otherwise amended its interest rate swaps or other derivative instruments to reflect an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reference rate, these hedging strategies may not be effective as a result of the replacement or phasing out of LIBOR, and the Company may incur losses as a result. The potential increase in the Company’s interest expense as a result of the phase-out of LIBOR and uncertainty as to the nature of the alternative reference rates could have an adverse effect on the Company's business, financial condition, results of operations and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the Company's long-term bilateral contracts result from state-mandated procurements and could be declared invalid by a court of competent jurisdiction.</w:t>
      </w:r>
    </w:p>
    <w:p>
      <w:pPr>
        <w:spacing w:after="0" w:line="116" w:lineRule="exact"/>
        <w:rPr>
          <w:sz w:val="20"/>
          <w:szCs w:val="20"/>
          <w:color w:val="auto"/>
        </w:rPr>
      </w:pPr>
    </w:p>
    <w:p>
      <w:pPr>
        <w:jc w:val="both"/>
        <w:ind w:firstLine="207"/>
        <w:spacing w:after="0" w:line="254" w:lineRule="auto"/>
        <w:rPr>
          <w:sz w:val="20"/>
          <w:szCs w:val="20"/>
          <w:color w:val="auto"/>
        </w:rPr>
      </w:pPr>
      <w:r>
        <w:rPr>
          <w:rFonts w:ascii="Arial" w:cs="Arial" w:eastAsia="Arial" w:hAnsi="Arial"/>
          <w:sz w:val="18"/>
          <w:szCs w:val="18"/>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generation of electric energy from solar and wind energy sources depends heavily on suitable meteorological conditions.</w:t>
      </w:r>
    </w:p>
    <w:p>
      <w:pPr>
        <w:spacing w:after="0" w:line="171" w:lineRule="exact"/>
        <w:rPr>
          <w:sz w:val="20"/>
          <w:szCs w:val="20"/>
          <w:color w:val="auto"/>
        </w:rPr>
      </w:pPr>
    </w:p>
    <w:p>
      <w:pPr>
        <w:jc w:val="both"/>
        <w:ind w:firstLine="206"/>
        <w:spacing w:after="0" w:line="269" w:lineRule="auto"/>
        <w:rPr>
          <w:sz w:val="20"/>
          <w:szCs w:val="20"/>
          <w:color w:val="auto"/>
        </w:rPr>
      </w:pPr>
      <w:r>
        <w:rPr>
          <w:rFonts w:ascii="Arial" w:cs="Arial" w:eastAsia="Arial" w:hAnsi="Arial"/>
          <w:sz w:val="17"/>
          <w:szCs w:val="17"/>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wildfires, hailstorms, tornadoes or freezing temperatures and other winter weather conditions.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128" w:lineRule="exact"/>
        <w:rPr>
          <w:sz w:val="20"/>
          <w:szCs w:val="20"/>
          <w:color w:val="auto"/>
        </w:rPr>
      </w:pPr>
    </w:p>
    <w:p>
      <w:pPr>
        <w:jc w:val="both"/>
        <w:ind w:firstLine="176"/>
        <w:spacing w:after="0" w:line="296" w:lineRule="auto"/>
        <w:rPr>
          <w:sz w:val="20"/>
          <w:szCs w:val="20"/>
          <w:color w:val="auto"/>
        </w:rPr>
      </w:pPr>
      <w:r>
        <w:rPr>
          <w:rFonts w:ascii="Arial" w:cs="Arial" w:eastAsia="Arial" w:hAnsi="Arial"/>
          <w:sz w:val="16"/>
          <w:szCs w:val="16"/>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16" w:lineRule="exact"/>
        <w:rPr>
          <w:sz w:val="20"/>
          <w:szCs w:val="20"/>
          <w:color w:val="auto"/>
        </w:rPr>
      </w:pPr>
    </w:p>
    <w:p>
      <w:pPr>
        <w:jc w:val="both"/>
        <w:ind w:firstLine="198"/>
        <w:spacing w:after="0" w:line="269" w:lineRule="auto"/>
        <w:rPr>
          <w:sz w:val="20"/>
          <w:szCs w:val="20"/>
          <w:color w:val="auto"/>
        </w:rPr>
      </w:pPr>
      <w:r>
        <w:rPr>
          <w:rFonts w:ascii="Arial" w:cs="Arial" w:eastAsia="Arial" w:hAnsi="Arial"/>
          <w:sz w:val="17"/>
          <w:szCs w:val="17"/>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1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7"/>
          <w:szCs w:val="17"/>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16" w:lineRule="exact"/>
        <w:rPr>
          <w:sz w:val="20"/>
          <w:szCs w:val="20"/>
          <w:color w:val="auto"/>
        </w:rPr>
      </w:pPr>
    </w:p>
    <w:p>
      <w:pPr>
        <w:jc w:val="both"/>
        <w:ind w:firstLine="305"/>
        <w:spacing w:after="0" w:line="296" w:lineRule="auto"/>
        <w:rPr>
          <w:sz w:val="20"/>
          <w:szCs w:val="20"/>
          <w:color w:val="auto"/>
        </w:rPr>
      </w:pPr>
      <w:r>
        <w:rPr>
          <w:rFonts w:ascii="Arial" w:cs="Arial" w:eastAsia="Arial" w:hAnsi="Arial"/>
          <w:sz w:val="16"/>
          <w:szCs w:val="16"/>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Clearway, Inc. and CEG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07" w:lineRule="exact"/>
        <w:rPr>
          <w:sz w:val="20"/>
          <w:szCs w:val="20"/>
          <w:color w:val="auto"/>
        </w:rPr>
      </w:pPr>
    </w:p>
    <w:p>
      <w:pPr>
        <w:jc w:val="both"/>
        <w:ind w:firstLine="234"/>
        <w:spacing w:after="0" w:line="291" w:lineRule="auto"/>
        <w:rPr>
          <w:sz w:val="20"/>
          <w:szCs w:val="20"/>
          <w:color w:val="auto"/>
        </w:rPr>
      </w:pPr>
      <w:r>
        <w:rPr>
          <w:rFonts w:ascii="Arial" w:cs="Arial" w:eastAsia="Arial" w:hAnsi="Arial"/>
          <w:sz w:val="16"/>
          <w:szCs w:val="16"/>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facilities may operate, wholly or partially, without long-term power sales agreements.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Supplier and/or customer concentration at certain of the Company's facilities may expose the Company to significant financial credit or performance risks.</w:t>
      </w:r>
    </w:p>
    <w:p>
      <w:pPr>
        <w:spacing w:after="0" w:line="116"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6"/>
          <w:szCs w:val="16"/>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14" w:lineRule="exact"/>
        <w:rPr>
          <w:sz w:val="20"/>
          <w:szCs w:val="20"/>
          <w:color w:val="auto"/>
        </w:rPr>
      </w:pPr>
    </w:p>
    <w:p>
      <w:pPr>
        <w:jc w:val="both"/>
        <w:ind w:firstLine="182"/>
        <w:spacing w:after="0" w:line="275" w:lineRule="auto"/>
        <w:rPr>
          <w:sz w:val="20"/>
          <w:szCs w:val="20"/>
          <w:color w:val="auto"/>
        </w:rPr>
      </w:pPr>
      <w:r>
        <w:rPr>
          <w:rFonts w:ascii="Arial" w:cs="Arial" w:eastAsia="Arial" w:hAnsi="Arial"/>
          <w:sz w:val="17"/>
          <w:szCs w:val="17"/>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2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16" w:lineRule="exact"/>
        <w:rPr>
          <w:sz w:val="20"/>
          <w:szCs w:val="20"/>
          <w:color w:val="auto"/>
        </w:rPr>
      </w:pPr>
    </w:p>
    <w:p>
      <w:pPr>
        <w:jc w:val="both"/>
        <w:ind w:firstLine="175"/>
        <w:spacing w:after="0" w:line="287" w:lineRule="auto"/>
        <w:rPr>
          <w:sz w:val="20"/>
          <w:szCs w:val="20"/>
          <w:color w:val="auto"/>
        </w:rPr>
      </w:pPr>
      <w:r>
        <w:rPr>
          <w:rFonts w:ascii="Arial" w:cs="Arial" w:eastAsia="Arial" w:hAnsi="Arial"/>
          <w:sz w:val="16"/>
          <w:szCs w:val="16"/>
          <w:color w:val="auto"/>
        </w:rPr>
        <w:t xml:space="preserve">As described in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18" w:lineRule="exact"/>
        <w:rPr>
          <w:sz w:val="20"/>
          <w:szCs w:val="20"/>
          <w:color w:val="auto"/>
        </w:rPr>
      </w:pPr>
    </w:p>
    <w:p>
      <w:pPr>
        <w:jc w:val="both"/>
        <w:ind w:firstLine="225"/>
        <w:spacing w:after="0" w:line="301" w:lineRule="auto"/>
        <w:rPr>
          <w:sz w:val="20"/>
          <w:szCs w:val="20"/>
          <w:color w:val="auto"/>
        </w:rPr>
      </w:pPr>
      <w:r>
        <w:rPr>
          <w:rFonts w:ascii="Arial" w:cs="Arial" w:eastAsia="Arial" w:hAnsi="Arial"/>
          <w:sz w:val="16"/>
          <w:szCs w:val="16"/>
          <w:color w:val="auto"/>
        </w:rPr>
        <w:t>The approval of co-venturers may also be required for the Company to receive distributions of funds from assets or to sell, pledge, transfer, assign or otherwise convey its interest in such assets, or for the Company to acquire GIP's or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0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8"/>
          <w:szCs w:val="18"/>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16" w:lineRule="exact"/>
        <w:rPr>
          <w:sz w:val="20"/>
          <w:szCs w:val="20"/>
          <w:color w:val="auto"/>
        </w:rPr>
      </w:pPr>
    </w:p>
    <w:p>
      <w:pPr>
        <w:jc w:val="both"/>
        <w:ind w:firstLine="216"/>
        <w:spacing w:after="0" w:line="291" w:lineRule="auto"/>
        <w:rPr>
          <w:sz w:val="20"/>
          <w:szCs w:val="20"/>
          <w:color w:val="auto"/>
        </w:rPr>
      </w:pPr>
      <w:r>
        <w:rPr>
          <w:rFonts w:ascii="Arial" w:cs="Arial" w:eastAsia="Arial" w:hAnsi="Arial"/>
          <w:sz w:val="16"/>
          <w:szCs w:val="16"/>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subject to restrictions resulting from environmental, health and safety laws and regulations.</w:t>
      </w:r>
    </w:p>
    <w:p>
      <w:pPr>
        <w:spacing w:after="0" w:line="171" w:lineRule="exact"/>
        <w:rPr>
          <w:sz w:val="20"/>
          <w:szCs w:val="20"/>
          <w:color w:val="auto"/>
        </w:rPr>
      </w:pPr>
    </w:p>
    <w:p>
      <w:pPr>
        <w:jc w:val="both"/>
        <w:ind w:firstLine="206"/>
        <w:spacing w:after="0" w:line="289" w:lineRule="auto"/>
        <w:rPr>
          <w:sz w:val="20"/>
          <w:szCs w:val="20"/>
          <w:color w:val="auto"/>
        </w:rPr>
      </w:pPr>
      <w:r>
        <w:rPr>
          <w:rFonts w:ascii="Arial" w:cs="Arial" w:eastAsia="Arial" w:hAnsi="Arial"/>
          <w:sz w:val="16"/>
          <w:szCs w:val="16"/>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does not own all of the land on which its power generation or thermal assets are located, which could result in disruption to its operations.</w:t>
      </w:r>
    </w:p>
    <w:p>
      <w:pPr>
        <w:spacing w:after="0" w:line="116" w:lineRule="exact"/>
        <w:rPr>
          <w:sz w:val="20"/>
          <w:szCs w:val="20"/>
          <w:color w:val="auto"/>
        </w:rPr>
      </w:pPr>
    </w:p>
    <w:p>
      <w:pPr>
        <w:jc w:val="both"/>
        <w:ind w:firstLine="231"/>
        <w:spacing w:after="0" w:line="273" w:lineRule="auto"/>
        <w:rPr>
          <w:sz w:val="20"/>
          <w:szCs w:val="20"/>
          <w:color w:val="auto"/>
        </w:rPr>
      </w:pPr>
      <w:r>
        <w:rPr>
          <w:rFonts w:ascii="Arial" w:cs="Arial" w:eastAsia="Arial" w:hAnsi="Arial"/>
          <w:sz w:val="17"/>
          <w:szCs w:val="17"/>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16"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businesses are subject to physical, market and economic risks relating to potential effects of climate change.</w:t>
      </w:r>
    </w:p>
    <w:p>
      <w:pPr>
        <w:spacing w:after="0" w:line="171" w:lineRule="exact"/>
        <w:rPr>
          <w:sz w:val="20"/>
          <w:szCs w:val="20"/>
          <w:color w:val="auto"/>
        </w:rPr>
      </w:pPr>
    </w:p>
    <w:p>
      <w:pPr>
        <w:jc w:val="both"/>
        <w:ind w:firstLine="222"/>
        <w:spacing w:after="0" w:line="257" w:lineRule="auto"/>
        <w:rPr>
          <w:sz w:val="20"/>
          <w:szCs w:val="20"/>
          <w:color w:val="auto"/>
        </w:rPr>
      </w:pPr>
      <w:r>
        <w:rPr>
          <w:rFonts w:ascii="Arial" w:cs="Arial" w:eastAsia="Arial" w:hAnsi="Arial"/>
          <w:sz w:val="18"/>
          <w:szCs w:val="18"/>
          <w:color w:val="auto"/>
        </w:rPr>
        <w:t>Climate change creates uncertainty in weather and other environmental conditions, including temperature and precipitation levels, and thus may affect consumer demand for electricity.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134" w:lineRule="exact"/>
        <w:rPr>
          <w:sz w:val="20"/>
          <w:szCs w:val="20"/>
          <w:color w:val="auto"/>
        </w:rPr>
      </w:pPr>
    </w:p>
    <w:p>
      <w:pPr>
        <w:jc w:val="both"/>
        <w:ind w:firstLine="228"/>
        <w:spacing w:after="0" w:line="277" w:lineRule="auto"/>
        <w:rPr>
          <w:sz w:val="20"/>
          <w:szCs w:val="20"/>
          <w:color w:val="auto"/>
        </w:rPr>
      </w:pPr>
      <w:r>
        <w:rPr>
          <w:rFonts w:ascii="Arial" w:cs="Arial" w:eastAsia="Arial" w:hAnsi="Arial"/>
          <w:sz w:val="18"/>
          <w:szCs w:val="18"/>
          <w:color w:val="auto"/>
        </w:rPr>
        <w:t>GHG regulation could increase the cost of electricity generated by fossil fuels, and such increases could reduce demand for the power the Company's conventional assets generate and market. Legislative and regulatory measures to address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color w:val="auto"/>
        </w:rPr>
        <w:t>climate change and GHG emissions are in various phases of discussion or implementation. The EPA regulates GHG emissions from new and modified facilities that are potential major sources of criteria pollutants under the Clean Air Act's Prevention of Significant Deterioration and Title V programs and has adopted regulations that require, among other things, preconstruction and operating permits for certain large stationary sources and the monitoring and reporting of GHGs from certain onshore oil and natural gas production sources on an annual basis.</w:t>
      </w:r>
    </w:p>
    <w:p>
      <w:pPr>
        <w:spacing w:after="0" w:line="117" w:lineRule="exact"/>
        <w:rPr>
          <w:sz w:val="20"/>
          <w:szCs w:val="20"/>
          <w:color w:val="auto"/>
        </w:rPr>
      </w:pPr>
    </w:p>
    <w:p>
      <w:pPr>
        <w:jc w:val="both"/>
        <w:ind w:firstLine="213"/>
        <w:spacing w:after="0" w:line="294" w:lineRule="auto"/>
        <w:rPr>
          <w:sz w:val="20"/>
          <w:szCs w:val="20"/>
          <w:color w:val="auto"/>
        </w:rPr>
      </w:pPr>
      <w:r>
        <w:rPr>
          <w:rFonts w:ascii="Arial" w:cs="Arial" w:eastAsia="Arial" w:hAnsi="Arial"/>
          <w:sz w:val="16"/>
          <w:szCs w:val="16"/>
          <w:color w:val="auto"/>
        </w:rPr>
        <w:t>In addition, in 2015, the U.S., Canada and the U.K. participated in the United Nations Conference on Climate Change, which led to the creation of the Paris Agreement. The Paris Agreement, which was signed by the U.S. in April 2016, requires countries to review and “represent a progression” in their intended nationally determined contributions (which set GHG emission reduction goals) every five years beginning in 2020. In November 2020, the U.S. officially withdrew from the Paris Agreement in November 2020. However, on January 20, 2021, President Biden signed an “Acceptance on Behalf of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United States of America” that will allow the U.S. to rejoin the Paris Agreement. The newly signed acceptance, deposited with the United Nations on</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January 20, reverses the prior withdrawal. The U.S. officially rejoined the Paris Agreement on February 19, 2021. The U.S. Congress, along with federal and state agencies, </w:t>
      </w:r>
      <w:r>
        <w:rPr>
          <w:rFonts w:ascii="Arial" w:cs="Arial" w:eastAsia="Arial" w:hAnsi="Arial"/>
          <w:sz w:val="17"/>
          <w:szCs w:val="17"/>
          <w:color w:val="231F20"/>
        </w:rPr>
        <w:t>has</w:t>
      </w:r>
      <w:r>
        <w:rPr>
          <w:rFonts w:ascii="Arial" w:cs="Arial" w:eastAsia="Arial" w:hAnsi="Arial"/>
          <w:sz w:val="17"/>
          <w:szCs w:val="17"/>
          <w:color w:val="auto"/>
        </w:rPr>
        <w:t xml:space="preserve"> also considered measures to reduce the emissions of GHGs. 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we gather, transport and store. Conversely, legislation or regulation that sets a price on or otherwise restricts carbon emissions could also benefit the Company by increasing demand for solar or wind energy sources. In addition, governmental, scientific and public concern over the threat of climate change arising from GHG emissions has resulted in increasing political risks in the U.S, including climate change related pledges made by the Biden Administration. Shortly after taking office in January 2021, President Biden issued a series of executive orders designed to address climate change. Reentry into the Paris Agreement and President Biden's executive orders may result in the development of additional regulations or changes to existing regulations. The effect on the Company of any new legislative or regulatory measures will depend on the particular provisions that are ultimately adopted.</w:t>
      </w:r>
    </w:p>
    <w:p>
      <w:pPr>
        <w:spacing w:after="0" w:line="20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46" w:lineRule="exact"/>
        <w:rPr>
          <w:sz w:val="20"/>
          <w:szCs w:val="20"/>
          <w:color w:val="auto"/>
        </w:rPr>
      </w:pPr>
    </w:p>
    <w:p>
      <w:pPr>
        <w:jc w:val="both"/>
        <w:ind w:firstLine="210"/>
        <w:spacing w:after="0" w:line="254" w:lineRule="auto"/>
        <w:rPr>
          <w:sz w:val="20"/>
          <w:szCs w:val="20"/>
          <w:color w:val="auto"/>
        </w:rPr>
      </w:pPr>
      <w:r>
        <w:rPr>
          <w:rFonts w:ascii="Arial" w:cs="Arial" w:eastAsia="Arial" w:hAnsi="Arial"/>
          <w:sz w:val="18"/>
          <w:szCs w:val="18"/>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41" w:lineRule="exact"/>
        <w:rPr>
          <w:sz w:val="20"/>
          <w:szCs w:val="20"/>
          <w:color w:val="auto"/>
        </w:rPr>
      </w:pPr>
    </w:p>
    <w:p>
      <w:pPr>
        <w:jc w:val="both"/>
        <w:ind w:firstLine="186"/>
        <w:spacing w:after="0" w:line="270" w:lineRule="auto"/>
        <w:rPr>
          <w:sz w:val="20"/>
          <w:szCs w:val="20"/>
          <w:color w:val="auto"/>
        </w:rPr>
      </w:pPr>
      <w:r>
        <w:rPr>
          <w:rFonts w:ascii="Arial" w:cs="Arial" w:eastAsia="Arial" w:hAnsi="Arial"/>
          <w:sz w:val="17"/>
          <w:szCs w:val="17"/>
          <w:color w:val="auto"/>
        </w:rPr>
        <w:t>Furthermore, certain of the Company's power generation and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wildfire,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Company’s businesses is subject to cyber-based security and integrity risk.</w:t>
      </w:r>
    </w:p>
    <w:p>
      <w:pPr>
        <w:spacing w:after="0" w:line="212" w:lineRule="exact"/>
        <w:rPr>
          <w:sz w:val="20"/>
          <w:szCs w:val="20"/>
          <w:color w:val="auto"/>
        </w:rPr>
      </w:pPr>
    </w:p>
    <w:p>
      <w:pPr>
        <w:jc w:val="both"/>
        <w:ind w:right="20" w:firstLine="354"/>
        <w:spacing w:after="0" w:line="259" w:lineRule="auto"/>
        <w:rPr>
          <w:sz w:val="20"/>
          <w:szCs w:val="20"/>
          <w:color w:val="auto"/>
        </w:rPr>
      </w:pPr>
      <w:r>
        <w:rPr>
          <w:rFonts w:ascii="Arial" w:cs="Arial" w:eastAsia="Arial" w:hAnsi="Arial"/>
          <w:sz w:val="18"/>
          <w:szCs w:val="18"/>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Potential disruptive actions could result from cyber-attack or cyber intrusion, including by computer hackers,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11" w:lineRule="exact"/>
        <w:rPr>
          <w:sz w:val="20"/>
          <w:szCs w:val="20"/>
          <w:color w:val="auto"/>
        </w:rPr>
      </w:pPr>
    </w:p>
    <w:p>
      <w:pPr>
        <w:jc w:val="both"/>
        <w:ind w:firstLine="207"/>
        <w:spacing w:after="0" w:line="286" w:lineRule="auto"/>
        <w:rPr>
          <w:sz w:val="20"/>
          <w:szCs w:val="20"/>
          <w:color w:val="auto"/>
        </w:rPr>
      </w:pPr>
      <w:r>
        <w:rPr>
          <w:rFonts w:ascii="Arial" w:cs="Arial" w:eastAsia="Arial" w:hAnsi="Arial"/>
          <w:sz w:val="16"/>
          <w:szCs w:val="16"/>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116" w:lineRule="exact"/>
        <w:rPr>
          <w:sz w:val="20"/>
          <w:szCs w:val="20"/>
          <w:color w:val="auto"/>
        </w:rPr>
      </w:pPr>
    </w:p>
    <w:p>
      <w:pPr>
        <w:jc w:val="both"/>
        <w:ind w:firstLine="209"/>
        <w:spacing w:after="0" w:line="259" w:lineRule="auto"/>
        <w:rPr>
          <w:sz w:val="20"/>
          <w:szCs w:val="20"/>
          <w:color w:val="auto"/>
        </w:rPr>
      </w:pPr>
      <w:r>
        <w:rPr>
          <w:rFonts w:ascii="Arial" w:cs="Arial" w:eastAsia="Arial" w:hAnsi="Arial"/>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70" w:lineRule="exact"/>
        <w:rPr>
          <w:sz w:val="20"/>
          <w:szCs w:val="20"/>
          <w:color w:val="auto"/>
        </w:rPr>
      </w:pPr>
    </w:p>
    <w:p>
      <w:pPr>
        <w:jc w:val="both"/>
        <w:ind w:right="20" w:firstLine="180"/>
        <w:spacing w:after="0" w:line="308" w:lineRule="auto"/>
        <w:rPr>
          <w:sz w:val="20"/>
          <w:szCs w:val="20"/>
          <w:color w:val="auto"/>
        </w:rPr>
      </w:pPr>
      <w:r>
        <w:rPr>
          <w:rFonts w:ascii="Arial" w:cs="Arial" w:eastAsia="Arial" w:hAnsi="Arial"/>
          <w:sz w:val="16"/>
          <w:szCs w:val="16"/>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w:t>
      </w:r>
    </w:p>
    <w:p>
      <w:pPr>
        <w:ind w:right="340"/>
        <w:spacing w:after="0" w:line="334" w:lineRule="auto"/>
        <w:rPr>
          <w:sz w:val="20"/>
          <w:szCs w:val="20"/>
          <w:color w:val="auto"/>
        </w:rPr>
      </w:pPr>
      <w:r>
        <w:rPr>
          <w:rFonts w:ascii="Arial" w:cs="Arial" w:eastAsia="Arial" w:hAnsi="Arial"/>
          <w:sz w:val="16"/>
          <w:szCs w:val="16"/>
          <w:color w:val="auto"/>
        </w:rPr>
        <w:t>business as contemplated. The Company believes it is not an investment company under Section 3(b)(1) of the Investment Company Act because the Company is primarily engaged in a non-investment company business. The Company intends to conduct its operations so that the Company will not be</w:t>
      </w:r>
    </w:p>
    <w:p>
      <w:pPr>
        <w:spacing w:after="0" w:line="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 depends on key personnel, the loss of any of which could have a material adverse effect on the Company's financial condition and results of operations.</w:t>
      </w:r>
    </w:p>
    <w:p>
      <w:pPr>
        <w:spacing w:after="0" w:line="116" w:lineRule="exact"/>
        <w:rPr>
          <w:sz w:val="20"/>
          <w:szCs w:val="20"/>
          <w:color w:val="auto"/>
        </w:rPr>
      </w:pPr>
    </w:p>
    <w:p>
      <w:pPr>
        <w:ind w:right="100" w:firstLine="177"/>
        <w:spacing w:after="0" w:line="263" w:lineRule="auto"/>
        <w:rPr>
          <w:sz w:val="20"/>
          <w:szCs w:val="20"/>
          <w:color w:val="auto"/>
        </w:rPr>
      </w:pPr>
      <w:r>
        <w:rPr>
          <w:rFonts w:ascii="Arial" w:cs="Arial" w:eastAsia="Arial" w:hAnsi="Arial"/>
          <w:sz w:val="18"/>
          <w:szCs w:val="18"/>
          <w:color w:val="auto"/>
        </w:rPr>
        <w:t>The Company believes its current operations and future success depend largely on the continued services of key personnel that it employs. Although the Company currently has access to the resources of CEG, the loss of key personnel employed by the Company could have a material adverse effect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2" w:lineRule="exact"/>
        <w:rPr>
          <w:sz w:val="20"/>
          <w:szCs w:val="20"/>
          <w:color w:val="auto"/>
        </w:rPr>
      </w:pPr>
    </w:p>
    <w:p>
      <w:pPr>
        <w:jc w:val="both"/>
        <w:ind w:firstLine="199"/>
        <w:spacing w:after="0" w:line="289" w:lineRule="auto"/>
        <w:rPr>
          <w:sz w:val="20"/>
          <w:szCs w:val="20"/>
          <w:color w:val="auto"/>
        </w:rPr>
      </w:pPr>
      <w:r>
        <w:rPr>
          <w:rFonts w:ascii="Arial" w:cs="Arial" w:eastAsia="Arial" w:hAnsi="Arial"/>
          <w:sz w:val="16"/>
          <w:szCs w:val="16"/>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in Texas within the footprint of ERCOT, or in Puerto Rico,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20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All of the Company's generating assets are operating either as EWGs or FUCOs as defined under the PUHCA, or as QFs as defined under the PURPA, as amended, and therefore are exempt from certain regulation under the PUHCA and the FPA. If a facility fails to maintain its status as an EWG, FUCO,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21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16" w:lineRule="exact"/>
        <w:rPr>
          <w:sz w:val="20"/>
          <w:szCs w:val="20"/>
          <w:color w:val="auto"/>
        </w:rPr>
      </w:pPr>
    </w:p>
    <w:p>
      <w:pPr>
        <w:jc w:val="both"/>
        <w:ind w:firstLine="184"/>
        <w:spacing w:after="0" w:line="286" w:lineRule="auto"/>
        <w:rPr>
          <w:sz w:val="20"/>
          <w:szCs w:val="20"/>
          <w:color w:val="auto"/>
        </w:rPr>
      </w:pPr>
      <w:r>
        <w:rPr>
          <w:rFonts w:ascii="Arial" w:cs="Arial" w:eastAsia="Arial" w:hAnsi="Arial"/>
          <w:sz w:val="16"/>
          <w:szCs w:val="16"/>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regulations providing incentives for renewable generation could change at any time and such changes may negatively impact the Company's growth strategy.</w:t>
      </w:r>
    </w:p>
    <w:p>
      <w:pPr>
        <w:spacing w:after="0" w:line="116" w:lineRule="exact"/>
        <w:rPr>
          <w:sz w:val="20"/>
          <w:szCs w:val="20"/>
          <w:color w:val="auto"/>
        </w:rPr>
      </w:pPr>
    </w:p>
    <w:p>
      <w:pPr>
        <w:jc w:val="both"/>
        <w:ind w:firstLine="179"/>
        <w:spacing w:after="0" w:line="286" w:lineRule="auto"/>
        <w:rPr>
          <w:sz w:val="20"/>
          <w:szCs w:val="20"/>
          <w:color w:val="auto"/>
        </w:rPr>
      </w:pPr>
      <w:r>
        <w:rPr>
          <w:rFonts w:ascii="Arial" w:cs="Arial" w:eastAsia="Arial" w:hAnsi="Arial"/>
          <w:sz w:val="16"/>
          <w:szCs w:val="16"/>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2016 through 2019.Wind projects that began construction in 2018 or 2019 are eligible for PTCS at 60% and 40% of the statutory rate per kWh, respectively. In December 2019, the U.S. Congress extended the 10-year wind PTC for wind projects that begin construction in 2020, and such projects are eligible for PTCs at 60% of the statutory rate per kWh. The same legislation also extended an 18% ITC in lieu of the PTC for wind projects that begin construction in 2020. In December 2020, the Consolidated Appropriations Act, 2021 was signed by the President and extended the solar ITC so that projects that begin construction in 2021 or 2022 will be eligible for the ITC at a rate of 26% and projects beginning construction in 2023 will be eligible for the ITC at a rate of 22%. The same legislation also extended the 10-year wind PTC for wind projects that begin construction in 2021, and such projects are eligible for PTCs at 60% of the statutory rate per kWh or an 18% ITC in lieu of the PTC. The same legislation also added a 30% ITC for offshore wind projects that begin construction prior to January 1, 2026.</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American Recovery and Reinvestment Act of 2009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w:t>
      </w:r>
    </w:p>
    <w:p>
      <w:pPr>
        <w:spacing w:after="0" w:line="208" w:lineRule="exact"/>
        <w:rPr>
          <w:sz w:val="20"/>
          <w:szCs w:val="20"/>
          <w:color w:val="auto"/>
        </w:rPr>
      </w:pPr>
    </w:p>
    <w:p>
      <w:pPr>
        <w:jc w:val="both"/>
        <w:ind w:firstLine="244"/>
        <w:spacing w:after="0" w:line="263" w:lineRule="auto"/>
        <w:rPr>
          <w:sz w:val="20"/>
          <w:szCs w:val="20"/>
          <w:color w:val="auto"/>
        </w:rPr>
      </w:pPr>
      <w:r>
        <w:rPr>
          <w:rFonts w:ascii="Arial" w:cs="Arial" w:eastAsia="Arial" w:hAnsi="Arial"/>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spacing w:after="0" w:line="381" w:lineRule="auto"/>
        <w:rPr>
          <w:sz w:val="20"/>
          <w:szCs w:val="20"/>
          <w:color w:val="auto"/>
        </w:rPr>
      </w:pPr>
      <w:r>
        <w:rPr>
          <w:rFonts w:ascii="Arial" w:cs="Arial" w:eastAsia="Arial" w:hAnsi="Arial"/>
          <w:sz w:val="15"/>
          <w:szCs w:val="15"/>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46"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7"/>
          <w:szCs w:val="17"/>
          <w:color w:val="auto"/>
        </w:rPr>
        <w:t>Approximately 451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Relationships with GIP and CEG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GIP, through its ownership of CEG, exercises substantial influence over the Company through its position as controlling shareholder of Clearway,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highly dependent on GIP and CEG.</w:t>
      </w:r>
    </w:p>
    <w:p>
      <w:pPr>
        <w:spacing w:after="0" w:line="157"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8"/>
          <w:szCs w:val="18"/>
          <w:color w:val="auto"/>
        </w:rPr>
        <w:t>GIP, through its ownership of CEG, owns all of the outstanding Class B and Class D common stock of Clearway, Inc. and owns 54.93% of the combined voting power of Clearway, Inc. as of December 31, 2020. As a result of GIP's ownership of Clearway, Inc. and Clearway, Inc.'s position as sole managing member of the Company, GIP has a substantial influence on the Company's affairs and its voting power will constitute a large percentage of any quorum of Clearway, Inc.'s stockholders voting on any matter requiring the approval of its stockholders. Such matters include the approval of mergers or sale of all or substantially all of its assets. This concentration of ownership may also have the effect of delaying or preventing a change in control of Clearway, Inc. or discouraging others from making tender offers for their shares. In addition, GIP has the right to elect all of Clearway, Inc.'s directors. GIP may cause corporate actions to be taken even if their interests conflict with the interests of Clearway, Inc.'s other stockholders (including holders of Clearway, Inc.'s Class A and Class C common stock).</w:t>
      </w:r>
    </w:p>
    <w:p>
      <w:pPr>
        <w:spacing w:after="0" w:line="138" w:lineRule="exact"/>
        <w:rPr>
          <w:sz w:val="20"/>
          <w:szCs w:val="20"/>
          <w:color w:val="auto"/>
        </w:rPr>
      </w:pPr>
    </w:p>
    <w:p>
      <w:pPr>
        <w:jc w:val="both"/>
        <w:ind w:firstLine="184"/>
        <w:spacing w:after="0" w:line="290" w:lineRule="auto"/>
        <w:rPr>
          <w:sz w:val="20"/>
          <w:szCs w:val="20"/>
          <w:color w:val="auto"/>
        </w:rPr>
      </w:pPr>
      <w:r>
        <w:rPr>
          <w:rFonts w:ascii="Arial" w:cs="Arial" w:eastAsia="Arial" w:hAnsi="Arial"/>
          <w:sz w:val="16"/>
          <w:szCs w:val="16"/>
          <w:color w:val="auto"/>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1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The Company also depends upon CEG and NRG for the provision of management, administration, O&amp;M and certain other services at certain of the Company's facilities. Any failure by CEG or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GIP and its affiliates control the Company and have the ability to designate a majority of the members of Clearway, Inc.'s Board.</w:t>
      </w:r>
    </w:p>
    <w:p>
      <w:pPr>
        <w:spacing w:after="0" w:line="171" w:lineRule="exact"/>
        <w:rPr>
          <w:sz w:val="20"/>
          <w:szCs w:val="20"/>
          <w:color w:val="auto"/>
        </w:rPr>
      </w:pPr>
    </w:p>
    <w:p>
      <w:pPr>
        <w:jc w:val="both"/>
        <w:ind w:firstLine="274"/>
        <w:spacing w:after="0" w:line="293" w:lineRule="auto"/>
        <w:rPr>
          <w:sz w:val="20"/>
          <w:szCs w:val="20"/>
          <w:color w:val="auto"/>
        </w:rPr>
      </w:pPr>
      <w:r>
        <w:rPr>
          <w:rFonts w:ascii="Arial" w:cs="Arial" w:eastAsia="Arial" w:hAnsi="Arial"/>
          <w:sz w:val="16"/>
          <w:szCs w:val="16"/>
          <w:color w:val="auto"/>
        </w:rPr>
        <w:t>Due to GIP's approximate 54.93% combined voting power in Clearway, Inc., the ability of other holders of Clearway, Inc.’s Class A and Class C common stock to exercise control over the corporate governance of the Company is limited. GIP and its affiliates have a substantial influence on Clearway, Inc.’s affairs and its voting power constitutes a large percentage of any quorum of Clearway, Inc.’s stockholders voting on any matter requiring the approval of Clearway, Inc.’s stockholders. GIP and its affiliates may hold certain interests that are different from those of the Company or other holders of Clearway, Inc.'s Class A and Class C common stock and there is no assurance that GIP and its affiliates will exercise its control over the Company in a manner that is consistent with the Company’s interests or those of the holders of Clearway, Inc.'s Class A and Class C common stock.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The Company may not be able to consummate future acquisitions from CEG.</w:t>
      </w:r>
    </w:p>
    <w:p>
      <w:pPr>
        <w:spacing w:after="0" w:line="171" w:lineRule="exact"/>
        <w:rPr>
          <w:sz w:val="20"/>
          <w:szCs w:val="20"/>
          <w:color w:val="auto"/>
        </w:rPr>
      </w:pPr>
    </w:p>
    <w:p>
      <w:pPr>
        <w:jc w:val="both"/>
        <w:ind w:firstLine="342"/>
        <w:spacing w:after="0" w:line="289" w:lineRule="auto"/>
        <w:rPr>
          <w:sz w:val="20"/>
          <w:szCs w:val="20"/>
          <w:color w:val="auto"/>
        </w:rPr>
      </w:pPr>
      <w:r>
        <w:rPr>
          <w:rFonts w:ascii="Arial" w:cs="Arial" w:eastAsia="Arial" w:hAnsi="Arial"/>
          <w:sz w:val="16"/>
          <w:szCs w:val="16"/>
          <w:color w:val="auto"/>
        </w:rPr>
        <w:t>The Company's ability to grow through acquisitions depends, in part, on CEG's ability to identify and present the Company with acquisition opportunities. Although CEG has agreed, pursuant to the CEG ROFO Agreement,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terminate the CEG Master Services Agreement, in certain circumstances.</w:t>
      </w:r>
    </w:p>
    <w:p>
      <w:pPr>
        <w:spacing w:after="0" w:line="171" w:lineRule="exact"/>
        <w:rPr>
          <w:sz w:val="20"/>
          <w:szCs w:val="20"/>
          <w:color w:val="auto"/>
        </w:rPr>
      </w:pPr>
    </w:p>
    <w:p>
      <w:pPr>
        <w:jc w:val="both"/>
        <w:ind w:firstLine="254"/>
        <w:spacing w:after="0" w:line="287" w:lineRule="auto"/>
        <w:rPr>
          <w:sz w:val="20"/>
          <w:szCs w:val="20"/>
          <w:color w:val="auto"/>
        </w:rPr>
      </w:pPr>
      <w:r>
        <w:rPr>
          <w:rFonts w:ascii="Arial" w:cs="Arial" w:eastAsia="Arial" w:hAnsi="Arial"/>
          <w:sz w:val="16"/>
          <w:szCs w:val="16"/>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16" w:lineRule="exact"/>
        <w:rPr>
          <w:sz w:val="20"/>
          <w:szCs w:val="20"/>
          <w:color w:val="auto"/>
        </w:rPr>
      </w:pPr>
    </w:p>
    <w:p>
      <w:pPr>
        <w:jc w:val="both"/>
        <w:ind w:firstLine="185"/>
        <w:spacing w:after="0" w:line="272" w:lineRule="auto"/>
        <w:rPr>
          <w:sz w:val="20"/>
          <w:szCs w:val="20"/>
          <w:color w:val="auto"/>
        </w:rPr>
      </w:pPr>
      <w:r>
        <w:rPr>
          <w:rFonts w:ascii="Arial" w:cs="Arial" w:eastAsia="Arial" w:hAnsi="Arial"/>
          <w:sz w:val="17"/>
          <w:szCs w:val="17"/>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130" w:lineRule="exact"/>
        <w:rPr>
          <w:sz w:val="20"/>
          <w:szCs w:val="20"/>
          <w:color w:val="auto"/>
        </w:rPr>
      </w:pPr>
    </w:p>
    <w:p>
      <w:pPr>
        <w:jc w:val="both"/>
        <w:ind w:firstLine="212"/>
        <w:spacing w:after="0" w:line="288" w:lineRule="auto"/>
        <w:rPr>
          <w:sz w:val="20"/>
          <w:szCs w:val="20"/>
          <w:color w:val="auto"/>
        </w:rPr>
      </w:pPr>
      <w:r>
        <w:rPr>
          <w:rFonts w:ascii="Arial" w:cs="Arial" w:eastAsia="Arial" w:hAnsi="Arial"/>
          <w:sz w:val="16"/>
          <w:szCs w:val="16"/>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b w:val="1"/>
          <w:bCs w:val="1"/>
          <w:i w:val="1"/>
          <w:iCs w:val="1"/>
          <w:color w:val="auto"/>
        </w:rPr>
        <w:t>Certain of the Company’s PPAs and project-level financing arrangements include provisions that would permit the counterparty to terminate the contract or accelerate maturity in the event GIP or its affiliates ceases to control or own, directly or indirectly, a majority of the voting power of the Company.</w:t>
      </w:r>
    </w:p>
    <w:p>
      <w:pPr>
        <w:spacing w:after="0" w:line="130" w:lineRule="exact"/>
        <w:rPr>
          <w:sz w:val="20"/>
          <w:szCs w:val="20"/>
          <w:color w:val="auto"/>
        </w:rPr>
      </w:pPr>
    </w:p>
    <w:p>
      <w:pPr>
        <w:jc w:val="both"/>
        <w:ind w:firstLine="264"/>
        <w:spacing w:after="0" w:line="271" w:lineRule="auto"/>
        <w:rPr>
          <w:sz w:val="20"/>
          <w:szCs w:val="20"/>
          <w:color w:val="auto"/>
        </w:rPr>
      </w:pPr>
      <w:r>
        <w:rPr>
          <w:rFonts w:ascii="Arial" w:cs="Arial" w:eastAsia="Arial" w:hAnsi="Arial"/>
          <w:sz w:val="17"/>
          <w:szCs w:val="17"/>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or its affiliates ceases to own, directly or indirectly, capital stock representing more than 50% of the voting power of the Company’s capital stock outstanding on such date, or, in some cases, if GIP or its affiliates ceases to be the majority owner, directly or indirectly, of the applicable project subsidiary. As a result, if GIP or its affiliates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 xml:space="preserve">This Annual Report on Form 10-K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the following:</w:t>
      </w:r>
    </w:p>
    <w:p>
      <w:pPr>
        <w:spacing w:after="0" w:line="12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descriptions of the Company's interests in facilities, operations and/or projects owned or leased as of December 31,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Rated</w:t>
            </w:r>
          </w:p>
        </w:tc>
        <w:tc>
          <w:tcPr>
            <w:tcW w:w="720" w:type="dxa"/>
            <w:vAlign w:val="bottom"/>
            <w:vMerge w:val="restart"/>
          </w:tcPr>
          <w:p>
            <w:pPr>
              <w:jc w:val="right"/>
              <w:ind w:right="16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w w:val="93"/>
              </w:rPr>
              <w:t>PPA Terms</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vMerge w:val="restart"/>
          </w:tcPr>
          <w:p>
            <w:pPr>
              <w:spacing w:after="0"/>
              <w:rPr>
                <w:sz w:val="2"/>
                <w:szCs w:val="2"/>
                <w:color w:val="auto"/>
              </w:rPr>
            </w:pPr>
          </w:p>
        </w:tc>
        <w:tc>
          <w:tcPr>
            <w:tcW w:w="126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Location</w:t>
            </w:r>
          </w:p>
        </w:tc>
        <w:tc>
          <w:tcPr>
            <w:tcW w:w="100" w:type="dxa"/>
            <w:vAlign w:val="bottom"/>
            <w:vMerge w:val="restart"/>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Owner-ship</w:t>
            </w:r>
          </w:p>
        </w:tc>
        <w:tc>
          <w:tcPr>
            <w:tcW w:w="120" w:type="dxa"/>
            <w:vAlign w:val="bottom"/>
            <w:vMerge w:val="restart"/>
          </w:tcPr>
          <w:p>
            <w:pPr>
              <w:spacing w:after="0"/>
              <w:rPr>
                <w:sz w:val="2"/>
                <w:szCs w:val="2"/>
                <w:color w:val="auto"/>
              </w:rPr>
            </w:pPr>
          </w:p>
        </w:tc>
        <w:tc>
          <w:tcPr>
            <w:tcW w:w="100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Fuel</w:t>
            </w:r>
          </w:p>
        </w:tc>
        <w:tc>
          <w:tcPr>
            <w:tcW w:w="100" w:type="dxa"/>
            <w:vAlign w:val="bottom"/>
            <w:vMerge w:val="restart"/>
          </w:tcPr>
          <w:p>
            <w:pPr>
              <w:spacing w:after="0"/>
              <w:rPr>
                <w:sz w:val="2"/>
                <w:szCs w:val="2"/>
                <w:color w:val="auto"/>
              </w:rPr>
            </w:pPr>
          </w:p>
        </w:tc>
        <w:tc>
          <w:tcPr>
            <w:tcW w:w="134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COD</w:t>
            </w:r>
          </w:p>
        </w:tc>
        <w:tc>
          <w:tcPr>
            <w:tcW w:w="100" w:type="dxa"/>
            <w:vAlign w:val="bottom"/>
            <w:vMerge w:val="restart"/>
          </w:tcPr>
          <w:p>
            <w:pPr>
              <w:spacing w:after="0"/>
              <w:rPr>
                <w:sz w:val="2"/>
                <w:szCs w:val="2"/>
                <w:color w:val="auto"/>
              </w:rPr>
            </w:pPr>
          </w:p>
        </w:tc>
        <w:tc>
          <w:tcPr>
            <w:tcW w:w="16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Counterparty</w:t>
            </w:r>
          </w:p>
        </w:tc>
        <w:tc>
          <w:tcPr>
            <w:tcW w:w="1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6"/>
                <w:szCs w:val="16"/>
                <w:b w:val="1"/>
                <w:bCs w:val="1"/>
                <w:color w:val="auto"/>
                <w:w w:val="99"/>
              </w:rPr>
              <w:t>Expiration</w:t>
            </w:r>
          </w:p>
        </w:tc>
        <w:tc>
          <w:tcPr>
            <w:tcW w:w="0" w:type="dxa"/>
            <w:vAlign w:val="bottom"/>
          </w:tcPr>
          <w:p>
            <w:pPr>
              <w:spacing w:after="0" w:line="20" w:lineRule="exact"/>
              <w:rPr>
                <w:sz w:val="1"/>
                <w:szCs w:val="1"/>
                <w:color w:val="auto"/>
              </w:rPr>
            </w:pPr>
          </w:p>
        </w:tc>
      </w:tr>
      <w:tr>
        <w:trPr>
          <w:trHeight w:val="216"/>
        </w:trPr>
        <w:tc>
          <w:tcPr>
            <w:tcW w:w="160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MW</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69"/>
              <w:spacing w:after="0" w:line="216" w:lineRule="exact"/>
              <w:rPr>
                <w:sz w:val="20"/>
                <w:szCs w:val="20"/>
                <w:color w:val="auto"/>
              </w:rPr>
            </w:pPr>
            <w:r>
              <w:rPr>
                <w:rFonts w:ascii="Arial" w:cs="Arial" w:eastAsia="Arial" w:hAnsi="Arial"/>
                <w:sz w:val="25"/>
                <w:szCs w:val="25"/>
                <w:b w:val="1"/>
                <w:bCs w:val="1"/>
                <w:color w:val="auto"/>
                <w:vertAlign w:val="subscript"/>
              </w:rPr>
              <w:t>MW</w:t>
            </w:r>
            <w:r>
              <w:rPr>
                <w:rFonts w:ascii="Arial" w:cs="Arial" w:eastAsia="Arial" w:hAnsi="Arial"/>
                <w:sz w:val="9"/>
                <w:szCs w:val="9"/>
                <w:b w:val="1"/>
                <w:bCs w:val="1"/>
                <w:color w:val="auto"/>
              </w:rPr>
              <w:t>(a)</w:t>
            </w:r>
          </w:p>
        </w:tc>
        <w:tc>
          <w:tcPr>
            <w:tcW w:w="10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Conventional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Carlsbad</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Carlsbad,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2018</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San Diego Gas &amp; Electric</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El Segundo</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El Segundo, CA</w:t>
            </w:r>
          </w:p>
        </w:tc>
        <w:tc>
          <w:tcPr>
            <w:tcW w:w="640" w:type="dxa"/>
            <w:vAlign w:val="bottom"/>
          </w:tcPr>
          <w:p>
            <w:pPr>
              <w:jc w:val="right"/>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August 2013</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SCE</w:t>
            </w:r>
          </w:p>
        </w:tc>
        <w:tc>
          <w:tcPr>
            <w:tcW w:w="94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38"/>
        </w:trPr>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GenConn Devon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Milford, CT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Natural Gas/Oil</w:t>
            </w: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June 2010</w:t>
            </w:r>
          </w:p>
        </w:tc>
        <w:tc>
          <w:tcPr>
            <w:tcW w:w="182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4"/>
                <w:szCs w:val="14"/>
                <w:color w:val="auto"/>
              </w:rPr>
              <w:t>Connecticut Light &amp;</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89"/>
        </w:trPr>
        <w:tc>
          <w:tcPr>
            <w:tcW w:w="19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Power</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GenConn Middletown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Middletown, CT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Natural Gas/Oil</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2011</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Connecticut Light &amp;</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6"/>
        </w:trPr>
        <w:tc>
          <w:tcPr>
            <w:tcW w:w="19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Power</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Marsh Landing</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Antioch,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2013</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6"/>
        </w:trPr>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Walnut Creek</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City of Industry, CA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Natural Gas</w:t>
            </w:r>
          </w:p>
        </w:tc>
        <w:tc>
          <w:tcPr>
            <w:tcW w:w="1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May 2013</w:t>
            </w:r>
          </w:p>
        </w:tc>
        <w:tc>
          <w:tcPr>
            <w:tcW w:w="18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SCE</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9"/>
        </w:trPr>
        <w:tc>
          <w:tcPr>
            <w:tcW w:w="19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Total Conventional</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Utility Scale Solar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Agua Caliente</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Dateland, AZ</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2014</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Alpine</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Lancaster, CA</w:t>
            </w:r>
          </w:p>
        </w:tc>
        <w:tc>
          <w:tcPr>
            <w:tcW w:w="6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January 2013</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PG&amp;E</w:t>
            </w:r>
          </w:p>
        </w:tc>
        <w:tc>
          <w:tcPr>
            <w:tcW w:w="94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Avenal</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Avenal,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2011</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Avra Valley</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Pima County, AZ</w:t>
            </w: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December 2012</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Tucson Electric Power</w:t>
            </w:r>
          </w:p>
        </w:tc>
        <w:tc>
          <w:tcPr>
            <w:tcW w:w="94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Blythe</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Blythe,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2009</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35"/>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Borrego</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Borrego Springs, CA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February 2013</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San Diego Gas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6"/>
        </w:trPr>
        <w:tc>
          <w:tcPr>
            <w:tcW w:w="19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Electric</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Fort Stockton,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2018</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City of Georgetown, TX</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135"/>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CVSR</w:t>
            </w:r>
          </w:p>
        </w:tc>
        <w:tc>
          <w:tcPr>
            <w:tcW w:w="13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San Luis Obispo,</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October 2013</w:t>
            </w:r>
          </w:p>
        </w:tc>
        <w:tc>
          <w:tcPr>
            <w:tcW w:w="1820" w:type="dxa"/>
            <w:vAlign w:val="bottom"/>
            <w:gridSpan w:val="3"/>
            <w:vMerge w:val="restart"/>
          </w:tcPr>
          <w:p>
            <w:pPr>
              <w:ind w:left="20"/>
              <w:spacing w:after="0"/>
              <w:rPr>
                <w:sz w:val="20"/>
                <w:szCs w:val="20"/>
                <w:color w:val="auto"/>
              </w:rPr>
            </w:pPr>
            <w:r>
              <w:rPr>
                <w:rFonts w:ascii="Arial" w:cs="Arial" w:eastAsia="Arial" w:hAnsi="Arial"/>
                <w:sz w:val="14"/>
                <w:szCs w:val="14"/>
                <w:color w:val="auto"/>
              </w:rPr>
              <w:t>PG&amp;E</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6"/>
        </w:trPr>
        <w:tc>
          <w:tcPr>
            <w:tcW w:w="194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Desert Sunlight 250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Desert Center,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2014</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Desert Sunlight 300</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Desert Center, CA</w:t>
            </w:r>
          </w:p>
        </w:tc>
        <w:tc>
          <w:tcPr>
            <w:tcW w:w="64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December 2014</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PG&amp;E</w:t>
            </w:r>
          </w:p>
        </w:tc>
        <w:tc>
          <w:tcPr>
            <w:tcW w:w="94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Kansas South</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Lemoore,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2013</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35"/>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Oahu, HI</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November 2019</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Hawaiian Electric</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9"/>
        </w:trPr>
        <w:tc>
          <w:tcPr>
            <w:tcW w:w="19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Company</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Oahu, HI</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September 2019</w:t>
            </w:r>
          </w:p>
        </w:tc>
        <w:tc>
          <w:tcPr>
            <w:tcW w:w="182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4"/>
                <w:szCs w:val="14"/>
                <w:color w:val="auto"/>
              </w:rPr>
              <w:t>Hawaiian Electric</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9"/>
        </w:trPr>
        <w:tc>
          <w:tcPr>
            <w:tcW w:w="19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Roadrunner</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Santa Teresa, NM</w:t>
            </w: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August 2011</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El Paso Electric</w:t>
            </w:r>
          </w:p>
        </w:tc>
        <w:tc>
          <w:tcPr>
            <w:tcW w:w="94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Rosamond,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2020</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TA High Desert</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Lancaster, CA</w:t>
            </w: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March 2013</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SCE</w:t>
            </w:r>
          </w:p>
        </w:tc>
        <w:tc>
          <w:tcPr>
            <w:tcW w:w="94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18"/>
                <w:szCs w:val="18"/>
                <w:color w:val="auto"/>
                <w:vertAlign w:val="superscript"/>
              </w:rPr>
              <w:t>(b)</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9"/>
              </w:rPr>
              <w:t>July - September 2016</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190"/>
        </w:trPr>
        <w:tc>
          <w:tcPr>
            <w:tcW w:w="1940" w:type="dxa"/>
            <w:vAlign w:val="bottom"/>
            <w:gridSpan w:val="2"/>
          </w:tcPr>
          <w:p>
            <w:pPr>
              <w:ind w:left="360"/>
              <w:spacing w:after="0"/>
              <w:rPr>
                <w:sz w:val="20"/>
                <w:szCs w:val="20"/>
                <w:color w:val="auto"/>
              </w:rPr>
            </w:pPr>
            <w:r>
              <w:rPr>
                <w:rFonts w:ascii="Arial" w:cs="Arial" w:eastAsia="Arial" w:hAnsi="Arial"/>
                <w:sz w:val="16"/>
                <w:szCs w:val="16"/>
                <w:b w:val="1"/>
                <w:bCs w:val="1"/>
                <w:i w:val="1"/>
                <w:iCs w:val="1"/>
                <w:color w:val="auto"/>
                <w:w w:val="87"/>
              </w:rPr>
              <w:t>Total Utility Scale Solar</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Distributed Solar</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September 2015 -</w:t>
            </w:r>
          </w:p>
        </w:tc>
        <w:tc>
          <w:tcPr>
            <w:tcW w:w="18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2030 - 2044</w:t>
            </w:r>
          </w:p>
        </w:tc>
        <w:tc>
          <w:tcPr>
            <w:tcW w:w="0" w:type="dxa"/>
            <w:vAlign w:val="bottom"/>
          </w:tcPr>
          <w:p>
            <w:pPr>
              <w:spacing w:after="0"/>
              <w:rPr>
                <w:sz w:val="1"/>
                <w:szCs w:val="1"/>
                <w:color w:val="auto"/>
              </w:rPr>
            </w:pPr>
          </w:p>
        </w:tc>
      </w:tr>
      <w:tr>
        <w:trPr>
          <w:trHeight w:val="189"/>
        </w:trPr>
        <w:tc>
          <w:tcPr>
            <w:tcW w:w="19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2019</w:t>
            </w:r>
          </w:p>
        </w:tc>
        <w:tc>
          <w:tcPr>
            <w:tcW w:w="1820" w:type="dxa"/>
            <w:vAlign w:val="bottom"/>
            <w:gridSpan w:val="3"/>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Solar Power Partners</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w w:val="97"/>
              </w:rPr>
              <w:t>June 2008 - June 2012</w:t>
            </w:r>
          </w:p>
        </w:tc>
        <w:tc>
          <w:tcPr>
            <w:tcW w:w="1820" w:type="dxa"/>
            <w:vAlign w:val="bottom"/>
            <w:gridSpan w:val="3"/>
            <w:vMerge w:val="restart"/>
          </w:tcPr>
          <w:p>
            <w:pPr>
              <w:ind w:left="20"/>
              <w:spacing w:after="0"/>
              <w:rPr>
                <w:sz w:val="20"/>
                <w:szCs w:val="20"/>
                <w:color w:val="auto"/>
              </w:rPr>
            </w:pPr>
            <w:r>
              <w:rPr>
                <w:rFonts w:ascii="Arial" w:cs="Arial" w:eastAsia="Arial" w:hAnsi="Arial"/>
                <w:sz w:val="14"/>
                <w:szCs w:val="14"/>
                <w:color w:val="auto"/>
              </w:rPr>
              <w:t>Various</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2026 - 2037</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(SPP) Projects</w:t>
            </w:r>
          </w:p>
        </w:tc>
        <w:tc>
          <w:tcPr>
            <w:tcW w:w="136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DG Projects</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4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December 2010 -</w:t>
            </w:r>
          </w:p>
        </w:tc>
        <w:tc>
          <w:tcPr>
            <w:tcW w:w="18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2023 - 2039</w:t>
            </w:r>
          </w:p>
        </w:tc>
        <w:tc>
          <w:tcPr>
            <w:tcW w:w="0" w:type="dxa"/>
            <w:vAlign w:val="bottom"/>
          </w:tcPr>
          <w:p>
            <w:pPr>
              <w:spacing w:after="0"/>
              <w:rPr>
                <w:sz w:val="1"/>
                <w:szCs w:val="1"/>
                <w:color w:val="auto"/>
              </w:rPr>
            </w:pPr>
          </w:p>
        </w:tc>
      </w:tr>
      <w:tr>
        <w:trPr>
          <w:trHeight w:val="194"/>
        </w:trPr>
        <w:tc>
          <w:tcPr>
            <w:tcW w:w="19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2015</w:t>
            </w:r>
          </w:p>
        </w:tc>
        <w:tc>
          <w:tcPr>
            <w:tcW w:w="1820" w:type="dxa"/>
            <w:vAlign w:val="bottom"/>
            <w:gridSpan w:val="3"/>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40" w:type="dxa"/>
            <w:vAlign w:val="bottom"/>
            <w:gridSpan w:val="2"/>
          </w:tcPr>
          <w:p>
            <w:pPr>
              <w:ind w:left="360"/>
              <w:spacing w:after="0"/>
              <w:rPr>
                <w:sz w:val="20"/>
                <w:szCs w:val="20"/>
                <w:color w:val="auto"/>
              </w:rPr>
            </w:pPr>
            <w:r>
              <w:rPr>
                <w:rFonts w:ascii="Arial" w:cs="Arial" w:eastAsia="Arial" w:hAnsi="Arial"/>
                <w:sz w:val="16"/>
                <w:szCs w:val="16"/>
                <w:b w:val="1"/>
                <w:bCs w:val="1"/>
                <w:i w:val="1"/>
                <w:iCs w:val="1"/>
                <w:color w:val="auto"/>
                <w:w w:val="90"/>
              </w:rPr>
              <w:t>Total Distributed Solar</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3"/>
        </w:trPr>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Rated</w:t>
            </w:r>
          </w:p>
        </w:tc>
        <w:tc>
          <w:tcPr>
            <w:tcW w:w="700" w:type="dxa"/>
            <w:vAlign w:val="bottom"/>
            <w:vMerge w:val="restart"/>
          </w:tcPr>
          <w:p>
            <w:pPr>
              <w:jc w:val="right"/>
              <w:ind w:right="149"/>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w w:val="93"/>
              </w:rPr>
              <w:t>PPA Terms</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7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Location</w:t>
            </w: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Owner-ship</w:t>
            </w:r>
          </w:p>
        </w:tc>
        <w:tc>
          <w:tcPr>
            <w:tcW w:w="110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Fuel</w:t>
            </w:r>
          </w:p>
        </w:tc>
        <w:tc>
          <w:tcPr>
            <w:tcW w:w="148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COD</w:t>
            </w:r>
          </w:p>
        </w:tc>
        <w:tc>
          <w:tcPr>
            <w:tcW w:w="1820" w:type="dxa"/>
            <w:vAlign w:val="bottom"/>
            <w:gridSpan w:val="3"/>
            <w:vMerge w:val="restart"/>
          </w:tcPr>
          <w:p>
            <w:pPr>
              <w:ind w:left="340"/>
              <w:spacing w:after="0"/>
              <w:rPr>
                <w:sz w:val="20"/>
                <w:szCs w:val="20"/>
                <w:color w:val="auto"/>
              </w:rPr>
            </w:pPr>
            <w:r>
              <w:rPr>
                <w:rFonts w:ascii="Arial" w:cs="Arial" w:eastAsia="Arial" w:hAnsi="Arial"/>
                <w:sz w:val="16"/>
                <w:szCs w:val="16"/>
                <w:b w:val="1"/>
                <w:bCs w:val="1"/>
                <w:color w:val="auto"/>
              </w:rPr>
              <w:t>Counterparty</w:t>
            </w:r>
          </w:p>
        </w:tc>
        <w:tc>
          <w:tcPr>
            <w:tcW w:w="940" w:type="dxa"/>
            <w:vAlign w:val="bottom"/>
            <w:vMerge w:val="restart"/>
          </w:tcPr>
          <w:p>
            <w:pPr>
              <w:jc w:val="right"/>
              <w:ind w:right="68"/>
              <w:spacing w:after="0"/>
              <w:rPr>
                <w:sz w:val="20"/>
                <w:szCs w:val="20"/>
                <w:color w:val="auto"/>
              </w:rPr>
            </w:pPr>
            <w:r>
              <w:rPr>
                <w:rFonts w:ascii="Arial" w:cs="Arial" w:eastAsia="Arial" w:hAnsi="Arial"/>
                <w:sz w:val="16"/>
                <w:szCs w:val="16"/>
                <w:b w:val="1"/>
                <w:bCs w:val="1"/>
                <w:color w:val="auto"/>
                <w:w w:val="99"/>
              </w:rPr>
              <w:t>Expiration</w:t>
            </w:r>
          </w:p>
        </w:tc>
        <w:tc>
          <w:tcPr>
            <w:tcW w:w="0" w:type="dxa"/>
            <w:vAlign w:val="bottom"/>
          </w:tcPr>
          <w:p>
            <w:pPr>
              <w:spacing w:after="0" w:line="20" w:lineRule="exact"/>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MW</w:t>
            </w:r>
          </w:p>
        </w:tc>
        <w:tc>
          <w:tcPr>
            <w:tcW w:w="700" w:type="dxa"/>
            <w:vAlign w:val="bottom"/>
          </w:tcPr>
          <w:p>
            <w:pPr>
              <w:jc w:val="right"/>
              <w:ind w:right="69"/>
              <w:spacing w:after="0" w:line="216" w:lineRule="exact"/>
              <w:rPr>
                <w:sz w:val="20"/>
                <w:szCs w:val="20"/>
                <w:color w:val="auto"/>
              </w:rPr>
            </w:pPr>
            <w:r>
              <w:rPr>
                <w:rFonts w:ascii="Arial" w:cs="Arial" w:eastAsia="Arial" w:hAnsi="Arial"/>
                <w:sz w:val="25"/>
                <w:szCs w:val="25"/>
                <w:b w:val="1"/>
                <w:bCs w:val="1"/>
                <w:color w:val="auto"/>
                <w:vertAlign w:val="subscript"/>
              </w:rPr>
              <w:t>MW</w:t>
            </w:r>
            <w:r>
              <w:rPr>
                <w:rFonts w:ascii="Arial" w:cs="Arial" w:eastAsia="Arial" w:hAnsi="Arial"/>
                <w:sz w:val="9"/>
                <w:szCs w:val="9"/>
                <w:b w:val="1"/>
                <w:bCs w:val="1"/>
                <w:color w:val="auto"/>
              </w:rPr>
              <w:t>(a)</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Wind</w:t>
            </w: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Alta I</w:t>
            </w:r>
          </w:p>
        </w:tc>
        <w:tc>
          <w:tcPr>
            <w:tcW w:w="1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Tehachapi,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2010</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6"/>
        </w:trPr>
        <w:tc>
          <w:tcPr>
            <w:tcW w:w="1580" w:type="dxa"/>
            <w:vAlign w:val="bottom"/>
          </w:tcPr>
          <w:p>
            <w:pPr>
              <w:ind w:left="20"/>
              <w:spacing w:after="0"/>
              <w:rPr>
                <w:sz w:val="20"/>
                <w:szCs w:val="20"/>
                <w:color w:val="auto"/>
              </w:rPr>
            </w:pPr>
            <w:r>
              <w:rPr>
                <w:rFonts w:ascii="Arial" w:cs="Arial" w:eastAsia="Arial" w:hAnsi="Arial"/>
                <w:sz w:val="14"/>
                <w:szCs w:val="14"/>
                <w:color w:val="auto"/>
              </w:rPr>
              <w:t>Alta II</w:t>
            </w:r>
          </w:p>
        </w:tc>
        <w:tc>
          <w:tcPr>
            <w:tcW w:w="1700" w:type="dxa"/>
            <w:vAlign w:val="bottom"/>
            <w:gridSpan w:val="2"/>
          </w:tcPr>
          <w:p>
            <w:pPr>
              <w:ind w:left="340"/>
              <w:spacing w:after="0"/>
              <w:rPr>
                <w:sz w:val="20"/>
                <w:szCs w:val="20"/>
                <w:color w:val="auto"/>
              </w:rPr>
            </w:pPr>
            <w:r>
              <w:rPr>
                <w:rFonts w:ascii="Arial" w:cs="Arial" w:eastAsia="Arial" w:hAnsi="Arial"/>
                <w:sz w:val="14"/>
                <w:szCs w:val="14"/>
                <w:color w:val="auto"/>
              </w:rPr>
              <w:t>Tehachapi, CA</w:t>
            </w:r>
          </w:p>
        </w:tc>
        <w:tc>
          <w:tcPr>
            <w:tcW w:w="6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2010</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SCE</w:t>
            </w:r>
          </w:p>
        </w:tc>
        <w:tc>
          <w:tcPr>
            <w:tcW w:w="94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Alta III</w:t>
            </w:r>
          </w:p>
        </w:tc>
        <w:tc>
          <w:tcPr>
            <w:tcW w:w="1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Tehachapi,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2011</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6"/>
        </w:trPr>
        <w:tc>
          <w:tcPr>
            <w:tcW w:w="1580" w:type="dxa"/>
            <w:vAlign w:val="bottom"/>
          </w:tcPr>
          <w:p>
            <w:pPr>
              <w:ind w:left="20"/>
              <w:spacing w:after="0"/>
              <w:rPr>
                <w:sz w:val="20"/>
                <w:szCs w:val="20"/>
                <w:color w:val="auto"/>
              </w:rPr>
            </w:pPr>
            <w:r>
              <w:rPr>
                <w:rFonts w:ascii="Arial" w:cs="Arial" w:eastAsia="Arial" w:hAnsi="Arial"/>
                <w:sz w:val="14"/>
                <w:szCs w:val="14"/>
                <w:color w:val="auto"/>
              </w:rPr>
              <w:t>Alta IV</w:t>
            </w:r>
          </w:p>
        </w:tc>
        <w:tc>
          <w:tcPr>
            <w:tcW w:w="1700" w:type="dxa"/>
            <w:vAlign w:val="bottom"/>
            <w:gridSpan w:val="2"/>
          </w:tcPr>
          <w:p>
            <w:pPr>
              <w:ind w:left="340"/>
              <w:spacing w:after="0"/>
              <w:rPr>
                <w:sz w:val="20"/>
                <w:szCs w:val="20"/>
                <w:color w:val="auto"/>
              </w:rPr>
            </w:pPr>
            <w:r>
              <w:rPr>
                <w:rFonts w:ascii="Arial" w:cs="Arial" w:eastAsia="Arial" w:hAnsi="Arial"/>
                <w:sz w:val="14"/>
                <w:szCs w:val="14"/>
                <w:color w:val="auto"/>
              </w:rPr>
              <w:t>Tehachapi, CA</w:t>
            </w:r>
          </w:p>
        </w:tc>
        <w:tc>
          <w:tcPr>
            <w:tcW w:w="64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March 2011</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SCE</w:t>
            </w:r>
          </w:p>
        </w:tc>
        <w:tc>
          <w:tcPr>
            <w:tcW w:w="94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Alta V</w:t>
            </w:r>
          </w:p>
        </w:tc>
        <w:tc>
          <w:tcPr>
            <w:tcW w:w="1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Tehachapi,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2011</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700" w:type="dxa"/>
            <w:vAlign w:val="bottom"/>
            <w:gridSpan w:val="2"/>
          </w:tcPr>
          <w:p>
            <w:pPr>
              <w:ind w:left="340"/>
              <w:spacing w:after="0"/>
              <w:rPr>
                <w:sz w:val="20"/>
                <w:szCs w:val="20"/>
                <w:color w:val="auto"/>
              </w:rPr>
            </w:pPr>
            <w:r>
              <w:rPr>
                <w:rFonts w:ascii="Arial" w:cs="Arial" w:eastAsia="Arial" w:hAnsi="Arial"/>
                <w:sz w:val="14"/>
                <w:szCs w:val="14"/>
                <w:color w:val="auto"/>
              </w:rPr>
              <w:t>Tehachapi, CA</w:t>
            </w: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February 2014</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SCE</w:t>
            </w:r>
          </w:p>
        </w:tc>
        <w:tc>
          <w:tcPr>
            <w:tcW w:w="94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Tehachapi,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2014</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Buffalo Bear</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color w:val="auto"/>
              </w:rPr>
              <w:t>Buffalo, OK</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December 2008</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Western Farmers Electric</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6"/>
        </w:trPr>
        <w:tc>
          <w:tcPr>
            <w:tcW w:w="15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Co-operative</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Crosswinds</w:t>
            </w:r>
          </w:p>
        </w:tc>
        <w:tc>
          <w:tcPr>
            <w:tcW w:w="1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Ayrshire, IA</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June 2007</w:t>
            </w:r>
          </w:p>
        </w:tc>
        <w:tc>
          <w:tcPr>
            <w:tcW w:w="182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4"/>
                <w:szCs w:val="14"/>
                <w:color w:val="auto"/>
              </w:rPr>
              <w:t>Corn Belt Power</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9"/>
        </w:trPr>
        <w:tc>
          <w:tcPr>
            <w:tcW w:w="1580" w:type="dxa"/>
            <w:vAlign w:val="bottom"/>
            <w:vMerge w:val="continue"/>
            <w:shd w:val="clear" w:color="auto" w:fill="CCEEFF"/>
          </w:tcPr>
          <w:p>
            <w:pPr>
              <w:spacing w:after="0"/>
              <w:rPr>
                <w:sz w:val="16"/>
                <w:szCs w:val="16"/>
                <w:color w:val="auto"/>
              </w:rPr>
            </w:pPr>
          </w:p>
        </w:tc>
        <w:tc>
          <w:tcPr>
            <w:tcW w:w="17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Cooperative</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700" w:type="dxa"/>
            <w:vAlign w:val="bottom"/>
            <w:gridSpan w:val="2"/>
          </w:tcPr>
          <w:p>
            <w:pPr>
              <w:ind w:left="340"/>
              <w:spacing w:after="0"/>
              <w:rPr>
                <w:sz w:val="20"/>
                <w:szCs w:val="20"/>
                <w:color w:val="auto"/>
              </w:rPr>
            </w:pPr>
            <w:r>
              <w:rPr>
                <w:rFonts w:ascii="Arial" w:cs="Arial" w:eastAsia="Arial" w:hAnsi="Arial"/>
                <w:sz w:val="14"/>
                <w:szCs w:val="14"/>
                <w:color w:val="auto"/>
              </w:rPr>
              <w:t>Howard County, TX</w:t>
            </w:r>
          </w:p>
        </w:tc>
        <w:tc>
          <w:tcPr>
            <w:tcW w:w="64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2008</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Various</w:t>
            </w:r>
          </w:p>
        </w:tc>
        <w:tc>
          <w:tcPr>
            <w:tcW w:w="94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35"/>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Elkhorn Ridge</w:t>
            </w:r>
          </w:p>
        </w:tc>
        <w:tc>
          <w:tcPr>
            <w:tcW w:w="1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Bloomfield, NE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March 2009</w:t>
            </w:r>
          </w:p>
        </w:tc>
        <w:tc>
          <w:tcPr>
            <w:tcW w:w="182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4"/>
                <w:szCs w:val="14"/>
                <w:color w:val="auto"/>
              </w:rPr>
              <w:t>Nebraska Public Power</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9"/>
        </w:trPr>
        <w:tc>
          <w:tcPr>
            <w:tcW w:w="1580" w:type="dxa"/>
            <w:vAlign w:val="bottom"/>
            <w:vMerge w:val="continue"/>
            <w:shd w:val="clear" w:color="auto" w:fill="CCEEFF"/>
          </w:tcPr>
          <w:p>
            <w:pPr>
              <w:spacing w:after="0"/>
              <w:rPr>
                <w:sz w:val="16"/>
                <w:szCs w:val="16"/>
                <w:color w:val="auto"/>
              </w:rPr>
            </w:pPr>
          </w:p>
        </w:tc>
        <w:tc>
          <w:tcPr>
            <w:tcW w:w="17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District</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Forward</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color w:val="auto"/>
              </w:rPr>
              <w:t>Berlin, PA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April 2008</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Constellation NewEnergy,</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86"/>
        </w:trPr>
        <w:tc>
          <w:tcPr>
            <w:tcW w:w="15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Inc.</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Goat Wind</w:t>
            </w:r>
          </w:p>
        </w:tc>
        <w:tc>
          <w:tcPr>
            <w:tcW w:w="1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Sterling City,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2008/June 2009</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Hardin</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color w:val="auto"/>
              </w:rPr>
              <w:t>Jefferson, IA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May 2007</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Interstate Power and Light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6"/>
        </w:trPr>
        <w:tc>
          <w:tcPr>
            <w:tcW w:w="15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Company</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Christoval, TX</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December</w:t>
            </w:r>
          </w:p>
        </w:tc>
        <w:tc>
          <w:tcPr>
            <w:tcW w:w="18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9"/>
        </w:trPr>
        <w:tc>
          <w:tcPr>
            <w:tcW w:w="1580" w:type="dxa"/>
            <w:vAlign w:val="bottom"/>
            <w:vMerge w:val="continue"/>
            <w:shd w:val="clear" w:color="auto" w:fill="CCEEFF"/>
          </w:tcPr>
          <w:p>
            <w:pPr>
              <w:spacing w:after="0"/>
              <w:rPr>
                <w:sz w:val="16"/>
                <w:szCs w:val="16"/>
                <w:color w:val="auto"/>
              </w:rPr>
            </w:pPr>
          </w:p>
        </w:tc>
        <w:tc>
          <w:tcPr>
            <w:tcW w:w="17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2009/November 2020</w:t>
            </w:r>
          </w:p>
        </w:tc>
        <w:tc>
          <w:tcPr>
            <w:tcW w:w="1820" w:type="dxa"/>
            <w:vAlign w:val="bottom"/>
            <w:gridSpan w:val="3"/>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Laredo Ridge</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color w:val="auto"/>
              </w:rPr>
              <w:t>Petersburg, NE</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February 2011</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Nebraska Public Power</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6"/>
        </w:trPr>
        <w:tc>
          <w:tcPr>
            <w:tcW w:w="15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District</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18"/>
                <w:szCs w:val="18"/>
                <w:color w:val="auto"/>
                <w:vertAlign w:val="superscript"/>
              </w:rPr>
              <w:t>(b)</w:t>
            </w:r>
          </w:p>
        </w:tc>
        <w:tc>
          <w:tcPr>
            <w:tcW w:w="1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Berlin, PA</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October 2008</w:t>
            </w:r>
          </w:p>
        </w:tc>
        <w:tc>
          <w:tcPr>
            <w:tcW w:w="182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4"/>
                <w:szCs w:val="14"/>
                <w:color w:val="auto"/>
              </w:rPr>
              <w:t>Southern Maryland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89"/>
        </w:trPr>
        <w:tc>
          <w:tcPr>
            <w:tcW w:w="1580" w:type="dxa"/>
            <w:vAlign w:val="bottom"/>
            <w:vMerge w:val="continue"/>
            <w:shd w:val="clear" w:color="auto" w:fill="CCEEFF"/>
          </w:tcPr>
          <w:p>
            <w:pPr>
              <w:spacing w:after="0"/>
              <w:rPr>
                <w:sz w:val="16"/>
                <w:szCs w:val="16"/>
                <w:color w:val="auto"/>
              </w:rPr>
            </w:pPr>
          </w:p>
        </w:tc>
        <w:tc>
          <w:tcPr>
            <w:tcW w:w="17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Electric Cooperative</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4"/>
                <w:szCs w:val="14"/>
                <w:color w:val="auto"/>
              </w:rPr>
              <w:t>Mesquite Star</w:t>
            </w:r>
            <w:r>
              <w:rPr>
                <w:rFonts w:ascii="Arial" w:cs="Arial" w:eastAsia="Arial" w:hAnsi="Arial"/>
                <w:sz w:val="18"/>
                <w:szCs w:val="18"/>
                <w:color w:val="auto"/>
                <w:vertAlign w:val="superscript"/>
              </w:rPr>
              <w:t>(b)</w:t>
            </w:r>
          </w:p>
        </w:tc>
        <w:tc>
          <w:tcPr>
            <w:tcW w:w="1700" w:type="dxa"/>
            <w:vAlign w:val="bottom"/>
            <w:gridSpan w:val="2"/>
          </w:tcPr>
          <w:p>
            <w:pPr>
              <w:ind w:left="340"/>
              <w:spacing w:after="0"/>
              <w:rPr>
                <w:sz w:val="20"/>
                <w:szCs w:val="20"/>
                <w:color w:val="auto"/>
              </w:rPr>
            </w:pPr>
            <w:r>
              <w:rPr>
                <w:rFonts w:ascii="Arial" w:cs="Arial" w:eastAsia="Arial" w:hAnsi="Arial"/>
                <w:sz w:val="14"/>
                <w:szCs w:val="14"/>
                <w:color w:val="auto"/>
              </w:rPr>
              <w:t>Fisher County, TX</w:t>
            </w:r>
          </w:p>
        </w:tc>
        <w:tc>
          <w:tcPr>
            <w:tcW w:w="64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June 2020</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Various</w:t>
            </w:r>
          </w:p>
        </w:tc>
        <w:tc>
          <w:tcPr>
            <w:tcW w:w="940" w:type="dxa"/>
            <w:vAlign w:val="bottom"/>
          </w:tcPr>
          <w:p>
            <w:pPr>
              <w:jc w:val="right"/>
              <w:spacing w:after="0"/>
              <w:rPr>
                <w:sz w:val="20"/>
                <w:szCs w:val="20"/>
                <w:color w:val="auto"/>
              </w:rPr>
            </w:pPr>
            <w:r>
              <w:rPr>
                <w:rFonts w:ascii="Arial" w:cs="Arial" w:eastAsia="Arial" w:hAnsi="Arial"/>
                <w:sz w:val="14"/>
                <w:szCs w:val="14"/>
                <w:color w:val="auto"/>
              </w:rPr>
              <w:t>2032 - 2035</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Ocotillo</w:t>
            </w:r>
          </w:p>
        </w:tc>
        <w:tc>
          <w:tcPr>
            <w:tcW w:w="1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Forsan,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2008</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Odin</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color w:val="auto"/>
              </w:rPr>
              <w:t>Odin, MN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2008</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Missouri River Energy</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86"/>
        </w:trPr>
        <w:tc>
          <w:tcPr>
            <w:tcW w:w="15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Services</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4"/>
                <w:szCs w:val="14"/>
                <w:color w:val="auto"/>
              </w:rPr>
              <w:t>Maryland Department of</w:t>
            </w: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4"/>
                <w:szCs w:val="14"/>
                <w:color w:val="auto"/>
              </w:rPr>
              <w:t>General Services and</w:t>
            </w: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Pinnacle</w:t>
            </w:r>
          </w:p>
        </w:tc>
        <w:tc>
          <w:tcPr>
            <w:tcW w:w="1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Keyser, WV</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December 2011</w:t>
            </w:r>
          </w:p>
        </w:tc>
        <w:tc>
          <w:tcPr>
            <w:tcW w:w="182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4"/>
                <w:szCs w:val="14"/>
                <w:color w:val="auto"/>
              </w:rPr>
              <w:t>University System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9"/>
        </w:trPr>
        <w:tc>
          <w:tcPr>
            <w:tcW w:w="1580" w:type="dxa"/>
            <w:vAlign w:val="bottom"/>
            <w:vMerge w:val="continue"/>
            <w:shd w:val="clear" w:color="auto" w:fill="CCEEFF"/>
          </w:tcPr>
          <w:p>
            <w:pPr>
              <w:spacing w:after="0"/>
              <w:rPr>
                <w:sz w:val="16"/>
                <w:szCs w:val="16"/>
                <w:color w:val="auto"/>
              </w:rPr>
            </w:pPr>
          </w:p>
        </w:tc>
        <w:tc>
          <w:tcPr>
            <w:tcW w:w="17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San Juan Mesa</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color w:val="auto"/>
              </w:rPr>
              <w:t>Elida, NM</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December 2005</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Southwestern Public</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86"/>
        </w:trPr>
        <w:tc>
          <w:tcPr>
            <w:tcW w:w="15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Service Company</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Sleeping Bear</w:t>
            </w:r>
          </w:p>
        </w:tc>
        <w:tc>
          <w:tcPr>
            <w:tcW w:w="1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Woodward, OK</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October 2007</w:t>
            </w:r>
          </w:p>
        </w:tc>
        <w:tc>
          <w:tcPr>
            <w:tcW w:w="182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4"/>
                <w:szCs w:val="14"/>
                <w:color w:val="auto"/>
              </w:rPr>
              <w:t>Public Service Company</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82"/>
        </w:trPr>
        <w:tc>
          <w:tcPr>
            <w:tcW w:w="1580" w:type="dxa"/>
            <w:vAlign w:val="bottom"/>
            <w:vMerge w:val="continue"/>
            <w:shd w:val="clear" w:color="auto" w:fill="CCEEFF"/>
          </w:tcPr>
          <w:p>
            <w:pPr>
              <w:spacing w:after="0"/>
              <w:rPr>
                <w:sz w:val="15"/>
                <w:szCs w:val="15"/>
                <w:color w:val="auto"/>
              </w:rPr>
            </w:pPr>
          </w:p>
        </w:tc>
        <w:tc>
          <w:tcPr>
            <w:tcW w:w="170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of Oklahoma</w:t>
            </w: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Trent</w:t>
            </w:r>
          </w:p>
        </w:tc>
        <w:tc>
          <w:tcPr>
            <w:tcW w:w="1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Sweetwater,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2009</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AEP Energy Partners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6"/>
        </w:trPr>
        <w:tc>
          <w:tcPr>
            <w:tcW w:w="1580" w:type="dxa"/>
            <w:vAlign w:val="bottom"/>
          </w:tcPr>
          <w:p>
            <w:pPr>
              <w:ind w:left="20"/>
              <w:spacing w:after="0"/>
              <w:rPr>
                <w:sz w:val="20"/>
                <w:szCs w:val="20"/>
                <w:color w:val="auto"/>
              </w:rPr>
            </w:pPr>
            <w:r>
              <w:rPr>
                <w:rFonts w:ascii="Arial" w:cs="Arial" w:eastAsia="Arial" w:hAnsi="Arial"/>
                <w:sz w:val="14"/>
                <w:szCs w:val="14"/>
                <w:color w:val="auto"/>
              </w:rPr>
              <w:t>Spanish Fork</w:t>
            </w:r>
          </w:p>
        </w:tc>
        <w:tc>
          <w:tcPr>
            <w:tcW w:w="1700" w:type="dxa"/>
            <w:vAlign w:val="bottom"/>
            <w:gridSpan w:val="2"/>
          </w:tcPr>
          <w:p>
            <w:pPr>
              <w:ind w:left="340"/>
              <w:spacing w:after="0"/>
              <w:rPr>
                <w:sz w:val="20"/>
                <w:szCs w:val="20"/>
                <w:color w:val="auto"/>
              </w:rPr>
            </w:pPr>
            <w:r>
              <w:rPr>
                <w:rFonts w:ascii="Arial" w:cs="Arial" w:eastAsia="Arial" w:hAnsi="Arial"/>
                <w:sz w:val="14"/>
                <w:szCs w:val="14"/>
                <w:color w:val="auto"/>
              </w:rPr>
              <w:t>Spanish Fork, UT</w:t>
            </w: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July 2008</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PacifiCorp</w:t>
            </w:r>
          </w:p>
        </w:tc>
        <w:tc>
          <w:tcPr>
            <w:tcW w:w="940" w:type="dxa"/>
            <w:vAlign w:val="bottom"/>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38"/>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Logan County, CO</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October 2014</w:t>
            </w:r>
          </w:p>
        </w:tc>
        <w:tc>
          <w:tcPr>
            <w:tcW w:w="182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4"/>
                <w:szCs w:val="14"/>
                <w:color w:val="auto"/>
              </w:rPr>
              <w:t>Platte River Power</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9"/>
        </w:trPr>
        <w:tc>
          <w:tcPr>
            <w:tcW w:w="1580" w:type="dxa"/>
            <w:vAlign w:val="bottom"/>
            <w:vMerge w:val="continue"/>
            <w:shd w:val="clear" w:color="auto" w:fill="CCEEFF"/>
          </w:tcPr>
          <w:p>
            <w:pPr>
              <w:spacing w:after="0"/>
              <w:rPr>
                <w:sz w:val="16"/>
                <w:szCs w:val="16"/>
                <w:color w:val="auto"/>
              </w:rPr>
            </w:pPr>
          </w:p>
        </w:tc>
        <w:tc>
          <w:tcPr>
            <w:tcW w:w="17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Authority</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color w:val="auto"/>
              </w:rPr>
              <w:t>Logan County, CO</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90.1 %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December 2014</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Platte River Power</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9"/>
        </w:trPr>
        <w:tc>
          <w:tcPr>
            <w:tcW w:w="15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Authority</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Taloga</w:t>
            </w:r>
          </w:p>
        </w:tc>
        <w:tc>
          <w:tcPr>
            <w:tcW w:w="1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Putnam, OK</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2011</w:t>
            </w:r>
          </w:p>
        </w:tc>
        <w:tc>
          <w:tcPr>
            <w:tcW w:w="1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Oklahoma Gas &amp; Electric</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color w:val="auto"/>
              </w:rPr>
              <w:t>Vega, TX</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April 2007</w:t>
            </w:r>
          </w:p>
        </w:tc>
        <w:tc>
          <w:tcPr>
            <w:tcW w:w="1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Southwestern Public</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9"/>
        </w:trPr>
        <w:tc>
          <w:tcPr>
            <w:tcW w:w="158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CCEEFF"/>
            </w:tcBorders>
            <w:gridSpan w:val="2"/>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gridSpan w:val="2"/>
            <w:vMerge w:val="continue"/>
          </w:tcPr>
          <w:p>
            <w:pPr>
              <w:spacing w:after="0"/>
              <w:rPr>
                <w:sz w:val="16"/>
                <w:szCs w:val="16"/>
                <w:color w:val="auto"/>
              </w:rPr>
            </w:pPr>
          </w:p>
        </w:tc>
        <w:tc>
          <w:tcPr>
            <w:tcW w:w="1480" w:type="dxa"/>
            <w:vAlign w:val="bottom"/>
            <w:tcBorders>
              <w:bottom w:val="single" w:sz="8" w:color="CCEEFF"/>
            </w:tcBorders>
            <w:gridSpan w:val="2"/>
            <w:vMerge w:val="continue"/>
          </w:tcPr>
          <w:p>
            <w:pPr>
              <w:spacing w:after="0"/>
              <w:rPr>
                <w:sz w:val="16"/>
                <w:szCs w:val="16"/>
                <w:color w:val="auto"/>
              </w:rPr>
            </w:pPr>
          </w:p>
        </w:tc>
        <w:tc>
          <w:tcPr>
            <w:tcW w:w="18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Service Company</w:t>
            </w:r>
          </w:p>
        </w:tc>
        <w:tc>
          <w:tcPr>
            <w:tcW w:w="94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Total Wind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36"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3"/>
        </w:trPr>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Rated</w:t>
            </w:r>
          </w:p>
        </w:tc>
        <w:tc>
          <w:tcPr>
            <w:tcW w:w="740" w:type="dxa"/>
            <w:vAlign w:val="bottom"/>
            <w:vMerge w:val="restart"/>
          </w:tcPr>
          <w:p>
            <w:pPr>
              <w:jc w:val="right"/>
              <w:ind w:right="16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PPA Terms</w:t>
            </w:r>
          </w:p>
        </w:tc>
        <w:tc>
          <w:tcPr>
            <w:tcW w:w="0" w:type="dxa"/>
            <w:vAlign w:val="bottom"/>
          </w:tcPr>
          <w:p>
            <w:pPr>
              <w:spacing w:after="0"/>
              <w:rPr>
                <w:sz w:val="1"/>
                <w:szCs w:val="1"/>
                <w:color w:val="auto"/>
              </w:rPr>
            </w:pPr>
          </w:p>
        </w:tc>
      </w:tr>
      <w:tr>
        <w:trPr>
          <w:trHeight w:val="23"/>
        </w:trPr>
        <w:tc>
          <w:tcPr>
            <w:tcW w:w="1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8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Location</w:t>
            </w:r>
          </w:p>
        </w:tc>
        <w:tc>
          <w:tcPr>
            <w:tcW w:w="7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Owner-ship</w:t>
            </w:r>
          </w:p>
        </w:tc>
        <w:tc>
          <w:tcPr>
            <w:tcW w:w="11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Fuel</w:t>
            </w:r>
          </w:p>
        </w:tc>
        <w:tc>
          <w:tcPr>
            <w:tcW w:w="150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COD</w:t>
            </w:r>
          </w:p>
        </w:tc>
        <w:tc>
          <w:tcPr>
            <w:tcW w:w="17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Counterparty</w:t>
            </w:r>
          </w:p>
        </w:tc>
        <w:tc>
          <w:tcPr>
            <w:tcW w:w="1040" w:type="dxa"/>
            <w:vAlign w:val="bottom"/>
            <w:vMerge w:val="restart"/>
          </w:tcPr>
          <w:p>
            <w:pPr>
              <w:jc w:val="right"/>
              <w:ind w:right="67"/>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MW</w:t>
            </w:r>
          </w:p>
        </w:tc>
        <w:tc>
          <w:tcPr>
            <w:tcW w:w="740" w:type="dxa"/>
            <w:vAlign w:val="bottom"/>
          </w:tcPr>
          <w:p>
            <w:pPr>
              <w:jc w:val="right"/>
              <w:ind w:right="69"/>
              <w:spacing w:after="0" w:line="216" w:lineRule="exact"/>
              <w:rPr>
                <w:sz w:val="20"/>
                <w:szCs w:val="20"/>
                <w:color w:val="auto"/>
              </w:rPr>
            </w:pPr>
            <w:r>
              <w:rPr>
                <w:rFonts w:ascii="Arial" w:cs="Arial" w:eastAsia="Arial" w:hAnsi="Arial"/>
                <w:sz w:val="25"/>
                <w:szCs w:val="25"/>
                <w:b w:val="1"/>
                <w:bCs w:val="1"/>
                <w:color w:val="auto"/>
                <w:vertAlign w:val="subscript"/>
              </w:rPr>
              <w:t>MW</w:t>
            </w:r>
            <w:r>
              <w:rPr>
                <w:rFonts w:ascii="Arial" w:cs="Arial" w:eastAsia="Arial" w:hAnsi="Arial"/>
                <w:sz w:val="9"/>
                <w:szCs w:val="9"/>
                <w:b w:val="1"/>
                <w:bCs w:val="1"/>
                <w:color w:val="auto"/>
              </w:rPr>
              <w:t>(a)</w:t>
            </w: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Thermal Generation</w:t>
            </w: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 Fuel Cell</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Tulare,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2018</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City of Tulare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color w:val="auto"/>
              </w:rPr>
              <w:t>ECP Uptown Campus</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Pittsburgh, PA</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May 2019</w:t>
            </w:r>
          </w:p>
        </w:tc>
        <w:tc>
          <w:tcPr>
            <w:tcW w:w="1760" w:type="dxa"/>
            <w:vAlign w:val="bottom"/>
            <w:gridSpan w:val="2"/>
          </w:tcPr>
          <w:p>
            <w:pPr>
              <w:spacing w:after="0"/>
              <w:rPr>
                <w:sz w:val="20"/>
                <w:szCs w:val="20"/>
                <w:color w:val="auto"/>
              </w:rPr>
            </w:pPr>
            <w:r>
              <w:rPr>
                <w:rFonts w:ascii="Arial" w:cs="Arial" w:eastAsia="Arial" w:hAnsi="Arial"/>
                <w:sz w:val="14"/>
                <w:szCs w:val="14"/>
                <w:color w:val="auto"/>
              </w:rPr>
              <w:t>Duquesne University</w:t>
            </w:r>
          </w:p>
        </w:tc>
        <w:tc>
          <w:tcPr>
            <w:tcW w:w="104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38"/>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7"/>
              </w:rPr>
              <w:t>Energy Center - Pittsburgh</w:t>
            </w:r>
          </w:p>
        </w:tc>
        <w:tc>
          <w:tcPr>
            <w:tcW w:w="14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Pittsburgh, PA</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Diesel</w:t>
            </w: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January 2019</w:t>
            </w:r>
          </w:p>
        </w:tc>
        <w:tc>
          <w:tcPr>
            <w:tcW w:w="17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University of Pittsburgh</w:t>
            </w:r>
          </w:p>
        </w:tc>
        <w:tc>
          <w:tcPr>
            <w:tcW w:w="1040" w:type="dxa"/>
            <w:vAlign w:val="bottom"/>
            <w:vMerge w:val="restart"/>
            <w:shd w:val="clear" w:color="auto" w:fill="CCEEFF"/>
          </w:tcPr>
          <w:p>
            <w:pPr>
              <w:jc w:val="right"/>
              <w:ind w:right="667"/>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89"/>
        </w:trPr>
        <w:tc>
          <w:tcPr>
            <w:tcW w:w="1660" w:type="dxa"/>
            <w:vAlign w:val="bottom"/>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Medical Center</w:t>
            </w: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color w:val="auto"/>
              </w:rPr>
              <w:t>Energy Center Caguas</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Caguas, PR</w:t>
            </w: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September 2020</w:t>
            </w:r>
          </w:p>
        </w:tc>
        <w:tc>
          <w:tcPr>
            <w:tcW w:w="1760" w:type="dxa"/>
            <w:vAlign w:val="bottom"/>
            <w:gridSpan w:val="2"/>
          </w:tcPr>
          <w:p>
            <w:pPr>
              <w:spacing w:after="0"/>
              <w:rPr>
                <w:sz w:val="20"/>
                <w:szCs w:val="20"/>
                <w:color w:val="auto"/>
              </w:rPr>
            </w:pPr>
            <w:r>
              <w:rPr>
                <w:rFonts w:ascii="Arial" w:cs="Arial" w:eastAsia="Arial" w:hAnsi="Arial"/>
                <w:sz w:val="14"/>
                <w:szCs w:val="14"/>
                <w:color w:val="auto"/>
              </w:rPr>
              <w:t>Viatris Pharmaceuticals</w:t>
            </w:r>
          </w:p>
        </w:tc>
        <w:tc>
          <w:tcPr>
            <w:tcW w:w="104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Paxton Creek Cogen</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Harrisburg, PA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1986</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Power sold into PJM markets</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color w:val="auto"/>
              </w:rPr>
              <w:t>Princeton Hospital</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Princeton, NJ</w:t>
            </w: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January 2012</w:t>
            </w:r>
          </w:p>
        </w:tc>
        <w:tc>
          <w:tcPr>
            <w:tcW w:w="2800" w:type="dxa"/>
            <w:vAlign w:val="bottom"/>
            <w:gridSpan w:val="3"/>
          </w:tcPr>
          <w:p>
            <w:pPr>
              <w:spacing w:after="0"/>
              <w:rPr>
                <w:sz w:val="20"/>
                <w:szCs w:val="20"/>
                <w:color w:val="auto"/>
              </w:rPr>
            </w:pPr>
            <w:r>
              <w:rPr>
                <w:rFonts w:ascii="Arial" w:cs="Arial" w:eastAsia="Arial" w:hAnsi="Arial"/>
                <w:sz w:val="14"/>
                <w:szCs w:val="14"/>
                <w:color w:val="auto"/>
              </w:rPr>
              <w:t>Excess power sold to local utility</w:t>
            </w:r>
          </w:p>
        </w:tc>
        <w:tc>
          <w:tcPr>
            <w:tcW w:w="0" w:type="dxa"/>
            <w:vAlign w:val="bottom"/>
          </w:tcPr>
          <w:p>
            <w:pPr>
              <w:spacing w:after="0"/>
              <w:rPr>
                <w:sz w:val="1"/>
                <w:szCs w:val="1"/>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Tucson Convention Center</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Tucson, AZ</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2003</w:t>
            </w:r>
          </w:p>
        </w:tc>
        <w:tc>
          <w:tcPr>
            <w:tcW w:w="2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Excess power sold to local utility</w:t>
            </w:r>
          </w:p>
        </w:tc>
        <w:tc>
          <w:tcPr>
            <w:tcW w:w="0" w:type="dxa"/>
            <w:vAlign w:val="bottom"/>
          </w:tcPr>
          <w:p>
            <w:pPr>
              <w:spacing w:after="0"/>
              <w:rPr>
                <w:sz w:val="1"/>
                <w:szCs w:val="1"/>
                <w:color w:val="auto"/>
              </w:rPr>
            </w:pPr>
          </w:p>
        </w:tc>
      </w:tr>
      <w:tr>
        <w:trPr>
          <w:trHeight w:val="186"/>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University of Bridgeport</w:t>
            </w:r>
          </w:p>
        </w:tc>
        <w:tc>
          <w:tcPr>
            <w:tcW w:w="1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Bridgeport, CT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Natural Gas</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2015</w:t>
            </w:r>
          </w:p>
        </w:tc>
        <w:tc>
          <w:tcPr>
            <w:tcW w:w="17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University of Bridgeport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99"/>
        </w:trPr>
        <w:tc>
          <w:tcPr>
            <w:tcW w:w="3140" w:type="dxa"/>
            <w:vAlign w:val="bottom"/>
            <w:gridSpan w:val="3"/>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Total Thermal Generation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gridSpan w:val="3"/>
          </w:tcPr>
          <w:p>
            <w:pPr>
              <w:ind w:left="1040"/>
              <w:spacing w:after="0" w:line="183" w:lineRule="exact"/>
              <w:rPr>
                <w:sz w:val="20"/>
                <w:szCs w:val="20"/>
                <w:color w:val="auto"/>
              </w:rPr>
            </w:pPr>
            <w:r>
              <w:rPr>
                <w:rFonts w:ascii="Arial" w:cs="Arial" w:eastAsia="Arial" w:hAnsi="Arial"/>
                <w:sz w:val="16"/>
                <w:szCs w:val="16"/>
                <w:b w:val="1"/>
                <w:bCs w:val="1"/>
                <w:color w:val="auto"/>
              </w:rPr>
              <w:t>Total Clearway Energy LLC</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8,255</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Net capacity represents the maximum, or rated, generating capacity of the facility multiplied by the Company's percentage ownership in the facility as of December 31, 2020.</w:t>
      </w:r>
    </w:p>
    <w:p>
      <w:pPr>
        <w:spacing w:after="0" w:line="57" w:lineRule="exact"/>
        <w:rPr>
          <w:rFonts w:ascii="Arial" w:cs="Arial" w:eastAsia="Arial" w:hAnsi="Arial"/>
          <w:sz w:val="16"/>
          <w:szCs w:val="16"/>
          <w:color w:val="auto"/>
          <w:vertAlign w:val="superscript"/>
        </w:rPr>
      </w:pPr>
    </w:p>
    <w:p>
      <w:pPr>
        <w:ind w:left="160" w:hanging="152"/>
        <w:spacing w:after="0" w:line="229"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Projects are part of tax equity arrangements, as further described in Item 15</w:t>
      </w:r>
      <w:r>
        <w:rPr>
          <w:rFonts w:ascii="Arial" w:cs="Arial" w:eastAsia="Arial" w:hAnsi="Arial"/>
          <w:sz w:val="16"/>
          <w:szCs w:val="16"/>
          <w:color w:val="auto"/>
        </w:rPr>
        <w:t>—</w:t>
      </w:r>
      <w:r>
        <w:rPr>
          <w:rFonts w:ascii="Arial" w:cs="Arial" w:eastAsia="Arial" w:hAnsi="Arial"/>
          <w:sz w:val="14"/>
          <w:szCs w:val="14"/>
          <w:color w:val="auto"/>
        </w:rPr>
        <w:t xml:space="preserve">Note 2, </w:t>
      </w:r>
      <w:r>
        <w:rPr>
          <w:rFonts w:ascii="Arial" w:cs="Arial" w:eastAsia="Arial" w:hAnsi="Arial"/>
          <w:sz w:val="14"/>
          <w:szCs w:val="14"/>
          <w:i w:val="1"/>
          <w:iCs w:val="1"/>
          <w:color w:val="auto"/>
        </w:rPr>
        <w:t>Summary of Significant Accounting Policies.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Company's thermal steam and chilled water facilities as of December 31, 2020:</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Rated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Net Megawatt</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Megawatt</w:t>
            </w: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Thermal</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Thermal Energy Customers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9"/>
              </w:rPr>
              <w:t>Thermal</w:t>
            </w: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Equivalent</w:t>
            </w:r>
          </w:p>
        </w:tc>
        <w:tc>
          <w:tcPr>
            <w:tcW w:w="232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Generating</w:t>
            </w:r>
          </w:p>
        </w:tc>
        <w:tc>
          <w:tcPr>
            <w:tcW w:w="0" w:type="dxa"/>
            <w:vAlign w:val="bottom"/>
          </w:tcPr>
          <w:p>
            <w:pPr>
              <w:spacing w:after="0"/>
              <w:rPr>
                <w:sz w:val="1"/>
                <w:szCs w:val="1"/>
                <w:color w:val="auto"/>
              </w:rPr>
            </w:pPr>
          </w:p>
        </w:tc>
      </w:tr>
      <w:tr>
        <w:trPr>
          <w:trHeight w:val="162"/>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Name and Location of Facility</w:t>
            </w:r>
          </w:p>
        </w:tc>
        <w:tc>
          <w:tcPr>
            <w:tcW w:w="100" w:type="dxa"/>
            <w:vAlign w:val="bottom"/>
            <w:vMerge w:val="restart"/>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 Owned</w:t>
            </w:r>
          </w:p>
        </w:tc>
        <w:tc>
          <w:tcPr>
            <w:tcW w:w="100" w:type="dxa"/>
            <w:vAlign w:val="bottom"/>
            <w:vMerge w:val="restart"/>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Equivalent</w:t>
            </w: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Capacity</w:t>
            </w: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5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(steam/chilled water)</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Capacity (MWt)</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(MWt) </w:t>
            </w:r>
            <w:r>
              <w:rPr>
                <w:rFonts w:ascii="Arial" w:cs="Arial" w:eastAsia="Arial" w:hAnsi="Arial"/>
                <w:sz w:val="21"/>
                <w:szCs w:val="21"/>
                <w:b w:val="1"/>
                <w:bCs w:val="1"/>
                <w:color w:val="auto"/>
                <w:w w:val="96"/>
                <w:vertAlign w:val="superscript"/>
              </w:rPr>
              <w:t>(a)</w:t>
            </w:r>
          </w:p>
        </w:tc>
        <w:tc>
          <w:tcPr>
            <w:tcW w:w="232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Energy Center Minneapolis, MN</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steam</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Steam: 1,075 MMBtu/hr.</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55 chilled water</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w:t>
            </w:r>
          </w:p>
        </w:tc>
        <w:tc>
          <w:tcPr>
            <w:tcW w:w="2320" w:type="dxa"/>
            <w:vAlign w:val="bottom"/>
          </w:tcPr>
          <w:p>
            <w:pPr>
              <w:ind w:left="120"/>
              <w:spacing w:after="0"/>
              <w:rPr>
                <w:sz w:val="20"/>
                <w:szCs w:val="20"/>
                <w:color w:val="auto"/>
              </w:rPr>
            </w:pPr>
            <w:r>
              <w:rPr>
                <w:rFonts w:ascii="Arial" w:cs="Arial" w:eastAsia="Arial" w:hAnsi="Arial"/>
                <w:sz w:val="14"/>
                <w:szCs w:val="14"/>
                <w:color w:val="auto"/>
              </w:rPr>
              <w:t>Chilled water: 38,700 tons</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ECP Uptown Campus, PA</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Duquesne University</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Steam: 181 MMBtu/hr.</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Duquesne University</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2320" w:type="dxa"/>
            <w:vAlign w:val="bottom"/>
          </w:tcPr>
          <w:p>
            <w:pPr>
              <w:ind w:left="120"/>
              <w:spacing w:after="0"/>
              <w:rPr>
                <w:sz w:val="20"/>
                <w:szCs w:val="20"/>
                <w:color w:val="auto"/>
              </w:rPr>
            </w:pPr>
            <w:r>
              <w:rPr>
                <w:rFonts w:ascii="Arial" w:cs="Arial" w:eastAsia="Arial" w:hAnsi="Arial"/>
                <w:sz w:val="14"/>
                <w:szCs w:val="14"/>
                <w:color w:val="auto"/>
              </w:rPr>
              <w:t>Chilled water: 5,790 tons</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Energy Center San Francisco, CA</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180 steam</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Steam: 454 MMBtu/hr.</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4"/>
                <w:szCs w:val="14"/>
                <w:color w:val="auto"/>
              </w:rPr>
              <w:t>Energy Center Omaha, NE</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60 steam</w:t>
            </w:r>
          </w:p>
        </w:tc>
        <w:tc>
          <w:tcPr>
            <w:tcW w:w="90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w:t>
            </w:r>
          </w:p>
        </w:tc>
        <w:tc>
          <w:tcPr>
            <w:tcW w:w="2320" w:type="dxa"/>
            <w:vAlign w:val="bottom"/>
          </w:tcPr>
          <w:p>
            <w:pPr>
              <w:ind w:left="120"/>
              <w:spacing w:after="0"/>
              <w:rPr>
                <w:sz w:val="20"/>
                <w:szCs w:val="20"/>
                <w:color w:val="auto"/>
              </w:rPr>
            </w:pPr>
            <w:r>
              <w:rPr>
                <w:rFonts w:ascii="Arial" w:cs="Arial" w:eastAsia="Arial" w:hAnsi="Arial"/>
                <w:sz w:val="14"/>
                <w:szCs w:val="14"/>
                <w:color w:val="auto"/>
              </w:rPr>
              <w:t>Steam: 675 MMBtu/hr.</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65 chilled water</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Chilled water: 28,000 tons</w:t>
            </w: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4"/>
                <w:szCs w:val="14"/>
                <w:color w:val="auto"/>
              </w:rPr>
              <w:t>Energy Center Harrisburg, PA</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115 steam</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w:t>
            </w:r>
          </w:p>
        </w:tc>
        <w:tc>
          <w:tcPr>
            <w:tcW w:w="2320" w:type="dxa"/>
            <w:vAlign w:val="bottom"/>
          </w:tcPr>
          <w:p>
            <w:pPr>
              <w:ind w:left="120"/>
              <w:spacing w:after="0"/>
              <w:rPr>
                <w:sz w:val="20"/>
                <w:szCs w:val="20"/>
                <w:color w:val="auto"/>
              </w:rPr>
            </w:pPr>
            <w:r>
              <w:rPr>
                <w:rFonts w:ascii="Arial" w:cs="Arial" w:eastAsia="Arial" w:hAnsi="Arial"/>
                <w:sz w:val="14"/>
                <w:szCs w:val="14"/>
                <w:color w:val="auto"/>
              </w:rPr>
              <w:t>Steam: 370 MMBtu/hr.</w:t>
            </w: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 chilled water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Chilled water: 3,900 tons</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4"/>
                <w:szCs w:val="14"/>
                <w:color w:val="auto"/>
              </w:rPr>
              <w:t>Energy Center Phoenix, AZ</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40 chilled water</w:t>
            </w:r>
          </w:p>
        </w:tc>
        <w:tc>
          <w:tcPr>
            <w:tcW w:w="1000" w:type="dxa"/>
            <w:vAlign w:val="bottom"/>
            <w:gridSpan w:val="2"/>
          </w:tcPr>
          <w:p>
            <w:pPr>
              <w:ind w:left="380"/>
              <w:spacing w:after="0" w:line="216" w:lineRule="exact"/>
              <w:rPr>
                <w:sz w:val="20"/>
                <w:szCs w:val="20"/>
                <w:color w:val="auto"/>
              </w:rPr>
            </w:pPr>
            <w:r>
              <w:rPr>
                <w:rFonts w:ascii="Arial" w:cs="Arial" w:eastAsia="Arial" w:hAnsi="Arial"/>
                <w:sz w:val="25"/>
                <w:szCs w:val="25"/>
                <w:color w:val="auto"/>
                <w:vertAlign w:val="subscript"/>
              </w:rPr>
              <w:t>73 %</w:t>
            </w:r>
            <w:r>
              <w:rPr>
                <w:rFonts w:ascii="Arial" w:cs="Arial" w:eastAsia="Arial" w:hAnsi="Arial"/>
                <w:sz w:val="9"/>
                <w:szCs w:val="9"/>
                <w:color w:val="auto"/>
              </w:rPr>
              <w:t xml:space="preserve"> (b)</w:t>
            </w:r>
          </w:p>
        </w:tc>
        <w:tc>
          <w:tcPr>
            <w:tcW w:w="118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w:t>
            </w:r>
          </w:p>
        </w:tc>
        <w:tc>
          <w:tcPr>
            <w:tcW w:w="2320" w:type="dxa"/>
            <w:vAlign w:val="bottom"/>
          </w:tcPr>
          <w:p>
            <w:pPr>
              <w:ind w:left="120"/>
              <w:spacing w:after="0"/>
              <w:rPr>
                <w:sz w:val="20"/>
                <w:szCs w:val="20"/>
                <w:color w:val="auto"/>
              </w:rPr>
            </w:pPr>
            <w:r>
              <w:rPr>
                <w:rFonts w:ascii="Arial" w:cs="Arial" w:eastAsia="Arial" w:hAnsi="Arial"/>
                <w:sz w:val="14"/>
                <w:szCs w:val="14"/>
                <w:color w:val="auto"/>
              </w:rPr>
              <w:t>Chilled water 41,020 tons</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Steam: 17 MMBtu/hr.</w:t>
            </w: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4"/>
                <w:szCs w:val="14"/>
                <w:color w:val="auto"/>
              </w:rPr>
              <w:t>Energy Center Pittsburgh, PA</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25 steam</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w:t>
            </w:r>
          </w:p>
        </w:tc>
        <w:tc>
          <w:tcPr>
            <w:tcW w:w="2320" w:type="dxa"/>
            <w:vAlign w:val="bottom"/>
          </w:tcPr>
          <w:p>
            <w:pPr>
              <w:ind w:left="120"/>
              <w:spacing w:after="0"/>
              <w:rPr>
                <w:sz w:val="20"/>
                <w:szCs w:val="20"/>
                <w:color w:val="auto"/>
              </w:rPr>
            </w:pPr>
            <w:r>
              <w:rPr>
                <w:rFonts w:ascii="Arial" w:cs="Arial" w:eastAsia="Arial" w:hAnsi="Arial"/>
                <w:sz w:val="14"/>
                <w:szCs w:val="14"/>
                <w:color w:val="auto"/>
              </w:rPr>
              <w:t>Steam: 452 MMBtu/hr.</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 chilled water</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Chilled water: 22,224 tons</w:t>
            </w: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4"/>
                <w:szCs w:val="14"/>
                <w:color w:val="auto"/>
              </w:rPr>
              <w:t>Energy Center San Diego, CA</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20 chilled water</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2320" w:type="dxa"/>
            <w:vAlign w:val="bottom"/>
          </w:tcPr>
          <w:p>
            <w:pPr>
              <w:ind w:left="120"/>
              <w:spacing w:after="0"/>
              <w:rPr>
                <w:sz w:val="20"/>
                <w:szCs w:val="20"/>
                <w:color w:val="auto"/>
              </w:rPr>
            </w:pPr>
            <w:r>
              <w:rPr>
                <w:rFonts w:ascii="Arial" w:cs="Arial" w:eastAsia="Arial" w:hAnsi="Arial"/>
                <w:sz w:val="14"/>
                <w:szCs w:val="14"/>
                <w:color w:val="auto"/>
              </w:rPr>
              <w:t>Chilled water: 9,295 tons</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Energy Center Princeton, NJ</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HealthCare System</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Steam: 72 MMBtu/hr.</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Princeton HealthCare System</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2320" w:type="dxa"/>
            <w:vAlign w:val="bottom"/>
          </w:tcPr>
          <w:p>
            <w:pPr>
              <w:ind w:left="120"/>
              <w:spacing w:after="0"/>
              <w:rPr>
                <w:sz w:val="20"/>
                <w:szCs w:val="20"/>
                <w:color w:val="auto"/>
              </w:rPr>
            </w:pPr>
            <w:r>
              <w:rPr>
                <w:rFonts w:ascii="Arial" w:cs="Arial" w:eastAsia="Arial" w:hAnsi="Arial"/>
                <w:sz w:val="14"/>
                <w:szCs w:val="14"/>
                <w:color w:val="auto"/>
              </w:rPr>
              <w:t>Chilled water: 4,700 tons</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Energy Center Caguas, PR</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Viatris Pharmaceuticals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Steam: 4 MMBtu/hr.</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Viatris Pharmaceuticals</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320" w:type="dxa"/>
            <w:vAlign w:val="bottom"/>
          </w:tcPr>
          <w:p>
            <w:pPr>
              <w:ind w:left="120"/>
              <w:spacing w:after="0"/>
              <w:rPr>
                <w:sz w:val="20"/>
                <w:szCs w:val="20"/>
                <w:color w:val="auto"/>
              </w:rPr>
            </w:pPr>
            <w:r>
              <w:rPr>
                <w:rFonts w:ascii="Arial" w:cs="Arial" w:eastAsia="Arial" w:hAnsi="Arial"/>
                <w:sz w:val="14"/>
                <w:szCs w:val="14"/>
                <w:color w:val="auto"/>
              </w:rPr>
              <w:t>Chilled water: 800 tons</w:t>
            </w:r>
          </w:p>
        </w:tc>
        <w:tc>
          <w:tcPr>
            <w:tcW w:w="0" w:type="dxa"/>
            <w:vAlign w:val="bottom"/>
          </w:tcPr>
          <w:p>
            <w:pPr>
              <w:spacing w:after="0"/>
              <w:rPr>
                <w:sz w:val="1"/>
                <w:szCs w:val="1"/>
                <w:color w:val="auto"/>
              </w:rPr>
            </w:pPr>
          </w:p>
        </w:tc>
      </w:tr>
      <w:tr>
        <w:trPr>
          <w:trHeight w:val="212"/>
        </w:trPr>
        <w:tc>
          <w:tcPr>
            <w:tcW w:w="2840" w:type="dxa"/>
            <w:vAlign w:val="bottom"/>
            <w:gridSpan w:val="2"/>
          </w:tcPr>
          <w:p>
            <w:pPr>
              <w:ind w:left="1260"/>
              <w:spacing w:after="0"/>
              <w:rPr>
                <w:sz w:val="20"/>
                <w:szCs w:val="20"/>
                <w:color w:val="auto"/>
              </w:rPr>
            </w:pPr>
            <w:r>
              <w:rPr>
                <w:rFonts w:ascii="Arial" w:cs="Arial" w:eastAsia="Arial" w:hAnsi="Arial"/>
                <w:sz w:val="14"/>
                <w:szCs w:val="14"/>
                <w:color w:val="auto"/>
                <w:w w:val="99"/>
              </w:rPr>
              <w:t>Total generating capacity</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580" w:firstLine="8"/>
        <w:spacing w:after="0"/>
        <w:tabs>
          <w:tab w:leader="none" w:pos="127" w:val="left"/>
        </w:tabs>
        <w:numPr>
          <w:ilvl w:val="0"/>
          <w:numId w:val="13"/>
        </w:numPr>
        <w:rPr>
          <w:rFonts w:ascii="Arial" w:cs="Arial" w:eastAsia="Arial" w:hAnsi="Arial"/>
          <w:sz w:val="13"/>
          <w:szCs w:val="13"/>
          <w:color w:val="auto"/>
          <w:vertAlign w:val="superscript"/>
        </w:rPr>
      </w:pPr>
      <w:r>
        <w:rPr>
          <w:rFonts w:ascii="Arial" w:cs="Arial" w:eastAsia="Arial" w:hAnsi="Arial"/>
          <w:sz w:val="11"/>
          <w:szCs w:val="11"/>
          <w:color w:val="auto"/>
        </w:rPr>
        <w:t>Net megawatt thermal equivalent capacity represents the maximum, or rated, generating capacity of the facility multiplied by the Company's percentage ownership in the facility as of December 31, 2020.</w:t>
      </w:r>
    </w:p>
    <w:p>
      <w:pPr>
        <w:spacing w:after="0" w:line="226" w:lineRule="exact"/>
        <w:rPr>
          <w:rFonts w:ascii="Arial" w:cs="Arial" w:eastAsia="Arial" w:hAnsi="Arial"/>
          <w:sz w:val="13"/>
          <w:szCs w:val="13"/>
          <w:color w:val="auto"/>
          <w:vertAlign w:val="superscript"/>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Net MWt capacity excludes 43 MWt available under the right-to-use provisions contained in agreements between one of the Company's thermal facilities and certain of its customers.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 Legal Proceedings</w:t>
      </w:r>
    </w:p>
    <w:p>
      <w:pPr>
        <w:spacing w:after="0" w:line="171" w:lineRule="exact"/>
        <w:rPr>
          <w:sz w:val="20"/>
          <w:szCs w:val="20"/>
          <w:color w:val="auto"/>
        </w:rPr>
      </w:pPr>
    </w:p>
    <w:p>
      <w:pPr>
        <w:ind w:firstLine="211"/>
        <w:spacing w:after="0" w:line="282" w:lineRule="auto"/>
        <w:rPr>
          <w:sz w:val="20"/>
          <w:szCs w:val="20"/>
          <w:color w:val="auto"/>
        </w:rPr>
      </w:pPr>
      <w:r>
        <w:rPr>
          <w:rFonts w:ascii="Arial" w:cs="Arial" w:eastAsia="Arial" w:hAnsi="Arial"/>
          <w:sz w:val="18"/>
          <w:szCs w:val="18"/>
          <w:color w:val="auto"/>
        </w:rPr>
        <w:t xml:space="preserve">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for discussion of the material legal proceedings to which the Company is a party or of which any of its properties is subject.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75" w:lineRule="exact"/>
        <w:rPr>
          <w:sz w:val="20"/>
          <w:szCs w:val="20"/>
          <w:color w:val="auto"/>
        </w:rPr>
      </w:pPr>
    </w:p>
    <w:p>
      <w:pPr>
        <w:ind w:firstLine="177"/>
        <w:spacing w:after="0" w:line="277" w:lineRule="auto"/>
        <w:rPr>
          <w:sz w:val="20"/>
          <w:szCs w:val="20"/>
          <w:color w:val="auto"/>
        </w:rPr>
      </w:pPr>
      <w:r>
        <w:rPr>
          <w:rFonts w:ascii="Arial" w:cs="Arial" w:eastAsia="Arial" w:hAnsi="Arial"/>
          <w:sz w:val="18"/>
          <w:szCs w:val="18"/>
          <w:color w:val="auto"/>
        </w:rPr>
        <w:t>As of the date of this report, there is no publicly-traded market for the Company's membership units. All of the Company's Class A and Class C units are held by Clearway, Inc. and all of the Company's Class B and Class D units are held by CEG.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Fourth Quarter</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 2020</w:t>
            </w: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First Quarter 2020</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and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w:t>
            </w: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C and Class D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0.318</w:t>
            </w:r>
          </w:p>
        </w:tc>
        <w:tc>
          <w:tcPr>
            <w:tcW w:w="100" w:type="dxa"/>
            <w:vAlign w:val="bottom"/>
          </w:tcPr>
          <w:p>
            <w:pPr>
              <w:spacing w:after="0"/>
              <w:rPr>
                <w:sz w:val="20"/>
                <w:szCs w:val="20"/>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0.210</w:t>
            </w:r>
          </w:p>
        </w:tc>
        <w:tc>
          <w:tcPr>
            <w:tcW w:w="120" w:type="dxa"/>
            <w:vAlign w:val="bottom"/>
          </w:tcPr>
          <w:p>
            <w:pPr>
              <w:spacing w:after="0"/>
              <w:rPr>
                <w:sz w:val="20"/>
                <w:szCs w:val="20"/>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211"/>
        <w:spacing w:after="0" w:line="277" w:lineRule="auto"/>
        <w:rPr>
          <w:sz w:val="20"/>
          <w:szCs w:val="20"/>
          <w:color w:val="auto"/>
        </w:rPr>
      </w:pPr>
      <w:r>
        <w:rPr>
          <w:rFonts w:ascii="Arial" w:cs="Arial" w:eastAsia="Arial" w:hAnsi="Arial"/>
          <w:sz w:val="18"/>
          <w:szCs w:val="18"/>
          <w:color w:val="auto"/>
        </w:rPr>
        <w:t>On February 12, 2021, the Company declared a quarterly distribution on its Class A, Class B, Class C and Class D units of $0.324 per unit payable on March 15,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ind w:firstLine="202"/>
        <w:spacing w:after="0" w:line="277" w:lineRule="auto"/>
        <w:rPr>
          <w:sz w:val="20"/>
          <w:szCs w:val="20"/>
          <w:color w:val="auto"/>
        </w:rPr>
      </w:pPr>
      <w:r>
        <w:rPr>
          <w:rFonts w:ascii="Arial" w:cs="Arial" w:eastAsia="Arial" w:hAnsi="Arial"/>
          <w:sz w:val="18"/>
          <w:szCs w:val="18"/>
          <w:color w:val="auto"/>
        </w:rPr>
        <w:t xml:space="preserve">The historical data in the table below should be read in conjunction with the Consolidated Financial Statements and the related notes thereto in Item 15 and Item 7, </w:t>
      </w:r>
      <w:r>
        <w:rPr>
          <w:rFonts w:ascii="Arial" w:cs="Arial" w:eastAsia="Arial" w:hAnsi="Arial"/>
          <w:sz w:val="18"/>
          <w:szCs w:val="18"/>
          <w:i w:val="1"/>
          <w:iCs w:val="1"/>
          <w:color w:val="auto"/>
        </w:rPr>
        <w:t>Management's Discussion and Analysis of Financial Condition and Results of Operations.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Fiscal year ended December 31,</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8"/>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r>
      <w:tr>
        <w:trPr>
          <w:trHeight w:val="170"/>
        </w:trPr>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 of Income Data:</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88"/>
        </w:trPr>
        <w:tc>
          <w:tcPr>
            <w:tcW w:w="6180" w:type="dxa"/>
            <w:vAlign w:val="bottom"/>
          </w:tcPr>
          <w:p>
            <w:pPr>
              <w:spacing w:after="0"/>
              <w:rPr>
                <w:sz w:val="20"/>
                <w:szCs w:val="20"/>
                <w:color w:val="auto"/>
              </w:rPr>
            </w:pPr>
            <w:r>
              <w:rPr>
                <w:rFonts w:ascii="Arial" w:cs="Arial" w:eastAsia="Arial" w:hAnsi="Arial"/>
                <w:sz w:val="14"/>
                <w:szCs w:val="14"/>
                <w:b w:val="1"/>
                <w:bCs w:val="1"/>
                <w:color w:val="auto"/>
              </w:rPr>
              <w:t>Operating Revenues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operating revenues</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r>
      <w:tr>
        <w:trPr>
          <w:trHeight w:val="188"/>
        </w:trPr>
        <w:tc>
          <w:tcPr>
            <w:tcW w:w="6180" w:type="dxa"/>
            <w:vAlign w:val="bottom"/>
          </w:tcPr>
          <w:p>
            <w:pPr>
              <w:spacing w:after="0"/>
              <w:rPr>
                <w:sz w:val="20"/>
                <w:szCs w:val="20"/>
                <w:color w:val="auto"/>
              </w:rPr>
            </w:pPr>
            <w:r>
              <w:rPr>
                <w:rFonts w:ascii="Arial" w:cs="Arial" w:eastAsia="Arial" w:hAnsi="Arial"/>
                <w:sz w:val="14"/>
                <w:szCs w:val="14"/>
                <w:b w:val="1"/>
                <w:bCs w:val="1"/>
                <w:color w:val="auto"/>
              </w:rPr>
              <w:t>Operating Costs and Expenses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operations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r>
      <w:tr>
        <w:trPr>
          <w:trHeight w:val="186"/>
        </w:trPr>
        <w:tc>
          <w:tcPr>
            <w:tcW w:w="6180" w:type="dxa"/>
            <w:vAlign w:val="bottom"/>
          </w:tcPr>
          <w:p>
            <w:pPr>
              <w:ind w:left="120"/>
              <w:spacing w:after="0"/>
              <w:rPr>
                <w:sz w:val="20"/>
                <w:szCs w:val="20"/>
                <w:color w:val="auto"/>
              </w:rPr>
            </w:pPr>
            <w:r>
              <w:rPr>
                <w:rFonts w:ascii="Arial" w:cs="Arial" w:eastAsia="Arial" w:hAnsi="Arial"/>
                <w:sz w:val="14"/>
                <w:szCs w:val="14"/>
                <w:color w:val="auto"/>
              </w:rPr>
              <w:t>Depreciation, amortization and accretion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192"/>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 losses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86"/>
        </w:trPr>
        <w:tc>
          <w:tcPr>
            <w:tcW w:w="618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92"/>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 and integration costs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6180" w:type="dxa"/>
            <w:vAlign w:val="bottom"/>
          </w:tcPr>
          <w:p>
            <w:pPr>
              <w:ind w:left="120"/>
              <w:spacing w:after="0"/>
              <w:rPr>
                <w:sz w:val="20"/>
                <w:szCs w:val="20"/>
                <w:color w:val="auto"/>
              </w:rPr>
            </w:pPr>
            <w:r>
              <w:rPr>
                <w:rFonts w:ascii="Arial" w:cs="Arial" w:eastAsia="Arial" w:hAnsi="Arial"/>
                <w:sz w:val="14"/>
                <w:szCs w:val="14"/>
                <w:color w:val="auto"/>
              </w:rPr>
              <w:t>Development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1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operating costs and expenses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w:t>
            </w:r>
          </w:p>
        </w:tc>
      </w:tr>
      <w:tr>
        <w:trPr>
          <w:trHeight w:val="179"/>
        </w:trPr>
        <w:tc>
          <w:tcPr>
            <w:tcW w:w="618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192"/>
        </w:trPr>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6"/>
        </w:trPr>
        <w:tc>
          <w:tcPr>
            <w:tcW w:w="6180" w:type="dxa"/>
            <w:vAlign w:val="bottom"/>
          </w:tcPr>
          <w:p>
            <w:pPr>
              <w:ind w:left="12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92"/>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 loss on investment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180" w:type="dxa"/>
            <w:vAlign w:val="bottom"/>
          </w:tcPr>
          <w:p>
            <w:pPr>
              <w:ind w:left="120"/>
              <w:spacing w:after="0"/>
              <w:rPr>
                <w:sz w:val="20"/>
                <w:szCs w:val="20"/>
                <w:color w:val="auto"/>
              </w:rPr>
            </w:pPr>
            <w:r>
              <w:rPr>
                <w:rFonts w:ascii="Arial" w:cs="Arial" w:eastAsia="Arial" w:hAnsi="Arial"/>
                <w:sz w:val="14"/>
                <w:szCs w:val="14"/>
                <w:color w:val="auto"/>
              </w:rPr>
              <w:t>Gain on sale of unconsolidated affiliate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net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6180" w:type="dxa"/>
            <w:vAlign w:val="bottom"/>
          </w:tcPr>
          <w:p>
            <w:pPr>
              <w:ind w:left="120"/>
              <w:spacing w:after="0"/>
              <w:rPr>
                <w:sz w:val="20"/>
                <w:szCs w:val="20"/>
                <w:color w:val="auto"/>
              </w:rPr>
            </w:pPr>
            <w:r>
              <w:rPr>
                <w:rFonts w:ascii="Arial" w:cs="Arial" w:eastAsia="Arial" w:hAnsi="Arial"/>
                <w:sz w:val="14"/>
                <w:szCs w:val="14"/>
                <w:color w:val="auto"/>
              </w:rPr>
              <w:t>Loss on debt extinguishment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179"/>
        </w:trPr>
        <w:tc>
          <w:tcPr>
            <w:tcW w:w="61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other expense, net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186"/>
        </w:trPr>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Income</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9"/>
        </w:trPr>
        <w:tc>
          <w:tcPr>
            <w:tcW w:w="6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Net (loss) income attributable to noncontrolling interests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211"/>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 (Loss) Attributable to Clearway Energy LLC</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9"/>
        </w:trPr>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Financial Data:</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13"/>
        </w:trPr>
        <w:tc>
          <w:tcPr>
            <w:tcW w:w="6180" w:type="dxa"/>
            <w:vAlign w:val="bottom"/>
          </w:tcPr>
          <w:p>
            <w:pPr>
              <w:ind w:left="8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92"/>
        </w:trPr>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6"/>
        </w:trPr>
        <w:tc>
          <w:tcPr>
            <w:tcW w:w="6180" w:type="dxa"/>
            <w:vAlign w:val="bottom"/>
          </w:tcPr>
          <w:p>
            <w:pPr>
              <w:ind w:left="80"/>
              <w:spacing w:after="0"/>
              <w:rPr>
                <w:sz w:val="20"/>
                <w:szCs w:val="20"/>
                <w:color w:val="auto"/>
              </w:rPr>
            </w:pPr>
            <w:r>
              <w:rPr>
                <w:rFonts w:ascii="Arial" w:cs="Arial" w:eastAsia="Arial" w:hAnsi="Arial"/>
                <w:sz w:val="14"/>
                <w:szCs w:val="14"/>
                <w:color w:val="auto"/>
              </w:rPr>
              <w:t>Net cash provided by (used in):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61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activities</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186"/>
        </w:trPr>
        <w:tc>
          <w:tcPr>
            <w:tcW w:w="6180" w:type="dxa"/>
            <w:vAlign w:val="bottom"/>
          </w:tcPr>
          <w:p>
            <w:pPr>
              <w:ind w:left="160"/>
              <w:spacing w:after="0"/>
              <w:rPr>
                <w:sz w:val="20"/>
                <w:szCs w:val="20"/>
                <w:color w:val="auto"/>
              </w:rPr>
            </w:pPr>
            <w:r>
              <w:rPr>
                <w:rFonts w:ascii="Arial" w:cs="Arial" w:eastAsia="Arial" w:hAnsi="Arial"/>
                <w:sz w:val="14"/>
                <w:szCs w:val="14"/>
                <w:color w:val="auto"/>
              </w:rPr>
              <w:t>Investing activities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92"/>
        </w:trPr>
        <w:tc>
          <w:tcPr>
            <w:tcW w:w="61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Financing activities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188"/>
        </w:trPr>
        <w:tc>
          <w:tcPr>
            <w:tcW w:w="6180" w:type="dxa"/>
            <w:vAlign w:val="bottom"/>
          </w:tcPr>
          <w:p>
            <w:pPr>
              <w:spacing w:after="0"/>
              <w:rPr>
                <w:sz w:val="20"/>
                <w:szCs w:val="20"/>
                <w:color w:val="auto"/>
              </w:rPr>
            </w:pPr>
            <w:r>
              <w:rPr>
                <w:rFonts w:ascii="Arial" w:cs="Arial" w:eastAsia="Arial" w:hAnsi="Arial"/>
                <w:sz w:val="14"/>
                <w:szCs w:val="14"/>
                <w:b w:val="1"/>
                <w:bCs w:val="1"/>
                <w:color w:val="auto"/>
              </w:rPr>
              <w:t>Balance Sheet Data:</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86"/>
        </w:trPr>
        <w:tc>
          <w:tcPr>
            <w:tcW w:w="6180" w:type="dxa"/>
            <w:vAlign w:val="bottom"/>
          </w:tcPr>
          <w:p>
            <w:pPr>
              <w:ind w:left="8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5,410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5,579</w:t>
            </w:r>
          </w:p>
        </w:tc>
      </w:tr>
      <w:tr>
        <w:trPr>
          <w:trHeight w:val="192"/>
        </w:trPr>
        <w:tc>
          <w:tcPr>
            <w:tcW w:w="6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8,772</w:t>
            </w:r>
          </w:p>
        </w:tc>
      </w:tr>
      <w:tr>
        <w:trPr>
          <w:trHeight w:val="186"/>
        </w:trPr>
        <w:tc>
          <w:tcPr>
            <w:tcW w:w="6180" w:type="dxa"/>
            <w:vAlign w:val="bottom"/>
          </w:tcPr>
          <w:p>
            <w:pPr>
              <w:ind w:left="80"/>
              <w:spacing w:after="0"/>
              <w:rPr>
                <w:sz w:val="20"/>
                <w:szCs w:val="20"/>
                <w:color w:val="auto"/>
              </w:rPr>
            </w:pPr>
            <w:r>
              <w:rPr>
                <w:rFonts w:ascii="Arial" w:cs="Arial" w:eastAsia="Arial" w:hAnsi="Arial"/>
                <w:sz w:val="14"/>
                <w:szCs w:val="14"/>
                <w:color w:val="auto"/>
              </w:rPr>
              <w:t>Long-term debt, including current maturities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6,006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6,069</w:t>
            </w:r>
          </w:p>
        </w:tc>
      </w:tr>
      <w:tr>
        <w:trPr>
          <w:trHeight w:val="192"/>
        </w:trPr>
        <w:tc>
          <w:tcPr>
            <w:tcW w:w="6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liabilities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6,384</w:t>
            </w:r>
          </w:p>
        </w:tc>
      </w:tr>
      <w:tr>
        <w:trPr>
          <w:trHeight w:val="182"/>
        </w:trPr>
        <w:tc>
          <w:tcPr>
            <w:tcW w:w="6180" w:type="dxa"/>
            <w:vAlign w:val="bottom"/>
          </w:tcPr>
          <w:p>
            <w:pPr>
              <w:ind w:left="80"/>
              <w:spacing w:after="0"/>
              <w:rPr>
                <w:sz w:val="20"/>
                <w:szCs w:val="20"/>
                <w:color w:val="auto"/>
              </w:rPr>
            </w:pPr>
            <w:r>
              <w:rPr>
                <w:rFonts w:ascii="Arial" w:cs="Arial" w:eastAsia="Arial" w:hAnsi="Arial"/>
                <w:sz w:val="14"/>
                <w:szCs w:val="14"/>
                <w:color w:val="auto"/>
              </w:rPr>
              <w:t>Total members' equity</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w:t>
      </w:r>
      <w:r>
        <w:rPr>
          <w:rFonts w:ascii="Arial" w:cs="Arial" w:eastAsia="Arial" w:hAnsi="Arial"/>
          <w:sz w:val="18"/>
          <w:szCs w:val="18"/>
          <w:b w:val="1"/>
          <w:bCs w:val="1"/>
          <w:color w:val="auto"/>
        </w:rPr>
        <w:t xml:space="preserve"> Management's Discussion and Analysis of Financial Condition and the Results of Operations</w:t>
      </w:r>
    </w:p>
    <w:p>
      <w:pPr>
        <w:spacing w:after="0" w:line="200" w:lineRule="exact"/>
        <w:rPr>
          <w:sz w:val="20"/>
          <w:szCs w:val="20"/>
          <w:color w:val="auto"/>
        </w:rPr>
      </w:pPr>
    </w:p>
    <w:p>
      <w:pPr>
        <w:spacing w:after="0" w:line="326"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 xml:space="preserve">As you read this discussion and analysis, refer to the Company's Consolidated Statements of Operations to this Form 10-K. Also refer to Item 1 —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and Item 1A —</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which include detailed discussions of various items impacting the Company's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Discussions of the year ended December 31, 2018 that are not included in this Annual Report on Form 10-K and year-to-year comparisons of the year ended December 31, 2019 and the year ended December 31, 2018 can be found in “Management’s Discussion and Analysis of Financial Condition and the Results of Operations” in Part II, Item 7 of the Company’s Annual Report on Form 10-K for the year ended December 31, 2019.</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1300" w:right="400" w:hanging="320"/>
        <w:spacing w:after="0" w:line="277" w:lineRule="auto"/>
        <w:tabs>
          <w:tab w:leader="none" w:pos="1295"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880" w:hanging="320"/>
        <w:spacing w:after="0" w:line="277" w:lineRule="auto"/>
        <w:tabs>
          <w:tab w:leader="none" w:pos="1295"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200" w:hanging="320"/>
        <w:spacing w:after="0" w:line="277" w:lineRule="auto"/>
        <w:tabs>
          <w:tab w:leader="none" w:pos="1295"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760" w:hanging="320"/>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288"/>
        <w:spacing w:after="0" w:line="308"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sponsored by GIP through GIP's portfolio company, CEG.</w:t>
      </w:r>
    </w:p>
    <w:p>
      <w:pPr>
        <w:spacing w:after="0" w:line="92" w:lineRule="exact"/>
        <w:rPr>
          <w:sz w:val="20"/>
          <w:szCs w:val="20"/>
          <w:color w:val="auto"/>
        </w:rPr>
      </w:pPr>
    </w:p>
    <w:p>
      <w:pPr>
        <w:jc w:val="both"/>
        <w:ind w:firstLine="221"/>
        <w:spacing w:after="0" w:line="255" w:lineRule="auto"/>
        <w:rPr>
          <w:sz w:val="20"/>
          <w:szCs w:val="20"/>
          <w:color w:val="auto"/>
        </w:rPr>
      </w:pPr>
      <w:r>
        <w:rPr>
          <w:rFonts w:ascii="Arial" w:cs="Arial" w:eastAsia="Arial" w:hAnsi="Arial"/>
          <w:sz w:val="18"/>
          <w:szCs w:val="18"/>
          <w:color w:val="auto"/>
        </w:rPr>
        <w:t xml:space="preserve">The Company is one of the largest renewable energy owners in the U.S. with over 4,200 net MW of installed wind and solar generation projects. The Company also owns approximately 2,500 net MW of environmentally-sound, highly efficient natural gas-fired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Arial" w:cs="Arial" w:eastAsia="Arial" w:hAnsi="Arial"/>
          <w:sz w:val="18"/>
          <w:szCs w:val="18"/>
          <w:color w:val="231F20"/>
        </w:rPr>
        <w:t>as of</w:t>
      </w:r>
      <w:r>
        <w:rPr>
          <w:rFonts w:ascii="Arial" w:cs="Arial" w:eastAsia="Arial" w:hAnsi="Arial"/>
          <w:sz w:val="18"/>
          <w:szCs w:val="18"/>
          <w:color w:val="auto"/>
        </w:rPr>
        <w:t xml:space="preserve"> December 31, 2020 </w:t>
      </w:r>
      <w:r>
        <w:rPr>
          <w:rFonts w:ascii="Arial" w:cs="Arial" w:eastAsia="Arial" w:hAnsi="Arial"/>
          <w:sz w:val="18"/>
          <w:szCs w:val="18"/>
          <w:color w:val="231F20"/>
        </w:rPr>
        <w:t>based on CAFD.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Acquisitions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10, 2021, the Company reached an agreement to acquire 100% of the equity interests in Mount Storm Holdings I LLC, or Mt Storm, for approximately $96 million subject to certain purchase price adjustments. Mt Storm is a 264 MW wind project located in Grant County, West Virginia. The transaction is subject to customary regulatory approvals.</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3, 2021, the Company acquired an additional 35% equity interest in the Agua Caliente solar project from NRG Energy, Inc. for $202 million. Agua Caliente is a 290 MW solar project located in Dateland, Arizona in which Clearway previously owned a 16% equity interest. The project has a 25-year PPA with PG&amp;E, with approximately 19 years remaining under the agreement. Following the close of the transaction, the Company owns a 51% equity interest in Agua Caliente. The Company will remove its equity method investment and consolidate its interest in Agua Caliente from the date of the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On January 12, 2021, the Company acquired 100% of CEG's equity interest and a third party investor's minority interest in Rattlesnake Flat, LLC, which owns the Rattlesnake Wind Project, a 160 net MW wind facility located in Adams County, WA which achieved commercial operations in January 2021, for $132 million in cash consideration and expects its net capital commitment to be $119 million after proceeds from a state sales and use tax refund which are expected to be received in 2021.</w:t>
      </w:r>
    </w:p>
    <w:p>
      <w:pPr>
        <w:spacing w:after="0" w:line="132" w:lineRule="exact"/>
        <w:rPr>
          <w:rFonts w:ascii="Arial" w:cs="Arial" w:eastAsia="Arial" w:hAnsi="Arial"/>
          <w:sz w:val="18"/>
          <w:szCs w:val="18"/>
          <w:b w:val="1"/>
          <w:bCs w:val="1"/>
          <w:i w:val="1"/>
          <w:iCs w:val="1"/>
          <w:color w:val="auto"/>
        </w:rPr>
      </w:pPr>
    </w:p>
    <w:p>
      <w:pPr>
        <w:jc w:val="both"/>
        <w:ind w:left="660" w:hanging="328"/>
        <w:spacing w:after="0" w:line="27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December 21, 2020, subsidiaries of the Company entered into the Lighthouse Partnership Agreements providing for the Company’s co-investment in a 1,204 MW portfolio of renewable energy projects developed by CEG. In addition, the agreements included an amendment of the partnership that owns the 419 MW Mesquite Star wind project, providing the Company with additional project cash flows after the first half of 2031. As described below, the Company had previously acquired an interest in Mesquite Star Pledgor LLC, which was subsequently renamed Lighthouse Renewable Holdco LLC. The 1,204 MW portfolio of renewable energy projects includes:</w:t>
      </w:r>
    </w:p>
    <w:p>
      <w:pPr>
        <w:spacing w:after="0" w:line="14" w:lineRule="exact"/>
        <w:rPr>
          <w:rFonts w:ascii="Arial" w:cs="Arial" w:eastAsia="Arial" w:hAnsi="Arial"/>
          <w:sz w:val="17"/>
          <w:szCs w:val="17"/>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Five geographically diversified wind, solar and solar plus storage assets under development totaling 1,012 MW, and</w:t>
      </w:r>
    </w:p>
    <w:p>
      <w:pPr>
        <w:spacing w:after="0" w:line="63" w:lineRule="exact"/>
        <w:rPr>
          <w:rFonts w:ascii="Arial" w:cs="Arial" w:eastAsia="Arial" w:hAnsi="Arial"/>
          <w:sz w:val="18"/>
          <w:szCs w:val="18"/>
          <w:color w:val="auto"/>
        </w:rPr>
      </w:pPr>
    </w:p>
    <w:p>
      <w:pPr>
        <w:jc w:val="both"/>
        <w:ind w:left="1300" w:hanging="320"/>
        <w:spacing w:after="0" w:line="25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192 MW Rosamond Central solar project, located in Kern County, California. On December 21, 2020, the Company acquired 100% of the Class A membership interests of Rosie TargetCo LLC, which consolidates its interest in a tax equity fund that owns the project, for approximately $24 million in cash consideration. Rosie TargetCo LLC is a partnership, whose Class B membership interests are owned by a third party investor. The Company is entitled to a 50% cash equity interest in Rosamond Central through its Class A membership interests.</w:t>
      </w:r>
    </w:p>
    <w:p>
      <w:pPr>
        <w:spacing w:after="0" w:line="2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For the above-mentioned transactions, the Company expects to invest an estimated $215 million in corporate capital by the end of 2022, subject to closing adjustments and the projects achieving certain milestones. The expected net corporate capital includes the $24 million already invested in Rosamond Central in 2020 and the purchase price adjustment received concurrent with the partnership agreement amendment for Mesquite Star.</w:t>
      </w:r>
    </w:p>
    <w:p>
      <w:pPr>
        <w:spacing w:after="0" w:line="95"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On November 20, 2020, the Company acquired from Clearway Renew LLC, a subsidiary of CEG, and a third party investor, 100% of the cash equity interests in Langford Holding LLC, which owns the Langford wind project, for total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ind w:left="660"/>
        <w:spacing w:after="0" w:line="277" w:lineRule="auto"/>
        <w:rPr>
          <w:sz w:val="20"/>
          <w:szCs w:val="20"/>
          <w:color w:val="auto"/>
        </w:rPr>
      </w:pPr>
      <w:r>
        <w:rPr>
          <w:rFonts w:ascii="Arial" w:cs="Arial" w:eastAsia="Arial" w:hAnsi="Arial"/>
          <w:sz w:val="18"/>
          <w:szCs w:val="18"/>
          <w:color w:val="auto"/>
        </w:rPr>
        <w:t>cash consideration of approximately $64 million. The Langford wind project is a 160 MW wind project located in West Texas which was repowered and achieved commercial operations in November 2020.</w:t>
      </w:r>
    </w:p>
    <w:p>
      <w:pPr>
        <w:spacing w:after="0" w:line="116" w:lineRule="exact"/>
        <w:rPr>
          <w:sz w:val="20"/>
          <w:szCs w:val="20"/>
          <w:color w:val="auto"/>
        </w:rPr>
      </w:pPr>
    </w:p>
    <w:p>
      <w:pPr>
        <w:jc w:val="both"/>
        <w:ind w:left="660" w:hanging="328"/>
        <w:spacing w:after="0" w:line="29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November 2, 2020, the Company acquired from CEG (i) the Class B membership interests in DGPV Holdco 1, DGPV Holdco 2 and DGPV Holdco 3, or the DGPV Holdco Entities and (ii) an SREC contract for an aggregate of $44 million in cash consideration. In connection with the acquisition of the Class B membership interests, the Company consolidated their interest in the underlying distributed solar tax equity funds within DGPV Holdco 1 and DGPV Holdco 2. The Company had previously consolidated DGPV Holdco 3 effective in May 2020.</w:t>
      </w:r>
    </w:p>
    <w:p>
      <w:pPr>
        <w:spacing w:after="0" w:line="102" w:lineRule="exact"/>
        <w:rPr>
          <w:rFonts w:ascii="Arial" w:cs="Arial" w:eastAsia="Arial" w:hAnsi="Arial"/>
          <w:sz w:val="17"/>
          <w:szCs w:val="17"/>
          <w:color w:val="auto"/>
        </w:rPr>
      </w:pPr>
    </w:p>
    <w:p>
      <w:pPr>
        <w:jc w:val="both"/>
        <w:ind w:left="660" w:hanging="328"/>
        <w:spacing w:after="0" w:line="30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November 2, 2020, the CEG ROFO Agreement was amended to (i) add the assets comprising the Lighthouse Partnership Agreements from CEG to the ROFO pipeline (ii) memorialize as a ROFO asset the contract related to the monetization of renewable energy credits associated with assets within the DGPV Holdco Entities, which was acquired at the same time; and (iii) extend the third-party negotiation periods for CEG's residual interest in Kawailoa and Oahu assets as well as the assets comprising the cash equity partnership offer from CEG to November 2, 2021.</w:t>
      </w:r>
    </w:p>
    <w:p>
      <w:pPr>
        <w:spacing w:after="0" w:line="103"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1, 2020, the Company, through its indirect subsidiary Mesquite Star HoldCo LLC, acquired the Class A membership interests in Mesquite Star Pledgor LLC from Clearway Renew LLC, a subsidiary of CEG, for $74 million in cash consideration inclusive of a purchase price adjustment received in the fourth quarter of 2020 concurrent with the partnership amendment referenced below.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 As described above, Mesquite Star Pledgor LLC was renamed Lighthouse Renewable Holdco LLC and the Class B membership interests were sold to a third party investor. The investor and the Company amended the terms of the related partnership and as a result, the Company now consolidates its interest in the Mesquite Star wind project, through its consolidation of Lighthouse Renewable Holdco LLC.</w:t>
      </w:r>
    </w:p>
    <w:p>
      <w:pPr>
        <w:spacing w:after="0" w:line="182" w:lineRule="exact"/>
        <w:rPr>
          <w:rFonts w:ascii="Arial" w:cs="Arial" w:eastAsia="Arial" w:hAnsi="Arial"/>
          <w:sz w:val="18"/>
          <w:szCs w:val="18"/>
          <w:color w:val="auto"/>
        </w:rPr>
      </w:pPr>
    </w:p>
    <w:p>
      <w:pPr>
        <w:ind w:left="660" w:right="20" w:hanging="328"/>
        <w:spacing w:after="0" w:line="251" w:lineRule="auto"/>
        <w:tabs>
          <w:tab w:leader="none" w:pos="655" w:val="left"/>
        </w:tabs>
        <w:numPr>
          <w:ilvl w:val="0"/>
          <w:numId w:val="18"/>
        </w:numPr>
        <w:rPr>
          <w:rFonts w:ascii="Arial" w:cs="Arial" w:eastAsia="Arial" w:hAnsi="Arial"/>
          <w:sz w:val="21"/>
          <w:szCs w:val="21"/>
          <w:color w:val="auto"/>
        </w:rPr>
      </w:pPr>
      <w:r>
        <w:rPr>
          <w:rFonts w:ascii="Arial" w:cs="Arial" w:eastAsia="Arial" w:hAnsi="Arial"/>
          <w:sz w:val="17"/>
          <w:szCs w:val="17"/>
          <w:color w:val="auto"/>
        </w:rPr>
        <w:t>On April 17, 2020, the Company entered into binding agreements related to the previously announced drop down offer from CEG to enable the Company to acquire and invest in a portfolio of renewable energy projects. The following projects are included in the drop down:</w:t>
      </w:r>
    </w:p>
    <w:p>
      <w:pPr>
        <w:spacing w:after="0" w:line="137" w:lineRule="exact"/>
        <w:rPr>
          <w:rFonts w:ascii="Arial" w:cs="Arial" w:eastAsia="Arial" w:hAnsi="Arial"/>
          <w:sz w:val="21"/>
          <w:szCs w:val="21"/>
          <w:color w:val="auto"/>
        </w:rPr>
      </w:pPr>
    </w:p>
    <w:p>
      <w:pPr>
        <w:ind w:left="1300" w:hanging="320"/>
        <w:spacing w:after="0" w:line="277" w:lineRule="auto"/>
        <w:tabs>
          <w:tab w:leader="none" w:pos="13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CEG's interest in Repowering Partnership II LLC (Repowering 1.0), which the Company acquired on May 11, 2020 for cash consideration of $70 million,</w:t>
      </w:r>
    </w:p>
    <w:p>
      <w:pPr>
        <w:spacing w:after="0" w:line="8"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100% of the equity interests in Rattlesnake Flat, LLC, which owns the Rattlesnake Wind Project, a 160 net MW wind facility located in Adams County, WA which the company acquired on January 12, 2021 as mentioned above, and</w:t>
      </w:r>
    </w:p>
    <w:p>
      <w:pPr>
        <w:spacing w:after="0" w:line="8" w:lineRule="exact"/>
        <w:rPr>
          <w:rFonts w:ascii="Arial" w:cs="Arial" w:eastAsia="Arial" w:hAnsi="Arial"/>
          <w:sz w:val="18"/>
          <w:szCs w:val="18"/>
          <w:color w:val="auto"/>
        </w:rPr>
      </w:pPr>
    </w:p>
    <w:p>
      <w:pPr>
        <w:jc w:val="both"/>
        <w:ind w:left="1300" w:hanging="320"/>
        <w:spacing w:after="0" w:line="295" w:lineRule="auto"/>
        <w:tabs>
          <w:tab w:leader="none" w:pos="1323" w:val="left"/>
        </w:tabs>
        <w:numPr>
          <w:ilvl w:val="1"/>
          <w:numId w:val="18"/>
        </w:numPr>
        <w:rPr>
          <w:rFonts w:ascii="Arial" w:cs="Arial" w:eastAsia="Arial" w:hAnsi="Arial"/>
          <w:sz w:val="16"/>
          <w:szCs w:val="16"/>
          <w:color w:val="auto"/>
        </w:rPr>
      </w:pPr>
      <w:r>
        <w:rPr>
          <w:rFonts w:ascii="Arial" w:cs="Arial" w:eastAsia="Arial" w:hAnsi="Arial"/>
          <w:sz w:val="16"/>
          <w:szCs w:val="16"/>
          <w:color w:val="auto"/>
        </w:rPr>
        <w:t>On February 26, 2021, the Company, through an indirect subsidiary, entered into an amended partnership agreement with CEG to repower the Pinnacle Wind Project, a 55 net MW wind facility located in Mineral County, WV.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Partnership are expected to occur in the second half of 2021.</w:t>
      </w:r>
    </w:p>
    <w:p>
      <w:pPr>
        <w:spacing w:after="0" w:line="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For the above mentioned transactions, the agreements commit the Company to invest an estimated $256 million in net corporate capital, subject to closing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Assets or Investments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May 14, 2020, the Company sold its interests in RPV Holdco 1 LLC, or RPV Holdco, to a third party for net proceeds of approximately $75 million. The Company previously accounted for its interest in RPV Holdco as an equity method investment. The sale of the investment resulted in a gain of approximately $49 million.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3, 2020, the Company through Thermal LLC, sold 100% of its interests in Energy Center Dover and Energy Center Smyrna to DB Energy Assets, LLC for approximately $15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Corporate-Level Financing</w:t>
      </w:r>
    </w:p>
    <w:p>
      <w:pPr>
        <w:spacing w:after="0" w:line="171" w:lineRule="exact"/>
        <w:rPr>
          <w:sz w:val="20"/>
          <w:szCs w:val="20"/>
          <w:color w:val="auto"/>
        </w:rPr>
      </w:pPr>
    </w:p>
    <w:p>
      <w:pPr>
        <w:jc w:val="both"/>
        <w:ind w:left="660" w:hanging="328"/>
        <w:spacing w:after="0" w:line="272"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May 21, 2020, Clearway Energy Operating LLC completed the sale of an additional $250 million aggregate principal amount of the 2028 Senior Notes. The 2028 Senior Notes bear interest at 4.75% and mature on March 15, 2028. Interest on the 2028 Senior Notes is payable semi-annually on March 15 and September 15 of each year, and interest payments commenced on September 15, 2020. The 2028 Senior Notes are unsecured obligations of Clearway Energy Operating LLC and are guaranteed by Clearway Energy LLC and by certain of Clearway Energy Operating LLC's wholly owned current and future subsidiaries. The proceeds from the additional 2028 Senior Notes were used to repay the $45 million outstanding principal amount of the Company's 2020 Convertible Notes on June 1, 2020, as well as to fund the repayment of outstanding borrowings under the Company's revolving credit facility and for general corporate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jc w:val="both"/>
        <w:ind w:left="660" w:hanging="328"/>
        <w:spacing w:after="0" w:line="253"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notes bear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Item 15 —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Concurrent with the refinancing, the projects were transferred under DG-CS Master Borrower LLC and the obligations under the financing arrangement are supported by the Company's interest in the projects. Prior to the acquisition of CEG's Class B membership interests mentioned above, the Company invested approximately $10 million in the DG investment partnerships with CEG during 2020, bringing total capital invested in these investment partnerships to $266 million.</w:t>
      </w:r>
    </w:p>
    <w:p>
      <w:pPr>
        <w:spacing w:after="0" w:line="137" w:lineRule="exact"/>
        <w:rPr>
          <w:rFonts w:ascii="Arial" w:cs="Arial" w:eastAsia="Arial" w:hAnsi="Arial"/>
          <w:sz w:val="18"/>
          <w:szCs w:val="18"/>
          <w:i w:val="1"/>
          <w:iCs w:val="1"/>
          <w:color w:val="auto"/>
        </w:rPr>
      </w:pPr>
    </w:p>
    <w:p>
      <w:pPr>
        <w:jc w:val="both"/>
        <w:ind w:left="660" w:hanging="328"/>
        <w:spacing w:after="0" w:line="271" w:lineRule="auto"/>
        <w:tabs>
          <w:tab w:leader="none" w:pos="6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September 30, 2020, the Alpine, Blythe and Roadrunner projects were transferred under NIMH Solar LLC, a wholly owned subsidiary of Clearway Energy Operating LLC. Concurrently, total project-level debt outstanding for Alpine, Blythe and Roadrunner of $158 million was assigned to NIMH Solar LLC. The consolidated facility was amended to a term loan for $193 million, as well as $16 million in letters of credit in support of debt service and project obligations. The term loan bears interest at an annual interest rate of LIBOR, plus an applicable margin of 2.00% per annum through the third anniversary of closing, and 2.125% per annum thereafter through the maturity date in September 2024. As a result of the amendment the Company received $35 million and the funds were utilized to pay related fees and expenses and along with existing project level cash provided a distribution to Clearway Energy Operating LLC of $45 million. The obligations under the financing arrangement are supported by the Company’s interests in the projects.</w:t>
      </w:r>
    </w:p>
    <w:p>
      <w:pPr>
        <w:spacing w:after="0" w:line="205"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September 1, 2020, Utah Solar Holdings, LLC, or Utah Solar, entered into a financing arrangement, which included the issuance of approximately $296 million in senior secured notes supported by the Company’s interest in the Four Brothers, Granite Mountain and Iron Springs projects, or the Utah projects (previously defined as the Utah Solar Portfolio).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Start Services at Marsh Landing</w:t>
      </w:r>
    </w:p>
    <w:p>
      <w:pPr>
        <w:spacing w:after="0" w:line="171" w:lineRule="exact"/>
        <w:rPr>
          <w:sz w:val="20"/>
          <w:szCs w:val="20"/>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July 2020, all necessary regulatory approvals were obtained with respect to the Company's Marsh Landing project to provide black start capability in the greater San Francisco Bay area, which would restart Marsh Landing in the event of a blackout, under a five-year contract with the California Independent System Operator to support their emergency restoration of the electrical grid. The project has commenced construction activities and is expected to achieve commercial operations in the second quarter of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w:t>
      </w:r>
    </w:p>
    <w:p>
      <w:pPr>
        <w:spacing w:after="0" w:line="171" w:lineRule="exact"/>
        <w:rPr>
          <w:sz w:val="20"/>
          <w:szCs w:val="20"/>
          <w:color w:val="auto"/>
        </w:rPr>
      </w:pPr>
    </w:p>
    <w:p>
      <w:pPr>
        <w:jc w:val="both"/>
        <w:ind w:left="660" w:hanging="328"/>
        <w:spacing w:after="0" w:line="25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1, 2020, PG&amp;E emerged from bankruptcy and assumed the Company's contracts without modification. In addition, PG&amp;E paid to the Company's applicable projects the portion of the invoices corresponding to the electricity delivered for the period between January 1 and January 28, 2019. These invoices related to the pre-petition period services and any payment therefore required the approval by the Bankruptcy Court. Subsequent to PG&amp;E's emergence from bankruptcy the Company entered into waiver agreements with the lenders to the respective financing agreements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ind w:left="660"/>
        <w:spacing w:after="0" w:line="277" w:lineRule="auto"/>
        <w:rPr>
          <w:sz w:val="20"/>
          <w:szCs w:val="20"/>
          <w:color w:val="auto"/>
        </w:rPr>
      </w:pPr>
      <w:r>
        <w:rPr>
          <w:rFonts w:ascii="Arial" w:cs="Arial" w:eastAsia="Arial" w:hAnsi="Arial"/>
          <w:sz w:val="18"/>
          <w:szCs w:val="18"/>
          <w:color w:val="auto"/>
        </w:rPr>
        <w:t>related to the PG&amp;E Bankruptcy and all previously restricted distributions were paid out of distribution reserve accounts at the Company's subsidiaries affected by the PG&amp;E Bankruptcy.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 xml:space="preserve">Details of environmental matters and regulatory matters are presented in Item 1 — </w:t>
      </w:r>
      <w:r>
        <w:rPr>
          <w:rFonts w:ascii="Arial" w:cs="Arial" w:eastAsia="Arial" w:hAnsi="Arial"/>
          <w:sz w:val="18"/>
          <w:szCs w:val="18"/>
          <w:i w:val="1"/>
          <w:iCs w:val="1"/>
          <w:color w:val="auto"/>
        </w:rPr>
        <w:t>Business, Regulatory Matters</w:t>
      </w:r>
      <w:r>
        <w:rPr>
          <w:rFonts w:ascii="Arial" w:cs="Arial" w:eastAsia="Arial" w:hAnsi="Arial"/>
          <w:sz w:val="18"/>
          <w:szCs w:val="18"/>
          <w:color w:val="auto"/>
        </w:rPr>
        <w:t xml:space="preserve"> and Item 1A — </w:t>
      </w:r>
      <w:r>
        <w:rPr>
          <w:rFonts w:ascii="Arial" w:cs="Arial" w:eastAsia="Arial" w:hAnsi="Arial"/>
          <w:sz w:val="18"/>
          <w:szCs w:val="18"/>
          <w:i w:val="1"/>
          <w:iCs w:val="1"/>
          <w:color w:val="auto"/>
        </w:rPr>
        <w:t>Risk Factors</w:t>
      </w:r>
      <w:r>
        <w:rPr>
          <w:rFonts w:ascii="Arial" w:cs="Arial" w:eastAsia="Arial" w:hAnsi="Arial"/>
          <w:sz w:val="18"/>
          <w:szCs w:val="18"/>
          <w:color w:val="auto"/>
        </w:rPr>
        <w:t>. Details of some of this information relate to costs that may impact the Company's financial results.</w:t>
      </w:r>
    </w:p>
    <w:p>
      <w:pPr>
        <w:spacing w:after="0" w:line="112" w:lineRule="exact"/>
        <w:rPr>
          <w:sz w:val="20"/>
          <w:szCs w:val="20"/>
          <w:color w:val="auto"/>
        </w:rPr>
      </w:pPr>
    </w:p>
    <w:p>
      <w:pPr>
        <w:ind w:right="4720"/>
        <w:spacing w:after="0" w:line="440" w:lineRule="auto"/>
        <w:rPr>
          <w:sz w:val="20"/>
          <w:szCs w:val="20"/>
          <w:color w:val="auto"/>
        </w:rPr>
      </w:pPr>
      <w:r>
        <w:rPr>
          <w:rFonts w:ascii="Arial" w:cs="Arial" w:eastAsia="Arial" w:hAnsi="Arial"/>
          <w:sz w:val="18"/>
          <w:szCs w:val="18"/>
          <w:b w:val="1"/>
          <w:bCs w:val="1"/>
          <w:color w:val="auto"/>
        </w:rPr>
        <w:t xml:space="preserve">Trends or Matters Affecting Results of Operations and Future Business Performance </w:t>
      </w:r>
      <w:r>
        <w:rPr>
          <w:rFonts w:ascii="Arial" w:cs="Arial" w:eastAsia="Arial" w:hAnsi="Arial"/>
          <w:sz w:val="18"/>
          <w:szCs w:val="18"/>
          <w:i w:val="1"/>
          <w:iCs w:val="1"/>
          <w:color w:val="auto"/>
        </w:rPr>
        <w:t>Wind and Solar Resource Availability</w:t>
      </w:r>
    </w:p>
    <w:p>
      <w:pPr>
        <w:spacing w:after="0" w:line="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46" w:lineRule="exact"/>
        <w:rPr>
          <w:sz w:val="20"/>
          <w:szCs w:val="20"/>
          <w:color w:val="auto"/>
        </w:rPr>
      </w:pPr>
    </w:p>
    <w:p>
      <w:pPr>
        <w:ind w:right="4980"/>
        <w:spacing w:after="0" w:line="376" w:lineRule="auto"/>
        <w:rPr>
          <w:sz w:val="20"/>
          <w:szCs w:val="20"/>
          <w:color w:val="auto"/>
        </w:rPr>
      </w:pPr>
      <w:r>
        <w:rPr>
          <w:rFonts w:ascii="Arial" w:cs="Arial" w:eastAsia="Arial" w:hAnsi="Arial"/>
          <w:sz w:val="18"/>
          <w:szCs w:val="18"/>
          <w:b w:val="1"/>
          <w:bCs w:val="1"/>
          <w:color w:val="auto"/>
        </w:rPr>
        <w:t xml:space="preserve">Recent Developments Affecting Industry Conditions and the Company’s Business </w:t>
      </w:r>
      <w:r>
        <w:rPr>
          <w:rFonts w:ascii="Arial" w:cs="Arial" w:eastAsia="Arial" w:hAnsi="Arial"/>
          <w:sz w:val="18"/>
          <w:szCs w:val="18"/>
          <w:i w:val="1"/>
          <w:iCs w:val="1"/>
          <w:color w:val="auto"/>
        </w:rPr>
        <w:t>COVID-19</w:t>
      </w:r>
    </w:p>
    <w:p>
      <w:pPr>
        <w:spacing w:after="0" w:line="3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the date of this report, the Company has not experienced any material financial or operational impacts related to COVID-19. All of the Company’s facilities have remained operational. The Company has experienced a decrease in volumetric sales at certain Thermal locations in part due to COVID-19 related impacts which has not resulted in any material financial impacts to the Company. The Company believes that all of its accounts receivable balances as of December 31, 2020 are collectible. The Company will continue to assess collectability based on any future developments.</w:t>
      </w:r>
    </w:p>
    <w:p>
      <w:pPr>
        <w:spacing w:after="0" w:line="10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7"/>
          <w:szCs w:val="17"/>
          <w:i w:val="1"/>
          <w:iCs w:val="1"/>
          <w:color w:val="auto"/>
        </w:rPr>
        <w:t>Risk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58"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7"/>
          <w:szCs w:val="17"/>
          <w:color w:val="auto"/>
        </w:rPr>
        <w:t>During February 2021, Texas experienced extreme winter weather conditions. Certain of the Company's wind projects were unable to operate and experienced outages due to the weather conditions. These projects are now operating within expectations. The Company continues to assess the full financial exposure related to the circumstances, including potential mitigants, ongoing discussions with contractual counterparties, any potential disputes which may result and any state sponsored solutions to address the financial impacts caused by the circumstances. Based on available information, the Company currently estimates a direct cash impact between $20 million and $30 million in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7"/>
              </w:rPr>
              <w:t>Year ended December 31,</w:t>
            </w: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7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680" w:type="dxa"/>
            <w:vAlign w:val="bottom"/>
          </w:tcPr>
          <w:p>
            <w:pPr>
              <w:jc w:val="right"/>
              <w:ind w:right="31"/>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71"/>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11"/>
              <w:spacing w:after="0" w:line="14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Arial" w:cs="Arial" w:eastAsia="Arial" w:hAnsi="Arial"/>
                <w:sz w:val="18"/>
                <w:szCs w:val="18"/>
                <w:color w:val="auto"/>
              </w:rPr>
              <w:t>Energy and capacity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1,084</w:t>
            </w:r>
          </w:p>
        </w:tc>
        <w:tc>
          <w:tcPr>
            <w:tcW w:w="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revenues</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60" w:type="dxa"/>
            <w:vAlign w:val="bottom"/>
            <w:tcBorders>
              <w:top w:val="single" w:sz="8" w:color="auto"/>
              <w:bottom w:val="single" w:sz="8" w:color="auto"/>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Arial" w:cs="Arial" w:eastAsia="Arial" w:hAnsi="Arial"/>
                <w:sz w:val="18"/>
                <w:szCs w:val="18"/>
                <w:color w:val="auto"/>
              </w:rPr>
              <w:t>Cost of fuels</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Operations and maintenance</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Arial" w:cs="Arial" w:eastAsia="Arial" w:hAnsi="Arial"/>
                <w:sz w:val="18"/>
                <w:szCs w:val="18"/>
                <w:color w:val="auto"/>
              </w:rPr>
              <w:t>Other costs of operations</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6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tcBorders>
              <w:bottom w:val="single" w:sz="8" w:color="auto"/>
            </w:tcBorders>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Arial" w:cs="Arial" w:eastAsia="Arial" w:hAnsi="Arial"/>
                <w:sz w:val="18"/>
                <w:szCs w:val="18"/>
                <w:color w:val="auto"/>
              </w:rPr>
              <w:t>Impairment loss on investment</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23"/>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30"/>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Net Income (Loss) Attributable to Clearway Energy LLC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6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ind w:left="6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Business metrics:</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Renewables MWh generated/sold (in thousands) (a)</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7"/>
              </w:rPr>
              <w:t>7,460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7,197</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Thermal MWt sold (in thousands)</w:t>
            </w:r>
          </w:p>
        </w:tc>
        <w:tc>
          <w:tcPr>
            <w:tcW w:w="16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w w:val="97"/>
              </w:rPr>
              <w:t>1,927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2,042</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Thermal MWh sold (in thousands)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Conventional MWh generated (in thousands) (a)(b)</w:t>
            </w:r>
          </w:p>
        </w:tc>
        <w:tc>
          <w:tcPr>
            <w:tcW w:w="16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w w:val="97"/>
              </w:rPr>
              <w:t>1,475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1,656</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Conventional equivalent availability factor</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94.3 %</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Volumes do not include the MWh generated/sold by the Company's equity method investments.</w:t>
      </w:r>
    </w:p>
    <w:p>
      <w:pPr>
        <w:ind w:left="140" w:hanging="132"/>
        <w:spacing w:after="0" w:line="222" w:lineRule="auto"/>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Volumes generated are not sold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5" w:name="page46"/>
    <w:bookmarkEnd w:id="45"/>
    <w:p>
      <w:pPr>
        <w:ind w:right="344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years ended December 31,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251"/>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years ended December 31, 2020 and 2019:</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4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Conventional</w:t>
            </w: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15"/>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Energy and capacity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29"/>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Cost of fuels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5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r>
      <w:tr>
        <w:trPr>
          <w:trHeight w:val="223"/>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5480" w:type="dxa"/>
            <w:vAlign w:val="bottom"/>
          </w:tcPr>
          <w:p>
            <w:pPr>
              <w:ind w:left="200"/>
              <w:spacing w:after="0"/>
              <w:rPr>
                <w:sz w:val="20"/>
                <w:szCs w:val="20"/>
                <w:color w:val="auto"/>
              </w:rPr>
            </w:pPr>
            <w:r>
              <w:rPr>
                <w:rFonts w:ascii="Arial" w:cs="Arial" w:eastAsia="Arial" w:hAnsi="Arial"/>
                <w:sz w:val="18"/>
                <w:szCs w:val="18"/>
                <w:b w:val="1"/>
                <w:bCs w:val="1"/>
                <w:color w:val="auto"/>
              </w:rPr>
              <w:t>Economic gross margin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223"/>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5480" w:type="dxa"/>
            <w:vAlign w:val="bottom"/>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5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Economic gross margin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ind w:left="180"/>
        <w:spacing w:after="0"/>
        <w:rPr>
          <w:sz w:val="20"/>
          <w:szCs w:val="20"/>
          <w:color w:val="auto"/>
        </w:rPr>
      </w:pPr>
      <w:r>
        <w:rPr>
          <w:rFonts w:ascii="Arial" w:cs="Arial" w:eastAsia="Arial" w:hAnsi="Arial"/>
          <w:sz w:val="18"/>
          <w:szCs w:val="18"/>
          <w:color w:val="auto"/>
        </w:rPr>
        <w:t>Gross margin increased by $168 million during the year ended December 31, 2020, compared to the same period in 2019, primarily due to:</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Segment</w:t>
            </w:r>
          </w:p>
        </w:tc>
        <w:tc>
          <w:tcPr>
            <w:tcW w:w="7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Conventional</w:t>
            </w: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is due primarily to the acquisition of Carlsbad Energy in December 2019</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6"/>
        </w:trPr>
        <w:tc>
          <w:tcPr>
            <w:tcW w:w="14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Renewables</w:t>
            </w:r>
          </w:p>
        </w:tc>
        <w:tc>
          <w:tcPr>
            <w:tcW w:w="7720" w:type="dxa"/>
            <w:vAlign w:val="bottom"/>
          </w:tcPr>
          <w:p>
            <w:pPr>
              <w:ind w:left="420"/>
              <w:spacing w:after="0" w:line="176" w:lineRule="exact"/>
              <w:rPr>
                <w:sz w:val="20"/>
                <w:szCs w:val="20"/>
                <w:color w:val="auto"/>
              </w:rPr>
            </w:pPr>
            <w:r>
              <w:rPr>
                <w:rFonts w:ascii="Arial" w:cs="Arial" w:eastAsia="Arial" w:hAnsi="Arial"/>
                <w:sz w:val="18"/>
                <w:szCs w:val="18"/>
                <w:color w:val="auto"/>
                <w:w w:val="99"/>
              </w:rPr>
              <w:t>Increases of $32 million from the consolidation of the DGPV Holdco Entities, increase of $22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7720" w:type="dxa"/>
            <w:vAlign w:val="bottom"/>
          </w:tcPr>
          <w:p>
            <w:pPr>
              <w:ind w:left="420"/>
              <w:spacing w:after="0" w:line="176" w:lineRule="exact"/>
              <w:rPr>
                <w:sz w:val="20"/>
                <w:szCs w:val="20"/>
                <w:color w:val="auto"/>
              </w:rPr>
            </w:pPr>
            <w:r>
              <w:rPr>
                <w:rFonts w:ascii="Arial" w:cs="Arial" w:eastAsia="Arial" w:hAnsi="Arial"/>
                <w:sz w:val="18"/>
                <w:szCs w:val="18"/>
                <w:color w:val="auto"/>
                <w:w w:val="98"/>
              </w:rPr>
              <w:t>million in wind projects primarily related to a $17 million increase due to the completion of the</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7720" w:type="dxa"/>
            <w:vAlign w:val="bottom"/>
          </w:tcPr>
          <w:p>
            <w:pPr>
              <w:ind w:left="420"/>
              <w:spacing w:after="0" w:line="176" w:lineRule="exact"/>
              <w:rPr>
                <w:sz w:val="20"/>
                <w:szCs w:val="20"/>
                <w:color w:val="auto"/>
              </w:rPr>
            </w:pPr>
            <w:r>
              <w:rPr>
                <w:rFonts w:ascii="Arial" w:cs="Arial" w:eastAsia="Arial" w:hAnsi="Arial"/>
                <w:sz w:val="18"/>
                <w:szCs w:val="18"/>
                <w:color w:val="auto"/>
              </w:rPr>
              <w:t>repowering of Elbow Creek and Wildorado, an increase of $21 million due to the Oahu and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7720" w:type="dxa"/>
            <w:vAlign w:val="bottom"/>
          </w:tcPr>
          <w:p>
            <w:pPr>
              <w:ind w:left="420"/>
              <w:spacing w:after="0" w:line="176" w:lineRule="exact"/>
              <w:rPr>
                <w:sz w:val="20"/>
                <w:szCs w:val="20"/>
                <w:color w:val="auto"/>
              </w:rPr>
            </w:pPr>
            <w:r>
              <w:rPr>
                <w:rFonts w:ascii="Arial" w:cs="Arial" w:eastAsia="Arial" w:hAnsi="Arial"/>
                <w:sz w:val="18"/>
                <w:szCs w:val="18"/>
                <w:color w:val="auto"/>
                <w:w w:val="98"/>
              </w:rPr>
              <w:t>Kawailoa facilities achieving COD in late 2019 and a $9 million increase due to the prior year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outage at CVSR.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Thermal</w:t>
            </w:r>
          </w:p>
        </w:tc>
        <w:tc>
          <w:tcPr>
            <w:tcW w:w="77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3"/>
              </w:rPr>
              <w:t>Decreases of $5 million related to the sale of Dover on March 2, 2020 and $3 million primarily due</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15"/>
                <w:szCs w:val="15"/>
                <w:color w:val="auto"/>
              </w:rPr>
            </w:pPr>
          </w:p>
        </w:tc>
        <w:tc>
          <w:tcPr>
            <w:tcW w:w="77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1"/>
              </w:rPr>
              <w:t>to decrease in volumetric sales at certain locations related to COVID-19, offset by an increase of $3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19"/>
                <w:szCs w:val="19"/>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million related to the acquisition of the Duquesne University Energy System on May 1, 2019</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195"/>
        <w:spacing w:after="0" w:line="286" w:lineRule="auto"/>
        <w:rPr>
          <w:sz w:val="20"/>
          <w:szCs w:val="20"/>
          <w:color w:val="auto"/>
        </w:rPr>
      </w:pPr>
      <w:r>
        <w:rPr>
          <w:rFonts w:ascii="Arial" w:cs="Arial" w:eastAsia="Arial" w:hAnsi="Arial"/>
          <w:sz w:val="17"/>
          <w:szCs w:val="17"/>
          <w:color w:val="auto"/>
        </w:rPr>
        <w:t>Operations and maintenance expense increased by $28 million during the year ended December 31, 2020 compared to the same period in 2019, due to a $17 million increase in the Conventional segment primarily related to the acquisition of the Carlsbad Energy Center in December 2019 and an $11 million increase in maintenance primarily related to the consolidation of the DGPV Holdco entities within the Renewables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171" w:lineRule="exact"/>
        <w:rPr>
          <w:sz w:val="20"/>
          <w:szCs w:val="20"/>
          <w:color w:val="auto"/>
        </w:rPr>
      </w:pPr>
    </w:p>
    <w:p>
      <w:pPr>
        <w:jc w:val="both"/>
        <w:ind w:firstLine="266"/>
        <w:spacing w:after="0" w:line="254" w:lineRule="auto"/>
        <w:rPr>
          <w:sz w:val="20"/>
          <w:szCs w:val="20"/>
          <w:color w:val="auto"/>
        </w:rPr>
      </w:pPr>
      <w:r>
        <w:rPr>
          <w:rFonts w:ascii="Arial" w:cs="Arial" w:eastAsia="Arial" w:hAnsi="Arial"/>
          <w:sz w:val="18"/>
          <w:szCs w:val="18"/>
          <w:color w:val="auto"/>
        </w:rPr>
        <w:t>Depreciation, amortization and accretion expense increased by $27 million during the year ended December 31, 2020, compared to 2019, due to a $30 million increase in the Conventional segment related to the acquisition of Carlsbad Energy in December 2019 and a $3 million increase in the Thermal segment due primarily to accelerated depreciation related to Duquesne, partially offset by a $6 million decrease in the Renewables segment. In 2019, the Company accelerated depreciation at the Wildorado and Elbow Creek projects, in connection with the repowering activities, which resulted in additional depreciation expense for the two projects of $39 million in the prior period. The current period includes incremental depreciation of $33 million consisting of accelerated depreciation of approximately $11 million for the repowering of Pinnacle, additional depreciation of $11 million related to the Oahu and Kawailoa projects which reached COD in late 2019 and $11 million of additional depreciation due to the consolidation of the Chestnut and CS4 Funds in May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222"/>
        <w:spacing w:after="0" w:line="277" w:lineRule="auto"/>
        <w:rPr>
          <w:sz w:val="20"/>
          <w:szCs w:val="20"/>
          <w:color w:val="auto"/>
        </w:rPr>
      </w:pPr>
      <w:r>
        <w:rPr>
          <w:rFonts w:ascii="Arial" w:cs="Arial" w:eastAsia="Arial" w:hAnsi="Arial"/>
          <w:sz w:val="18"/>
          <w:szCs w:val="18"/>
          <w:color w:val="auto"/>
        </w:rPr>
        <w:t>The Company recorded impairment losses of $24 million for the year ended December 31, 2020, primarily related to several wind projects within the Renewables segment, as further described in Item 15 — Note 9, Asset Impairments.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General and administrative expenses increased by $6 million for the year ended December 31, 2020 compared to the same period in 2019, primarily due to an increase in MSA fees charged by CEG and an increase in personnel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Integration Costs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Transaction and integration expenses increased $6 million for the year ended December 31, 2020 compared to the same period in 2019 primarily due to the increased number of Drop Down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Equity in earnings of unconsolidated affiliates decreased by $76 million during the year ended December 31, 2020 compared to the same period in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change was driven by decreases in HLBV earnings for the DGPV Holdco Entities, as well as HLBV losses for Mesquite Star which was acquired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 partially offset by increases in HLBV earnings for the Desert Sunlight, RPV and Utah investments.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Impairment Loss on Investment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Company recorded an $8 million impairment loss during the year ended December 31, 2020, related to San Juan Mesa, an equity method investment within the Renewables segment as further described in Item 15 — Note 9,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On May 14, 2020, the Company sold its interests in RPV Holdco 1 LLC to a third party which resulted in a gain on sale of investment of approximately $49 million, as further described in Item 15 — Note 3, </w:t>
      </w:r>
      <w:r>
        <w:rPr>
          <w:rFonts w:ascii="Arial" w:cs="Arial" w:eastAsia="Arial" w:hAnsi="Arial"/>
          <w:sz w:val="18"/>
          <w:szCs w:val="18"/>
          <w:i w:val="1"/>
          <w:iCs w:val="1"/>
          <w:color w:val="auto"/>
        </w:rPr>
        <w:t>Acquisition and Dispositions.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recorded loss on debt extinguishment of $24 million during the year ended December 31, 2020, primarily related to the repayment of debt and related refinancing activities in the Renewables segment as further described in Item 15 — Note 10, </w:t>
      </w:r>
      <w:r>
        <w:rPr>
          <w:rFonts w:ascii="Arial" w:cs="Arial" w:eastAsia="Arial" w:hAnsi="Arial"/>
          <w:sz w:val="18"/>
          <w:szCs w:val="18"/>
          <w:i w:val="1"/>
          <w:iCs w:val="1"/>
          <w:color w:val="auto"/>
        </w:rPr>
        <w:t>Long-term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Interest expense increased by $11 million during the year ended December 31, 2020 compared to the same period in 2019 primarily due to:</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99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interest expense for Carlsbad Energy Center which was acquired on December 5, 2019</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9920" w:type="dxa"/>
            <w:vAlign w:val="bottom"/>
          </w:tcPr>
          <w:p>
            <w:pPr>
              <w:ind w:left="20"/>
              <w:spacing w:after="0" w:line="176" w:lineRule="exact"/>
              <w:rPr>
                <w:sz w:val="20"/>
                <w:szCs w:val="20"/>
                <w:color w:val="auto"/>
              </w:rPr>
            </w:pPr>
            <w:r>
              <w:rPr>
                <w:rFonts w:ascii="Arial" w:cs="Arial" w:eastAsia="Arial" w:hAnsi="Arial"/>
                <w:sz w:val="18"/>
                <w:szCs w:val="18"/>
                <w:color w:val="auto"/>
                <w:w w:val="92"/>
              </w:rPr>
              <w:t>Increase in Corporate interest expense due primarily to additional revolver borrowings and the issuance of the additional Senior Notes</w:t>
            </w:r>
          </w:p>
        </w:tc>
        <w:tc>
          <w:tcPr>
            <w:tcW w:w="4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due 2028</w:t>
            </w:r>
          </w:p>
        </w:tc>
        <w:tc>
          <w:tcPr>
            <w:tcW w:w="4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9920" w:type="dxa"/>
            <w:vAlign w:val="bottom"/>
          </w:tcPr>
          <w:p>
            <w:pPr>
              <w:ind w:left="20"/>
              <w:spacing w:after="0"/>
              <w:rPr>
                <w:sz w:val="20"/>
                <w:szCs w:val="20"/>
                <w:color w:val="auto"/>
              </w:rPr>
            </w:pPr>
            <w:r>
              <w:rPr>
                <w:rFonts w:ascii="Arial" w:cs="Arial" w:eastAsia="Arial" w:hAnsi="Arial"/>
                <w:sz w:val="18"/>
                <w:szCs w:val="18"/>
                <w:color w:val="auto"/>
                <w:w w:val="97"/>
              </w:rPr>
              <w:t>Reclassification of earnings previously deferred in Accumulated Other Comprehensive Income to the statement of operations in</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920" w:type="dxa"/>
            <w:vAlign w:val="bottom"/>
          </w:tcPr>
          <w:p>
            <w:pPr>
              <w:ind w:left="20"/>
              <w:spacing w:after="0"/>
              <w:rPr>
                <w:sz w:val="20"/>
                <w:szCs w:val="20"/>
                <w:color w:val="auto"/>
              </w:rPr>
            </w:pPr>
            <w:r>
              <w:rPr>
                <w:rFonts w:ascii="Arial" w:cs="Arial" w:eastAsia="Arial" w:hAnsi="Arial"/>
                <w:sz w:val="18"/>
                <w:szCs w:val="18"/>
                <w:color w:val="auto"/>
              </w:rPr>
              <w:t>connection with project-level debt refinancing activities</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5"/>
        </w:trPr>
        <w:tc>
          <w:tcPr>
            <w:tcW w:w="9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Decrease in interest expense due to lower principal balances of project level debt primarily related to refinancing, offset slightly by an</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increase in interest expense related to Oahu and Kawailoa which were capitalized in 2019 and the consolidation of the DGPV Holdco</w:t>
            </w:r>
          </w:p>
        </w:tc>
        <w:tc>
          <w:tcPr>
            <w:tcW w:w="4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in 2020</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9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71" w:lineRule="exact"/>
        <w:rPr>
          <w:sz w:val="20"/>
          <w:szCs w:val="20"/>
          <w:color w:val="auto"/>
        </w:rPr>
      </w:pPr>
    </w:p>
    <w:p>
      <w:pPr>
        <w:jc w:val="both"/>
        <w:ind w:firstLine="210"/>
        <w:spacing w:after="0" w:line="263" w:lineRule="auto"/>
        <w:rPr>
          <w:sz w:val="20"/>
          <w:szCs w:val="20"/>
          <w:color w:val="auto"/>
        </w:rPr>
      </w:pPr>
      <w:r>
        <w:rPr>
          <w:rFonts w:ascii="Arial" w:cs="Arial" w:eastAsia="Arial" w:hAnsi="Arial"/>
          <w:sz w:val="18"/>
          <w:szCs w:val="18"/>
          <w:color w:val="auto"/>
        </w:rPr>
        <w:t>For the year ended December 31, 2020, the Company had a net loss of $87 million attributable to noncontrolling interests with respect to its tax equity financing arrangements and the application of the HLBV method, as well as a net loss of $26 million attributable to CEG's economic interest in Repowering, Oahu and Kawailoa partnerships.</w:t>
      </w:r>
    </w:p>
    <w:p>
      <w:pPr>
        <w:spacing w:after="0" w:line="130" w:lineRule="exact"/>
        <w:rPr>
          <w:sz w:val="20"/>
          <w:szCs w:val="20"/>
          <w:color w:val="auto"/>
        </w:rPr>
      </w:pPr>
    </w:p>
    <w:p>
      <w:pPr>
        <w:jc w:val="both"/>
        <w:ind w:firstLine="210"/>
        <w:spacing w:after="0" w:line="259" w:lineRule="auto"/>
        <w:rPr>
          <w:sz w:val="20"/>
          <w:szCs w:val="20"/>
          <w:color w:val="auto"/>
        </w:rPr>
      </w:pPr>
      <w:r>
        <w:rPr>
          <w:rFonts w:ascii="Arial" w:cs="Arial" w:eastAsia="Arial" w:hAnsi="Arial"/>
          <w:sz w:val="18"/>
          <w:szCs w:val="18"/>
          <w:color w:val="auto"/>
        </w:rPr>
        <w:t>For the year ended December 31, 2019, the Company had a net loss of $57 million attributable to noncontrolling interests with respect to its tax equity financing arrangements and the application of the HLBV method, as well as a net loss of $21 million attributable to CEG's economic interest in Repowering, Oahu and Kawailoa partnerships. The losses were partially offset by $7 million of income attributable to a third party's interest in the Kawailoa partnership.</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213"/>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w:t>
      </w:r>
      <w:r>
        <w:rPr>
          <w:rFonts w:ascii="Arial" w:cs="Arial" w:eastAsia="Arial" w:hAnsi="Arial"/>
          <w:sz w:val="17"/>
          <w:szCs w:val="17"/>
          <w:color w:val="231F20"/>
        </w:rPr>
        <w:t xml:space="preserve"> </w:t>
      </w:r>
      <w:r>
        <w:rPr>
          <w:rFonts w:ascii="Arial" w:cs="Arial" w:eastAsia="Arial" w:hAnsi="Arial"/>
          <w:sz w:val="17"/>
          <w:szCs w:val="17"/>
          <w:color w:val="000000"/>
        </w:rPr>
        <w:t>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269"/>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2020</w:t>
      </w:r>
      <w:r>
        <w:rPr>
          <w:rFonts w:ascii="Arial" w:cs="Arial" w:eastAsia="Arial" w:hAnsi="Arial"/>
          <w:sz w:val="18"/>
          <w:szCs w:val="18"/>
          <w:color w:val="231F20"/>
        </w:rPr>
        <w:t xml:space="preserve"> and 2019, the Company's liquidity was approximately $894 million and $839 million, respectively, comprised of cash, restricted cash and availability under the Company's revolving credit facility.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16"/>
                <w:szCs w:val="16"/>
                <w:color w:val="auto"/>
              </w:rPr>
            </w:pPr>
          </w:p>
        </w:tc>
      </w:tr>
      <w:tr>
        <w:trPr>
          <w:trHeight w:val="187"/>
        </w:trPr>
        <w:tc>
          <w:tcPr>
            <w:tcW w:w="8480" w:type="dxa"/>
            <w:vAlign w:val="bottom"/>
          </w:tcPr>
          <w:p>
            <w:pPr>
              <w:spacing w:after="0"/>
              <w:rPr>
                <w:sz w:val="16"/>
                <w:szCs w:val="16"/>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r>
      <w:tr>
        <w:trPr>
          <w:trHeight w:val="183"/>
        </w:trPr>
        <w:tc>
          <w:tcPr>
            <w:tcW w:w="84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5"/>
                <w:szCs w:val="15"/>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Clearway Energy LLC, excluding subsidiaries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Subsidiaries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accounts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Revolving credit facility availability</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195"/>
        <w:spacing w:after="0" w:line="275" w:lineRule="auto"/>
        <w:rPr>
          <w:sz w:val="20"/>
          <w:szCs w:val="20"/>
          <w:color w:val="auto"/>
        </w:rPr>
      </w:pPr>
      <w:r>
        <w:rPr>
          <w:rFonts w:ascii="Arial" w:cs="Arial" w:eastAsia="Arial" w:hAnsi="Arial"/>
          <w:sz w:val="17"/>
          <w:szCs w:val="17"/>
          <w:color w:val="231F20"/>
        </w:rPr>
        <w:t xml:space="preserve">The Company's liquidity includes $197 million and $262 million of restricted cash balances as of December 31, 2020 and </w:t>
      </w:r>
      <w:r>
        <w:rPr>
          <w:rFonts w:ascii="Arial" w:cs="Arial" w:eastAsia="Arial" w:hAnsi="Arial"/>
          <w:sz w:val="17"/>
          <w:szCs w:val="17"/>
          <w:color w:val="000000"/>
        </w:rPr>
        <w:t>2019</w:t>
      </w:r>
      <w:r>
        <w:rPr>
          <w:rFonts w:ascii="Arial" w:cs="Arial" w:eastAsia="Arial" w:hAnsi="Arial"/>
          <w:sz w:val="17"/>
          <w:szCs w:val="17"/>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7"/>
          <w:szCs w:val="17"/>
          <w:color w:val="000000"/>
        </w:rPr>
        <w:t>December 31, 2020, these restricted funds were comprised of $73 million designated to fund operating expenses, approximately $24</w:t>
      </w:r>
      <w:r>
        <w:rPr>
          <w:rFonts w:ascii="Arial" w:cs="Arial" w:eastAsia="Arial" w:hAnsi="Arial"/>
          <w:sz w:val="17"/>
          <w:szCs w:val="17"/>
          <w:color w:val="231F20"/>
        </w:rPr>
        <w:t xml:space="preserve"> </w:t>
      </w:r>
      <w:r>
        <w:rPr>
          <w:rFonts w:ascii="Arial" w:cs="Arial" w:eastAsia="Arial" w:hAnsi="Arial"/>
          <w:sz w:val="17"/>
          <w:szCs w:val="17"/>
          <w:color w:val="000000"/>
        </w:rPr>
        <w:t>million designated for current debt service payments, and $45 million restricted for reserves including debt service, performance obligations and other reserves, as well as capital expenditures. The remaining $55 million is held in distribution reserve accounts.</w:t>
      </w:r>
    </w:p>
    <w:p>
      <w:pPr>
        <w:spacing w:after="0" w:line="122"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7"/>
          <w:szCs w:val="17"/>
          <w:color w:val="auto"/>
        </w:rPr>
        <w:t>As of December 31, 2020, the Company had no outstanding borrowings under the revolving credit facility and $66 million in letters of credit outstanding. During the year ended December 31, 2020, the Company borrowed $265 million under the revolving credit facility, and subsequently repaid $265 million utilizing the proceeds from the issuance of additional 2028 Senior Notes, as described below, and cash on hand. The Company had $195 million outstanding under the revolving credit facility and a total of $70 million in letters of credit outstanding as of February 26, 2021.</w:t>
      </w:r>
    </w:p>
    <w:p>
      <w:pPr>
        <w:spacing w:after="0" w:line="117" w:lineRule="exact"/>
        <w:rPr>
          <w:sz w:val="20"/>
          <w:szCs w:val="20"/>
          <w:color w:val="auto"/>
        </w:rPr>
      </w:pPr>
    </w:p>
    <w:p>
      <w:pPr>
        <w:jc w:val="both"/>
        <w:ind w:firstLine="304"/>
        <w:spacing w:after="0" w:line="263" w:lineRule="auto"/>
        <w:rPr>
          <w:sz w:val="20"/>
          <w:szCs w:val="20"/>
          <w:color w:val="auto"/>
        </w:rPr>
      </w:pPr>
      <w:r>
        <w:rPr>
          <w:rFonts w:ascii="Arial" w:cs="Arial" w:eastAsia="Arial" w:hAnsi="Arial"/>
          <w:sz w:val="18"/>
          <w:szCs w:val="18"/>
          <w:color w:val="auto"/>
        </w:rPr>
        <w:t>On July 1, 2020, PG&amp;E emerged from bankruptcy and assumed the Company's contracts without modification. Subsequent to July 1, 2020, the Company collected all remaining receivables due from PG&amp;E for pre-petition periods and received all distributions that were previously restricted from subsidiaries affected by the PG&amp;E Bankruptcy.</w:t>
      </w:r>
    </w:p>
    <w:p>
      <w:pPr>
        <w:spacing w:after="0" w:line="130" w:lineRule="exact"/>
        <w:rPr>
          <w:sz w:val="20"/>
          <w:szCs w:val="20"/>
          <w:color w:val="auto"/>
        </w:rPr>
      </w:pPr>
    </w:p>
    <w:p>
      <w:pPr>
        <w:jc w:val="both"/>
        <w:ind w:firstLine="274"/>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Clearway Energy Group, LLC. Management continues to regularly monitor the Company's ability to finance the needs of its operating, financing and investing activity within the dictates of prudent balance sheet management.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275"/>
        <w:spacing w:after="0" w:line="301"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2020, the Company's 2025 Senior Notes, 2026 Senior Notes, and 2028 Senior Notes are rated BB by S&amp;P and Ba2 by Moody's.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w:t>
      </w:r>
      <w:r>
        <w:rPr>
          <w:rFonts w:ascii="Arial" w:cs="Arial" w:eastAsia="Arial" w:hAnsi="Arial"/>
          <w:sz w:val="18"/>
          <w:szCs w:val="18"/>
          <w:color w:val="000000"/>
        </w:rPr>
        <w:t>Item 15 — 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to the Consolidated Financial Statements, the Company's financing arrangements consist of corporate level debt, which includes Senior Notes, intercompany borrowings with Clearway, Inc., and the revolving credit facility, the ATM Programs, and project-level financings for its various assets.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a total of $429 million available under the revolving credit facility as of December 31, 2020. The facility will continue to be used for general corporate purposes including financing of future acquisitions and posting letters of credit.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DG-CS Master Borrower LLC</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notes bear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Item 15 — Note 5, </w:t>
      </w:r>
      <w:r>
        <w:rPr>
          <w:rFonts w:ascii="Arial" w:cs="Arial" w:eastAsia="Arial" w:hAnsi="Arial"/>
          <w:sz w:val="17"/>
          <w:szCs w:val="17"/>
          <w:i w:val="1"/>
          <w:iCs w:val="1"/>
          <w:color w:val="auto"/>
        </w:rPr>
        <w:t>Investments Accounted for by the Equity Method and Variable Interest Entities.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Utah Solar Holdings,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September 1, 2020, Utah Solar Holdings, LLC, or Utah Solar, entered into a financing arrangement, which included the issuance of approximately $296 million in senior secured notes supported by the Company’s interest in the Four Brothers, Granite Mountain and Iron Springs projects, or the Utah projects (previously defined as the Utah Solar Portfolio).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NIMH Solar LLC</w:t>
      </w:r>
    </w:p>
    <w:p>
      <w:pPr>
        <w:spacing w:after="0" w:line="17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September 30, 2020, the Alpine, Blythe and Roadrunner projects were transferred under NIMH Solar LLC, a wholly owned subsidiary of Clearway Energy Operating LLC. Concurrently, total project-level debt outstanding for Alpine, Blythe and Roadrunner of $158 million was assigned to NIMH Solar LLC. The consolidated facility was amended to a term loan for $193 million, as well as $16 million in letters of credit in support of debt service and project obligations. The term loan bears annual interest at an annual rate of LIBOR, plus an applicable margin, which is 2.00% per annum through the third anniversary of closing, and 2.125% per annum thereafter through the maturity date in September 2024. As a result of the amendment the Company received $35 million and the funds were utilized to pay related fees and expenses and along with existing project level cash provided a distribution to Clearway Energy Operating LLC of $45 million. The obligations under the financing arrangement are supported by the Company’s interests in the projects.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ind w:left="420"/>
        <w:spacing w:after="0"/>
        <w:rPr>
          <w:sz w:val="20"/>
          <w:szCs w:val="20"/>
          <w:color w:val="auto"/>
        </w:rPr>
      </w:pPr>
      <w:r>
        <w:rPr>
          <w:rFonts w:ascii="Arial" w:cs="Arial" w:eastAsia="Arial" w:hAnsi="Arial"/>
          <w:sz w:val="18"/>
          <w:szCs w:val="18"/>
          <w:i w:val="1"/>
          <w:iCs w:val="1"/>
          <w:color w:val="auto"/>
        </w:rPr>
        <w:t>2028 Senior Notes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21, 2020, Clearway Energy Operating LLC completed the sale of an additional $250 million aggregate principal amount of the 2028 Senior Notes. The 2028 Senior Notes bear interest at 4.75% and mature on March 15, 2028. The net proceeds were utilized to repay the $45 million outstanding principal amount of the Company's 2020 Convertible Notes on June 1, 2020, as well as repay amounts outstanding under the Company’s revolving credit facility and for general corporate purposes.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ATM Programs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2020, approximately $126 million of Class C common stock remains available for issuance under the 2020 ATM Program. During the year ended December 31, 2020, the Company sold 2,690,455 shares of Class C common stock for net proceeds of $63 million under the ATM Programs. The Company utilized the proceeds to acquire 2,690,455 Class C units of Clearway Energy LLC. The Company concluded the 2016 ATM program on June 30,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Interest in RPV Holdco 1</w:t>
      </w:r>
    </w:p>
    <w:p>
      <w:pPr>
        <w:spacing w:after="0" w:line="171" w:lineRule="exact"/>
        <w:rPr>
          <w:sz w:val="20"/>
          <w:szCs w:val="20"/>
          <w:color w:val="auto"/>
        </w:rPr>
      </w:pPr>
    </w:p>
    <w:p>
      <w:pPr>
        <w:ind w:left="420" w:right="1100"/>
        <w:spacing w:after="0" w:line="438" w:lineRule="auto"/>
        <w:rPr>
          <w:sz w:val="20"/>
          <w:szCs w:val="20"/>
          <w:color w:val="auto"/>
        </w:rPr>
      </w:pPr>
      <w:r>
        <w:rPr>
          <w:rFonts w:ascii="Arial" w:cs="Arial" w:eastAsia="Arial" w:hAnsi="Arial"/>
          <w:sz w:val="18"/>
          <w:szCs w:val="18"/>
          <w:color w:val="231F20"/>
        </w:rPr>
        <w:t xml:space="preserve">On May 14, 2020, the Company sold its interests in RPV Holdco 1 LLC to a third party for net proceeds of approximately </w:t>
      </w:r>
      <w:r>
        <w:rPr>
          <w:rFonts w:ascii="Arial" w:cs="Arial" w:eastAsia="Arial" w:hAnsi="Arial"/>
          <w:sz w:val="18"/>
          <w:szCs w:val="18"/>
          <w:color w:val="000000"/>
        </w:rPr>
        <w:t>$75 million</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Sale </w:t>
      </w:r>
      <w:r>
        <w:rPr>
          <w:rFonts w:ascii="Arial" w:cs="Arial" w:eastAsia="Arial" w:hAnsi="Arial"/>
          <w:sz w:val="18"/>
          <w:szCs w:val="18"/>
          <w:i w:val="1"/>
          <w:iCs w:val="1"/>
          <w:color w:val="000000"/>
        </w:rPr>
        <w:t>of Energy Center Dover LLC and Energy Center Smyrna LLC Assets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3, 2020, the Company, through Thermal LLC, sold 100% of its interests in Energy Center Dover LLC and Energy Center Smyrna LLC to DB Energy Assets, LLC for approximately $15 million.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203"/>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Item 15 — 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Debt Service Obligations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payments on debt as of December 31, 2020, are due in the following periods: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There- after</w:t>
            </w:r>
          </w:p>
        </w:tc>
        <w:tc>
          <w:tcPr>
            <w:tcW w:w="180" w:type="dxa"/>
            <w:vAlign w:val="bottom"/>
          </w:tcPr>
          <w:p>
            <w:pPr>
              <w:spacing w:after="0"/>
              <w:rPr>
                <w:sz w:val="16"/>
                <w:szCs w:val="16"/>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6"/>
              </w:rPr>
              <w:t>(In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Intercompany Note with Clearway Energy, Inc.</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Clearway Energy Operating LLC Senior Notes, due 2025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Clearway Energy Operating LLC Senior Notes, due 2026</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3"/>
        </w:trPr>
        <w:tc>
          <w:tcPr>
            <w:tcW w:w="20" w:type="dxa"/>
            <w:vAlign w:val="bottom"/>
            <w:tcBorders>
              <w:bottom w:val="single" w:sz="8" w:color="CCEEFF"/>
            </w:tcBorders>
          </w:tcPr>
          <w:p>
            <w:pPr>
              <w:spacing w:after="0"/>
              <w:rPr>
                <w:sz w:val="18"/>
                <w:szCs w:val="18"/>
                <w:color w:val="auto"/>
              </w:rPr>
            </w:pPr>
          </w:p>
        </w:tc>
        <w:tc>
          <w:tcPr>
            <w:tcW w:w="50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Clearway Energy Operating LLC Senior Notes, due 2028</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r>
      <w:tr>
        <w:trPr>
          <w:trHeight w:val="213"/>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Corporate-level debt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Project-level debt: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Alta Wind I-V lease financing arrangements, due 2034 and 2035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Alta Wind Asset Management LLC</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Alta Wind Realty Investments LLC, due 2031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Borrego, due 2024 and 2038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Buckthorn Solar, due 2025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Carlsbad Holdco, due 2038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Carlsbad Energy Holdings LLC, due 2027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Carlsbad Energy Holdings LLC, due 2038</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CVSR, due 2037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CVSR Holdco Notes, due 2037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DG-CS Master Borrower LLC, due 2040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Duquesne, due 2059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 Segundo Energy Center, due 2023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Energy Center Minneapolis Series D, E, F, G, H Notes, due 2025-2037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Laredo Ridge, due 2028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Kawailoa Solar Portfolio LLC, due 2026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Marsh Landing, due 2023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NIMH Solar, due 2024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Oahu Solar Holdings LLC, due 2026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Rosie Class B, due 2027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Tapestry, due 2031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Utah Solar Holdings, due 2036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Walnut Creek, due 2023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WCEP Holdings, LLC due 2023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6"/>
        </w:trPr>
        <w:tc>
          <w:tcPr>
            <w:tcW w:w="20" w:type="dxa"/>
            <w:vAlign w:val="bottom"/>
          </w:tcPr>
          <w:p>
            <w:pPr>
              <w:spacing w:after="0"/>
              <w:rPr>
                <w:sz w:val="17"/>
                <w:szCs w:val="17"/>
                <w:color w:val="auto"/>
              </w:rPr>
            </w:pPr>
          </w:p>
        </w:tc>
        <w:tc>
          <w:tcPr>
            <w:tcW w:w="5080" w:type="dxa"/>
            <w:vAlign w:val="bottom"/>
            <w:gridSpan w:val="2"/>
          </w:tcPr>
          <w:p>
            <w:pPr>
              <w:ind w:left="120"/>
              <w:spacing w:after="0"/>
              <w:rPr>
                <w:sz w:val="20"/>
                <w:szCs w:val="20"/>
                <w:color w:val="auto"/>
              </w:rPr>
            </w:pPr>
            <w:r>
              <w:rPr>
                <w:rFonts w:ascii="Arial" w:cs="Arial" w:eastAsia="Arial" w:hAnsi="Arial"/>
                <w:sz w:val="16"/>
                <w:szCs w:val="16"/>
                <w:color w:val="auto"/>
              </w:rPr>
              <w:t>Total project-level debt</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firstLine="187"/>
        <w:spacing w:after="0" w:line="254" w:lineRule="auto"/>
        <w:rPr>
          <w:sz w:val="20"/>
          <w:szCs w:val="20"/>
          <w:color w:val="auto"/>
        </w:rPr>
      </w:pPr>
      <w:r>
        <w:rPr>
          <w:rFonts w:ascii="Arial" w:cs="Arial" w:eastAsia="Arial" w:hAnsi="Arial"/>
          <w:sz w:val="18"/>
          <w:szCs w:val="18"/>
          <w:color w:val="231F20"/>
        </w:rPr>
        <w:t xml:space="preserve">For the years ended </w:t>
      </w:r>
      <w:r>
        <w:rPr>
          <w:rFonts w:ascii="Arial" w:cs="Arial" w:eastAsia="Arial" w:hAnsi="Arial"/>
          <w:sz w:val="18"/>
          <w:szCs w:val="18"/>
          <w:color w:val="000000"/>
        </w:rPr>
        <w:t>December 31, 2020</w:t>
      </w:r>
      <w:r>
        <w:rPr>
          <w:rFonts w:ascii="Arial" w:cs="Arial" w:eastAsia="Arial" w:hAnsi="Arial"/>
          <w:sz w:val="18"/>
          <w:szCs w:val="18"/>
          <w:color w:val="231F20"/>
        </w:rPr>
        <w:t xml:space="preserve">, 2019, and 2018, the Company used approximately $124 million, $228 million, and $83 million, respectively, to fund capital expenditures, including </w:t>
      </w:r>
      <w:r>
        <w:rPr>
          <w:rFonts w:ascii="Arial" w:cs="Arial" w:eastAsia="Arial" w:hAnsi="Arial"/>
          <w:sz w:val="18"/>
          <w:szCs w:val="18"/>
          <w:color w:val="000000"/>
        </w:rPr>
        <w:t>maintenance capital</w:t>
      </w:r>
      <w:r>
        <w:rPr>
          <w:rFonts w:ascii="Arial" w:cs="Arial" w:eastAsia="Arial" w:hAnsi="Arial"/>
          <w:sz w:val="18"/>
          <w:szCs w:val="18"/>
          <w:color w:val="231F20"/>
        </w:rPr>
        <w:t xml:space="preserve"> expenditures </w:t>
      </w:r>
      <w:r>
        <w:rPr>
          <w:rFonts w:ascii="Arial" w:cs="Arial" w:eastAsia="Arial" w:hAnsi="Arial"/>
          <w:sz w:val="18"/>
          <w:szCs w:val="18"/>
          <w:color w:val="000000"/>
        </w:rPr>
        <w:t>of $23 million, $22 million and $36 million, respectively.</w:t>
      </w:r>
      <w:r>
        <w:rPr>
          <w:rFonts w:ascii="Arial" w:cs="Arial" w:eastAsia="Arial" w:hAnsi="Arial"/>
          <w:sz w:val="18"/>
          <w:szCs w:val="18"/>
          <w:color w:val="231F20"/>
        </w:rPr>
        <w:t xml:space="preserve"> Growth capital expenditures in 2020 include $59 million </w:t>
      </w:r>
      <w:r>
        <w:rPr>
          <w:rFonts w:ascii="Arial" w:cs="Arial" w:eastAsia="Arial" w:hAnsi="Arial"/>
          <w:sz w:val="18"/>
          <w:szCs w:val="18"/>
          <w:color w:val="000000"/>
        </w:rPr>
        <w:t>in the Renewables segment, $48 million of which were incurred in connection with the repowering of Elbow</w:t>
      </w:r>
      <w:r>
        <w:rPr>
          <w:rFonts w:ascii="Arial" w:cs="Arial" w:eastAsia="Arial" w:hAnsi="Arial"/>
          <w:sz w:val="18"/>
          <w:szCs w:val="18"/>
          <w:color w:val="231F20"/>
        </w:rPr>
        <w:t xml:space="preserve"> </w:t>
      </w:r>
      <w:r>
        <w:rPr>
          <w:rFonts w:ascii="Arial" w:cs="Arial" w:eastAsia="Arial" w:hAnsi="Arial"/>
          <w:sz w:val="18"/>
          <w:szCs w:val="18"/>
          <w:color w:val="000000"/>
        </w:rPr>
        <w:t>Creek and Wildorado facilities completed in the first quarter of 2020, $3 million incurred in connection with the Rosamond project, and $8 million incurred in the Oahu Partnership and the Kawailoa Partnership. In addition, the conventional segment incurred growth capital expenditures of $8 million related to the Marsh Landing black start project. The Company also incurred $34 million of growth capital expenditures in the Thermal segment in connection with various development projects.</w:t>
      </w:r>
    </w:p>
    <w:p>
      <w:pPr>
        <w:spacing w:after="0" w:line="141" w:lineRule="exact"/>
        <w:rPr>
          <w:sz w:val="20"/>
          <w:szCs w:val="20"/>
          <w:color w:val="auto"/>
        </w:rPr>
      </w:pPr>
    </w:p>
    <w:p>
      <w:pPr>
        <w:jc w:val="both"/>
        <w:ind w:firstLine="254"/>
        <w:spacing w:after="0" w:line="342" w:lineRule="auto"/>
        <w:rPr>
          <w:sz w:val="20"/>
          <w:szCs w:val="20"/>
          <w:color w:val="auto"/>
        </w:rPr>
      </w:pPr>
      <w:r>
        <w:rPr>
          <w:rFonts w:ascii="Arial" w:cs="Arial" w:eastAsia="Arial" w:hAnsi="Arial"/>
          <w:sz w:val="16"/>
          <w:szCs w:val="16"/>
          <w:color w:val="231F20"/>
        </w:rPr>
        <w:t xml:space="preserve">Growth capital expenditures in 2019 include $180 million </w:t>
      </w:r>
      <w:r>
        <w:rPr>
          <w:rFonts w:ascii="Arial" w:cs="Arial" w:eastAsia="Arial" w:hAnsi="Arial"/>
          <w:sz w:val="16"/>
          <w:szCs w:val="16"/>
          <w:color w:val="000000"/>
        </w:rPr>
        <w:t>in the Renewables segment, $157 million of which were incurred in connection with the</w:t>
      </w:r>
      <w:r>
        <w:rPr>
          <w:rFonts w:ascii="Arial" w:cs="Arial" w:eastAsia="Arial" w:hAnsi="Arial"/>
          <w:sz w:val="16"/>
          <w:szCs w:val="16"/>
          <w:color w:val="231F20"/>
        </w:rPr>
        <w:t xml:space="preserve"> </w:t>
      </w:r>
      <w:r>
        <w:rPr>
          <w:rFonts w:ascii="Arial" w:cs="Arial" w:eastAsia="Arial" w:hAnsi="Arial"/>
          <w:sz w:val="16"/>
          <w:szCs w:val="16"/>
          <w:color w:val="000000"/>
        </w:rPr>
        <w:t>Repowering Partnership entered by the Company in August 2018, as well as $29 million incurred in the Oahu Partnership and the Kawailoa Partnership.</w:t>
      </w:r>
    </w:p>
    <w:p>
      <w:pPr>
        <w:spacing w:after="0" w:line="70" w:lineRule="exact"/>
        <w:rPr>
          <w:sz w:val="20"/>
          <w:szCs w:val="20"/>
          <w:color w:val="auto"/>
        </w:rPr>
      </w:pPr>
    </w:p>
    <w:p>
      <w:pPr>
        <w:jc w:val="both"/>
        <w:ind w:firstLine="220"/>
        <w:spacing w:after="0" w:line="263" w:lineRule="auto"/>
        <w:rPr>
          <w:sz w:val="20"/>
          <w:szCs w:val="20"/>
          <w:color w:val="auto"/>
        </w:rPr>
      </w:pPr>
      <w:r>
        <w:rPr>
          <w:rFonts w:ascii="Arial" w:cs="Arial" w:eastAsia="Arial" w:hAnsi="Arial"/>
          <w:sz w:val="18"/>
          <w:szCs w:val="18"/>
          <w:color w:val="231F20"/>
        </w:rPr>
        <w:t xml:space="preserve">Growth capital expenditures in 2018 include $33 million </w:t>
      </w:r>
      <w:r>
        <w:rPr>
          <w:rFonts w:ascii="Arial" w:cs="Arial" w:eastAsia="Arial" w:hAnsi="Arial"/>
          <w:sz w:val="18"/>
          <w:szCs w:val="18"/>
          <w:color w:val="000000"/>
        </w:rPr>
        <w:t>in the Renewables segment in connection with the construction of the Buckthorn Solar Drop</w:t>
      </w:r>
      <w:r>
        <w:rPr>
          <w:rFonts w:ascii="Arial" w:cs="Arial" w:eastAsia="Arial" w:hAnsi="Arial"/>
          <w:sz w:val="18"/>
          <w:szCs w:val="18"/>
          <w:color w:val="231F20"/>
        </w:rPr>
        <w:t xml:space="preserve"> </w:t>
      </w:r>
      <w:r>
        <w:rPr>
          <w:rFonts w:ascii="Arial" w:cs="Arial" w:eastAsia="Arial" w:hAnsi="Arial"/>
          <w:sz w:val="18"/>
          <w:szCs w:val="18"/>
          <w:color w:val="000000"/>
        </w:rPr>
        <w:t>Down Asset, of which $10 million was incurred by NRG during the construction of Buckthorn Solar prior to its acquisition by the Company on March 30, 2018</w:t>
      </w:r>
      <w:r>
        <w:rPr>
          <w:rFonts w:ascii="Arial" w:cs="Arial" w:eastAsia="Arial" w:hAnsi="Arial"/>
          <w:sz w:val="18"/>
          <w:szCs w:val="18"/>
          <w:color w:val="231F20"/>
        </w:rPr>
        <w:t>.</w:t>
      </w:r>
    </w:p>
    <w:p>
      <w:pPr>
        <w:spacing w:after="0" w:line="130" w:lineRule="exact"/>
        <w:rPr>
          <w:sz w:val="20"/>
          <w:szCs w:val="20"/>
          <w:color w:val="auto"/>
        </w:rPr>
      </w:pPr>
    </w:p>
    <w:p>
      <w:pPr>
        <w:jc w:val="both"/>
        <w:ind w:firstLine="195"/>
        <w:spacing w:after="0" w:line="277" w:lineRule="auto"/>
        <w:rPr>
          <w:sz w:val="20"/>
          <w:szCs w:val="20"/>
          <w:color w:val="auto"/>
        </w:rPr>
      </w:pPr>
      <w:r>
        <w:rPr>
          <w:rFonts w:ascii="Arial" w:cs="Arial" w:eastAsia="Arial" w:hAnsi="Arial"/>
          <w:sz w:val="18"/>
          <w:szCs w:val="18"/>
          <w:color w:val="231F20"/>
        </w:rPr>
        <w:t xml:space="preserve">The Company estimates $28 million of maintenance capital expenditures for 2021. </w:t>
      </w:r>
      <w:r>
        <w:rPr>
          <w:rFonts w:ascii="Arial" w:cs="Arial" w:eastAsia="Arial" w:hAnsi="Arial"/>
          <w:sz w:val="18"/>
          <w:szCs w:val="18"/>
          <w:color w:val="000000"/>
        </w:rPr>
        <w:t>These estimates are subject to continuing review and adjustment and</w:t>
      </w:r>
      <w:r>
        <w:rPr>
          <w:rFonts w:ascii="Arial" w:cs="Arial" w:eastAsia="Arial" w:hAnsi="Arial"/>
          <w:sz w:val="18"/>
          <w:szCs w:val="18"/>
          <w:color w:val="231F20"/>
        </w:rPr>
        <w:t xml:space="preserve"> </w:t>
      </w:r>
      <w:r>
        <w:rPr>
          <w:rFonts w:ascii="Arial" w:cs="Arial" w:eastAsia="Arial" w:hAnsi="Arial"/>
          <w:sz w:val="18"/>
          <w:szCs w:val="18"/>
          <w:color w:val="000000"/>
        </w:rPr>
        <w:t>actual capital expenditures may vary from these estimates.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171" w:lineRule="exact"/>
        <w:rPr>
          <w:sz w:val="20"/>
          <w:szCs w:val="20"/>
          <w:color w:val="auto"/>
        </w:rPr>
      </w:pPr>
    </w:p>
    <w:p>
      <w:pPr>
        <w:jc w:val="both"/>
        <w:ind w:right="20" w:firstLine="190"/>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0" w:lineRule="exact"/>
        <w:rPr>
          <w:sz w:val="20"/>
          <w:szCs w:val="20"/>
          <w:color w:val="auto"/>
        </w:rPr>
      </w:pPr>
    </w:p>
    <w:p>
      <w:pPr>
        <w:jc w:val="both"/>
        <w:ind w:left="80" w:firstLine="648"/>
        <w:spacing w:after="0" w:line="263" w:lineRule="auto"/>
        <w:rPr>
          <w:sz w:val="20"/>
          <w:szCs w:val="20"/>
          <w:color w:val="auto"/>
        </w:rPr>
      </w:pPr>
      <w:r>
        <w:rPr>
          <w:rFonts w:ascii="Arial" w:cs="Arial" w:eastAsia="Arial" w:hAnsi="Arial"/>
          <w:sz w:val="18"/>
          <w:szCs w:val="18"/>
          <w:i w:val="1"/>
          <w:iCs w:val="1"/>
          <w:color w:val="auto"/>
        </w:rPr>
        <w:t xml:space="preserve">Mt Storm Agreement </w:t>
      </w:r>
      <w:r>
        <w:rPr>
          <w:rFonts w:ascii="Arial" w:cs="Arial" w:eastAsia="Arial" w:hAnsi="Arial"/>
          <w:sz w:val="18"/>
          <w:szCs w:val="18"/>
          <w:color w:val="auto"/>
        </w:rPr>
        <w:t>— On February 10, 2021, the Company reached an agreement to acquire 100% of the equity interests in Mount Storm</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 LLC, or Mt Storm, for approximately $96 million subject to certain purchase price adjustments. Mt Storm is a 264 MW wind project located in Grant County, West Virginia. The transaction is subject to customary regulatory approvals.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NRG Energy, Inc. for $202 million. Agua Caliente is a 290 MW solar project located in Dateland, Arizona in which the Company previously owned a 16% equity interest. The project has a 25-year PPA with PG&amp;E, with approximately 19 years remaining under the agreement. Following the close of the transaction the Company will own a 51% equity interest in Agua Caliente.</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Rattlesnake Drop Down — </w:t>
      </w:r>
      <w:r>
        <w:rPr>
          <w:rFonts w:ascii="Arial" w:cs="Arial" w:eastAsia="Arial" w:hAnsi="Arial"/>
          <w:sz w:val="18"/>
          <w:szCs w:val="18"/>
          <w:color w:val="auto"/>
        </w:rPr>
        <w:t>On January 12, 2021, the Company acquired 100% of CEG's equity interest and a third party investor's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Rattlesnake Flat, LLC, which owns the Rattlesnake Wind Project, a 160 net MW wind facility located in Adams County, WA which achieved commercial operations in January 2021, for $132 million in cash consideration and expects its net capital commitment to be $119 million after proceeds from a state sales and use tax refund which are expected to be received in 2021.</w:t>
      </w:r>
    </w:p>
    <w:p>
      <w:pPr>
        <w:spacing w:after="0" w:line="1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Lighthouse Partnership Agreements — </w:t>
      </w:r>
      <w:r>
        <w:rPr>
          <w:rFonts w:ascii="Arial" w:cs="Arial" w:eastAsia="Arial" w:hAnsi="Arial"/>
          <w:sz w:val="17"/>
          <w:szCs w:val="17"/>
          <w:color w:val="auto"/>
        </w:rPr>
        <w:t>On December 21, 2020, subsidiaries of the Company entered into the Lighthouse Partnership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for the Company’s co-investment in a 1,204 MW portfolio of renewable energy projects developed by CEG. In addition, the agreements included an amendment of the partnership that owns the 419 MW Mesquite Star wind project, providing the Company with additional project cash flows after the first half of 2031. As described below, the Company had previously acquired an interest in Mesquite Star Pledgor LLC, which was subsequently renamed Lighthouse Renewable Holdco LLC. The 1,204 MW portfolio of renewable energy projects includes:</w:t>
      </w:r>
    </w:p>
    <w:p>
      <w:pPr>
        <w:spacing w:after="0" w:line="122"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Five geographically diversified wind, solar and solar plus storage assets under development totaling 1,012 MW, and</w:t>
      </w:r>
    </w:p>
    <w:p>
      <w:pPr>
        <w:spacing w:after="0" w:line="63" w:lineRule="exact"/>
        <w:rPr>
          <w:rFonts w:ascii="Arial" w:cs="Arial" w:eastAsia="Arial" w:hAnsi="Arial"/>
          <w:sz w:val="18"/>
          <w:szCs w:val="18"/>
          <w:color w:val="auto"/>
        </w:rPr>
      </w:pPr>
    </w:p>
    <w:p>
      <w:pPr>
        <w:jc w:val="both"/>
        <w:ind w:left="1300" w:hanging="320"/>
        <w:spacing w:after="0" w:line="295" w:lineRule="auto"/>
        <w:tabs>
          <w:tab w:leader="none" w:pos="12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192 MW Rosamond Central solar project, located in Kern County, California. On December 21, 2020, the Company acquired 100% of the Class A membership interests of Rosie Target Co LLC, which consolidates its interest in a tax equity fund that owns the project, for $23 million in cash consideration and an additional $1 million adjustment concurrent with the tax equity investor's final funding which was paid in January 2021. Rosie Target Co LLC is a partnership, whose Class B membership interests are owned by a third party investor. The Company is entitled to a 50% cash equity interest in Rosamond Central through its Class A membership interests.</w:t>
      </w:r>
    </w:p>
    <w:p>
      <w:pPr>
        <w:spacing w:after="0" w:line="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above-mentioned transactions, the Company expects to invest an estimated $215 million in corporate capital by the end of 2022, subject to closing adjustments and the projects achieving certain milestones. The expected net corporate capital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both"/>
        <w:ind w:right="20"/>
        <w:spacing w:after="0" w:line="277" w:lineRule="auto"/>
        <w:rPr>
          <w:sz w:val="20"/>
          <w:szCs w:val="20"/>
          <w:color w:val="auto"/>
        </w:rPr>
      </w:pPr>
      <w:r>
        <w:rPr>
          <w:rFonts w:ascii="Arial" w:cs="Arial" w:eastAsia="Arial" w:hAnsi="Arial"/>
          <w:sz w:val="18"/>
          <w:szCs w:val="18"/>
          <w:color w:val="auto"/>
        </w:rPr>
        <w:t>includes the $24 million already invested in Rosamond Central in 2020 and the purchase price adjustment received concurrent with the partnership agreement amendment for Mesquite Star.</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Langford Drop Down — </w:t>
      </w:r>
      <w:r>
        <w:rPr>
          <w:rFonts w:ascii="Arial" w:cs="Arial" w:eastAsia="Arial" w:hAnsi="Arial"/>
          <w:sz w:val="18"/>
          <w:szCs w:val="18"/>
          <w:color w:val="auto"/>
        </w:rPr>
        <w:t>On November 20, 2020, the Company acquired from Clearway Renew LLC, a subsidiary of CEG, and a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100% of the cash equity interests in Langford Holding LLC, which owns the Langford wind project, for total cash consideration of approximately $64 million. The Langford wind project is a 160 MW wind project located in West Texas which was repowered and achieved commercial operations in November 2020. The investment was funded with existing liquidity.</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DGPV Holdco Residual Interest from CEG — </w:t>
      </w:r>
      <w:r>
        <w:rPr>
          <w:rFonts w:ascii="Arial" w:cs="Arial" w:eastAsia="Arial" w:hAnsi="Arial"/>
          <w:sz w:val="18"/>
          <w:szCs w:val="18"/>
          <w:color w:val="auto"/>
        </w:rPr>
        <w:t>On November 2, 2020, the Company acquired the Class B membership interests in DGPV Holdco</w:t>
      </w:r>
      <w:r>
        <w:rPr>
          <w:rFonts w:ascii="Arial" w:cs="Arial" w:eastAsia="Arial" w:hAnsi="Arial"/>
          <w:sz w:val="18"/>
          <w:szCs w:val="18"/>
          <w:i w:val="1"/>
          <w:iCs w:val="1"/>
          <w:color w:val="auto"/>
        </w:rPr>
        <w:t xml:space="preserve"> </w:t>
      </w:r>
      <w:r>
        <w:rPr>
          <w:rFonts w:ascii="Arial" w:cs="Arial" w:eastAsia="Arial" w:hAnsi="Arial"/>
          <w:sz w:val="18"/>
          <w:szCs w:val="18"/>
          <w:color w:val="auto"/>
        </w:rPr>
        <w:t>1, DGPV Holdco 2 and DGPV Holdco 3, or DGPV Holdco Entities, as well as a SREC contract, from Renew DG Holdings LLC, a subsidiary of CEG for $44 million in cash consideration. In connection with the acquisition of the Class B membership interests, the Company consolidated their interest in the underlying distributed solar tax equity funds within DGPV Holdco 1 and DGPV Holdco 2. The Company had previously consolidated DGPV Holdco 3 effective in May 2020.</w:t>
      </w:r>
    </w:p>
    <w:p>
      <w:pPr>
        <w:spacing w:after="0" w:line="134" w:lineRule="exact"/>
        <w:rPr>
          <w:sz w:val="20"/>
          <w:szCs w:val="20"/>
          <w:color w:val="auto"/>
        </w:rPr>
      </w:pPr>
    </w:p>
    <w:p>
      <w:pPr>
        <w:jc w:val="both"/>
        <w:ind w:firstLine="256"/>
        <w:spacing w:after="0" w:line="263" w:lineRule="auto"/>
        <w:rPr>
          <w:sz w:val="20"/>
          <w:szCs w:val="20"/>
          <w:color w:val="auto"/>
        </w:rPr>
      </w:pPr>
      <w:r>
        <w:rPr>
          <w:rFonts w:ascii="Arial" w:cs="Arial" w:eastAsia="Arial" w:hAnsi="Arial"/>
          <w:sz w:val="18"/>
          <w:szCs w:val="18"/>
          <w:i w:val="1"/>
          <w:iCs w:val="1"/>
          <w:color w:val="auto"/>
        </w:rPr>
        <w:t xml:space="preserve">DG Investment Partnerships with CEG — </w:t>
      </w:r>
      <w:r>
        <w:rPr>
          <w:rFonts w:ascii="Arial" w:cs="Arial" w:eastAsia="Arial" w:hAnsi="Arial"/>
          <w:sz w:val="18"/>
          <w:szCs w:val="18"/>
          <w:color w:val="auto"/>
        </w:rPr>
        <w:t>Prior to the acquisition of CEG's Class B membership interests mentioned above, the Company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 million in the DG investment partnerships with CEG during 2020, bringing total capital invested in these investment partnerships to $266 million.</w:t>
      </w:r>
    </w:p>
    <w:p>
      <w:pPr>
        <w:spacing w:after="0" w:line="13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Mesquite Star Drop Down — </w:t>
      </w:r>
      <w:r>
        <w:rPr>
          <w:rFonts w:ascii="Arial" w:cs="Arial" w:eastAsia="Arial" w:hAnsi="Arial"/>
          <w:sz w:val="16"/>
          <w:szCs w:val="16"/>
          <w:color w:val="auto"/>
        </w:rPr>
        <w:t>On September 1, 2020, the Company, through its indirect subsidiary Mesquite Star HoldCo LLC, acquired the Class</w:t>
      </w:r>
      <w:r>
        <w:rPr>
          <w:rFonts w:ascii="Arial" w:cs="Arial" w:eastAsia="Arial" w:hAnsi="Arial"/>
          <w:sz w:val="16"/>
          <w:szCs w:val="16"/>
          <w:i w:val="1"/>
          <w:iCs w:val="1"/>
          <w:color w:val="auto"/>
        </w:rPr>
        <w:t xml:space="preserve"> </w:t>
      </w:r>
      <w:r>
        <w:rPr>
          <w:rFonts w:ascii="Arial" w:cs="Arial" w:eastAsia="Arial" w:hAnsi="Arial"/>
          <w:sz w:val="16"/>
          <w:szCs w:val="16"/>
          <w:color w:val="auto"/>
        </w:rPr>
        <w:t>A membership interests in Mesquite Star Pledgor LLC from Clearway Renew LLC, a subsidiary of CEG, for $74 million in cash consideration inclusive of a purchase price adjustment received in the fourth quarter of 2020 concurrent with the partnership amendment referenced below.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 As described above, Mesquite Star Pledgor LLC was renamed Lighthouse Renewable Holdco LLC and the Class B</w:t>
      </w:r>
    </w:p>
    <w:p>
      <w:pPr>
        <w:spacing w:after="0" w:line="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membership interests were sold to a third party investor. The investor and the Company amended the terms of the related partnership and as a result, the Company now consolidates its interest in the Mesquite Star wind project, through its consolidation of Lighthouse Renewable Holdco LLC.</w:t>
      </w:r>
    </w:p>
    <w:p>
      <w:pPr>
        <w:spacing w:after="0" w:line="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Agreements to Acquire and Invest in a Portfolio of Renewable Energy Projects from CEG — </w:t>
      </w:r>
      <w:r>
        <w:rPr>
          <w:rFonts w:ascii="Arial" w:cs="Arial" w:eastAsia="Arial" w:hAnsi="Arial"/>
          <w:sz w:val="18"/>
          <w:szCs w:val="18"/>
          <w:color w:val="auto"/>
        </w:rPr>
        <w:t>On April 17, 2020, the Company entered into binding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related to the previously announced dropdown offer from CEG to enable the Company to acquire and invest in a portfolio of renewable energy projects. The following projects are included in the drop down agreements.</w:t>
      </w:r>
    </w:p>
    <w:p>
      <w:pPr>
        <w:spacing w:after="0" w:line="130" w:lineRule="exact"/>
        <w:rPr>
          <w:sz w:val="20"/>
          <w:szCs w:val="20"/>
          <w:color w:val="auto"/>
        </w:rPr>
      </w:pPr>
    </w:p>
    <w:p>
      <w:pPr>
        <w:ind w:left="98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CEG's interest in Repowering Partnership II LLC (Repowering 1.0), which the Company acquired on May 11, 2020 for cash consideration of $70 million,</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of the equity interests in Rattlesnake Flat, LLC, which owns the Rattlesnake Wind Project, a 160 net MW wind facility located in Adams County, WA which the company acquired on January 12, 2021 as mentioned above, and</w:t>
      </w:r>
    </w:p>
    <w:p>
      <w:pPr>
        <w:spacing w:after="0" w:line="8" w:lineRule="exact"/>
        <w:rPr>
          <w:rFonts w:ascii="Arial" w:cs="Arial" w:eastAsia="Arial" w:hAnsi="Arial"/>
          <w:sz w:val="18"/>
          <w:szCs w:val="18"/>
          <w:color w:val="auto"/>
        </w:rPr>
      </w:pPr>
    </w:p>
    <w:p>
      <w:pPr>
        <w:jc w:val="both"/>
        <w:ind w:left="980" w:hanging="324"/>
        <w:spacing w:after="0" w:line="275" w:lineRule="auto"/>
        <w:tabs>
          <w:tab w:leader="none" w:pos="9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February 26, 2021, the Company, through an indirect subsidiary, entered into an amended partnership agreement with CEG to repower the Pinnacle Wind Project, a 55 net MW wind facility located in Mineral County, WV.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Partnership are expected to occur in the second half of 2021.</w:t>
      </w:r>
    </w:p>
    <w:p>
      <w:pPr>
        <w:spacing w:after="0" w:line="1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above mentioned transactions, the agreements commit the Company to invest an estimated $256 million in net corporate capital, subject to closing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June 1, 2020, the Company repaid at maturity its outstanding $45 million of 2020 Convertible Notes utilizing the proceeds from the issuance of additional 2028 Senior Notes as described above.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231F20"/>
        </w:rPr>
        <w:t>Cash Distributions to Clearway, Inc. and CEG</w:t>
      </w:r>
    </w:p>
    <w:p>
      <w:pPr>
        <w:spacing w:after="0" w:line="175" w:lineRule="exact"/>
        <w:rPr>
          <w:sz w:val="20"/>
          <w:szCs w:val="20"/>
          <w:color w:val="auto"/>
        </w:rPr>
      </w:pPr>
    </w:p>
    <w:p>
      <w:pPr>
        <w:jc w:val="both"/>
        <w:ind w:firstLine="204"/>
        <w:spacing w:after="0" w:line="269" w:lineRule="auto"/>
        <w:rPr>
          <w:sz w:val="20"/>
          <w:szCs w:val="20"/>
          <w:color w:val="auto"/>
        </w:rPr>
      </w:pPr>
      <w:r>
        <w:rPr>
          <w:rFonts w:ascii="Arial" w:cs="Arial" w:eastAsia="Arial" w:hAnsi="Arial"/>
          <w:sz w:val="17"/>
          <w:szCs w:val="17"/>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w:t>
      </w:r>
      <w:r>
        <w:rPr>
          <w:rFonts w:ascii="Arial" w:cs="Arial" w:eastAsia="Arial" w:hAnsi="Arial"/>
          <w:sz w:val="17"/>
          <w:szCs w:val="17"/>
          <w:color w:val="000000"/>
        </w:rPr>
        <w:t>CAFD is</w:t>
      </w:r>
      <w:r>
        <w:rPr>
          <w:rFonts w:ascii="Arial" w:cs="Arial" w:eastAsia="Arial" w:hAnsi="Arial"/>
          <w:sz w:val="17"/>
          <w:szCs w:val="17"/>
          <w:color w:val="231F20"/>
        </w:rPr>
        <w:t xml:space="preserve"> </w:t>
      </w:r>
      <w:r>
        <w:rPr>
          <w:rFonts w:ascii="Arial" w:cs="Arial" w:eastAsia="Arial" w:hAnsi="Arial"/>
          <w:sz w:val="17"/>
          <w:szCs w:val="17"/>
          <w:color w:val="000000"/>
        </w:rPr>
        <w:t xml:space="preserve">defined as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w:t>
      </w:r>
      <w:r>
        <w:rPr>
          <w:rFonts w:ascii="Arial" w:cs="Arial" w:eastAsia="Arial" w:hAnsi="Arial"/>
          <w:sz w:val="17"/>
          <w:szCs w:val="17"/>
          <w:color w:val="231F20"/>
        </w:rPr>
        <w:t>Distributions on units</w:t>
      </w:r>
      <w:r>
        <w:rPr>
          <w:rFonts w:ascii="Arial" w:cs="Arial" w:eastAsia="Arial" w:hAnsi="Arial"/>
          <w:sz w:val="17"/>
          <w:szCs w:val="17"/>
          <w:color w:val="000000"/>
        </w:rPr>
        <w:t xml:space="preserve"> are subject to available capital, market conditions, and compliance with associated laws, regulations and other contractual obligations. The Company expects that, based on current circumstances, comparable distributions will continue to be paid in the foreseeable future.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2020:</w:t>
      </w:r>
    </w:p>
    <w:p>
      <w:pPr>
        <w:spacing w:after="0" w:line="4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Fourth Quarter</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2020</w:t>
            </w: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Second Quarter</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2020</w:t>
            </w: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and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0.3180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r>
        <w:trPr>
          <w:trHeight w:val="234"/>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C and Class D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0.3180</w:t>
            </w:r>
          </w:p>
        </w:tc>
        <w:tc>
          <w:tcPr>
            <w:tcW w:w="100" w:type="dxa"/>
            <w:vAlign w:val="bottom"/>
          </w:tcPr>
          <w:p>
            <w:pPr>
              <w:spacing w:after="0"/>
              <w:rPr>
                <w:sz w:val="20"/>
                <w:szCs w:val="20"/>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0.2100</w:t>
            </w:r>
          </w:p>
        </w:tc>
        <w:tc>
          <w:tcPr>
            <w:tcW w:w="120" w:type="dxa"/>
            <w:vAlign w:val="bottom"/>
          </w:tcPr>
          <w:p>
            <w:pPr>
              <w:spacing w:after="0"/>
              <w:rPr>
                <w:sz w:val="20"/>
                <w:szCs w:val="20"/>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211"/>
        <w:spacing w:after="0" w:line="277" w:lineRule="auto"/>
        <w:rPr>
          <w:sz w:val="20"/>
          <w:szCs w:val="20"/>
          <w:color w:val="auto"/>
        </w:rPr>
      </w:pPr>
      <w:r>
        <w:rPr>
          <w:rFonts w:ascii="Arial" w:cs="Arial" w:eastAsia="Arial" w:hAnsi="Arial"/>
          <w:sz w:val="18"/>
          <w:szCs w:val="18"/>
          <w:color w:val="auto"/>
        </w:rPr>
        <w:t>On February 12, 2021, the Company declared a quarterly distribution on its Class A, Class B, Class C and Class D units of $0.324 per unit payable on 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231F20"/>
        </w:rPr>
        <w:t>Financial Disclosures About Guarantors and Issuers of Guaranteed Registered Securities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of December 31, 2020, Clearway Energy Operating LLC had the following outstanding registered senior notes: $600 million of the 2025 Senior Notes and $350 million of the 2026 Senior Notes as further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These Senior Notes are guaranteed by the Company, as well as certain of the Company's wholly owned subsidiaries, or guarantor subsidiaries. These guarantees are full, irrevocable, unconditional, absolute, joint and several, and cover all payment obligations arising under such Senior Notes. The non-guarantor subsidiaries include the rest of the Company's subsidiaries, including the subsidiaries that are subject to project financing.</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Clearway Energy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Clearway Energy Operating LLC, the issuer of the Senior Notes and the guarantor subsidiaries in accordance with Rule 3-10 under the SEC Regulation S-X. The financial information may not necessarily be indicative of results of operations or financial position had the guarantor subsidiaries operated as independent entities. Transactions between Clearway Energy Operating LLC and the guarantors have been eliminated and the summarized financial information does not reflect investments of Clearway Energy Operating LLC and the guarantors in the non-guarantor subsidiaries.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31, 2020</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480" w:type="dxa"/>
            <w:vAlign w:val="bottom"/>
          </w:tcPr>
          <w:p>
            <w:pPr>
              <w:spacing w:after="0"/>
              <w:rPr>
                <w:sz w:val="11"/>
                <w:szCs w:val="11"/>
                <w:color w:val="auto"/>
              </w:rPr>
            </w:pPr>
          </w:p>
        </w:tc>
        <w:tc>
          <w:tcPr>
            <w:tcW w:w="150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LLC (Senior Notes Issuer)</w:t>
            </w:r>
          </w:p>
        </w:tc>
        <w:tc>
          <w:tcPr>
            <w:tcW w:w="20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Year ended December 31, 2020</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840" w:type="dxa"/>
            <w:vAlign w:val="bottom"/>
          </w:tcPr>
          <w:p>
            <w:pPr>
              <w:jc w:val="right"/>
              <w:ind w:right="16"/>
              <w:spacing w:after="0" w:line="132" w:lineRule="exact"/>
              <w:rPr>
                <w:sz w:val="20"/>
                <w:szCs w:val="20"/>
                <w:color w:val="auto"/>
              </w:rPr>
            </w:pPr>
            <w:r>
              <w:rPr>
                <w:rFonts w:ascii="Arial" w:cs="Arial" w:eastAsia="Arial" w:hAnsi="Arial"/>
                <w:sz w:val="14"/>
                <w:szCs w:val="14"/>
                <w:b w:val="1"/>
                <w:bCs w:val="1"/>
                <w:color w:val="auto"/>
                <w:w w:val="94"/>
              </w:rPr>
              <w:t>Clearway Energy Operating</w:t>
            </w:r>
          </w:p>
        </w:tc>
        <w:tc>
          <w:tcPr>
            <w:tcW w:w="100" w:type="dxa"/>
            <w:vAlign w:val="bottom"/>
          </w:tcPr>
          <w:p>
            <w:pPr>
              <w:spacing w:after="0"/>
              <w:rPr>
                <w:sz w:val="11"/>
                <w:szCs w:val="11"/>
                <w:color w:val="auto"/>
              </w:rPr>
            </w:pP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480" w:type="dxa"/>
            <w:vAlign w:val="bottom"/>
          </w:tcPr>
          <w:p>
            <w:pPr>
              <w:spacing w:after="0"/>
              <w:rPr>
                <w:sz w:val="11"/>
                <w:szCs w:val="11"/>
                <w:color w:val="auto"/>
              </w:rPr>
            </w:pPr>
          </w:p>
        </w:tc>
        <w:tc>
          <w:tcPr>
            <w:tcW w:w="15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LLC (Senior Notes Issuer)</w:t>
            </w:r>
          </w:p>
        </w:tc>
        <w:tc>
          <w:tcPr>
            <w:tcW w:w="10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89"/>
              </w:rPr>
              <w:t>12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center"/>
              <w:ind w:left="1074"/>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jc w:val="center"/>
              <w:ind w:left="670"/>
              <w:spacing w:after="0"/>
              <w:rPr>
                <w:sz w:val="20"/>
                <w:szCs w:val="20"/>
                <w:color w:val="auto"/>
              </w:rPr>
            </w:pPr>
            <w:r>
              <w:rPr>
                <w:rFonts w:ascii="Arial" w:cs="Arial" w:eastAsia="Arial" w:hAnsi="Arial"/>
                <w:sz w:val="18"/>
                <w:szCs w:val="18"/>
                <w:color w:val="auto"/>
                <w:w w:val="89"/>
              </w:rPr>
              <w:t>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center"/>
              <w:ind w:left="1094"/>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3"/>
              </w:rPr>
              <w:t>(18)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074"/>
              <w:spacing w:after="0"/>
              <w:rPr>
                <w:sz w:val="20"/>
                <w:szCs w:val="20"/>
                <w:color w:val="auto"/>
              </w:rPr>
            </w:pPr>
            <w:r>
              <w:rPr>
                <w:rFonts w:ascii="Arial" w:cs="Arial" w:eastAsia="Arial" w:hAnsi="Arial"/>
                <w:sz w:val="18"/>
                <w:szCs w:val="18"/>
                <w:color w:val="auto"/>
                <w:w w:val="93"/>
              </w:rPr>
              <w:t>(86)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(loss) income attributable to controlling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c>
          <w:tcPr>
            <w:tcW w:w="98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630"/>
              <w:spacing w:after="0"/>
              <w:rPr>
                <w:sz w:val="20"/>
                <w:szCs w:val="20"/>
                <w:color w:val="auto"/>
              </w:rPr>
            </w:pPr>
            <w:r>
              <w:rPr>
                <w:rFonts w:ascii="Arial" w:cs="Arial" w:eastAsia="Arial" w:hAnsi="Arial"/>
                <w:sz w:val="18"/>
                <w:szCs w:val="18"/>
                <w:color w:val="auto"/>
                <w:w w:val="93"/>
              </w:rPr>
              <w:t>(17)</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1074"/>
              <w:spacing w:after="0"/>
              <w:rPr>
                <w:sz w:val="20"/>
                <w:szCs w:val="20"/>
                <w:color w:val="auto"/>
              </w:rPr>
            </w:pPr>
            <w:r>
              <w:rPr>
                <w:rFonts w:ascii="Arial" w:cs="Arial" w:eastAsia="Arial" w:hAnsi="Arial"/>
                <w:sz w:val="18"/>
                <w:szCs w:val="18"/>
                <w:color w:val="auto"/>
                <w:w w:val="93"/>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Cash Flow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reflects the changes in cash flows for the year ended December 31, 2020 compared to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0"/>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545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(432)</w:t>
            </w: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794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in operating income adjusted for non-cash items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Increase in dividend distributions received from unconsolidated affiliates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3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Decrease in working capital driven primarily by the timing of accounts receivable collections and payments of accounts payable</w:t>
            </w: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vMerge w:val="restart"/>
          </w:tcPr>
          <w:p>
            <w:pPr>
              <w:ind w:left="14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Changes to net cash used in investing activities were driven by:</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w w:val="93"/>
              </w:rPr>
              <w:t>Decrease in capital expenditures primarily driven by 2019 growth capital expenditures in the Renewables segment related to repowering</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of Elbow Creek and Wildorado</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Acquisition of Duquesne University District Energy System on May 1, 2019</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w w:val="94"/>
              </w:rPr>
              <w:t>Increase in proceeds received from sale of assets in 2020 primarily due to sale of RPV Holdco, Energy Center Dover LLC and Energy</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Center Smyrna LLC compared to the proceeds from the sale of HSD Solar in 2019</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Payments for partnership interests in 2019</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Decrease in cash paid for Drop Down Assets due to acquisition of Carlsbad in 2019 compared to Drop Down Assets acquired in 2020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Increase in net distributions from unconsolidated affiliates in 2020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due to consolidation of DGPV Holdco 3 LLC in May 2020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Changes in net cash used in financing activities were driven by:</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93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1"/>
              </w:rPr>
              <w:t>Increase in debt repayments in 2020 primarily driven by repayments of Renewable project level debt in 2020 partially offset by a</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reduction in Corporate level debt repayments in 2020 compared to 2019</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8"/>
              </w:rPr>
              <w:t>Payment to buy out CEG's noncontrolling interest in Repowering Partnership II LLC on May 11, 2020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in dividends paid to unit holders in 2020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Decrease in net proceeds received from equity issuance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w w:val="92"/>
              </w:rPr>
              <w:t>Decrease in net repayments of affiliate long-term debt in 2020 compared to 2019, primarily due to repayments in the first quarter 2019 to</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repay an intercompany demand note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Arial" w:cs="Arial" w:eastAsia="Arial" w:hAnsi="Arial"/>
                <w:sz w:val="18"/>
                <w:szCs w:val="18"/>
                <w:color w:val="auto"/>
                <w:w w:val="94"/>
              </w:rPr>
              <w:t>Increase in net contributions received from noncontrolling interests in 2020 compared to 2019, primarily from tax equity contributions in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Wildorado TE Holdco and Rosie TE Holdco received in 2020</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58" w:lineRule="exact"/>
        <w:rPr>
          <w:sz w:val="20"/>
          <w:szCs w:val="20"/>
          <w:color w:val="auto"/>
        </w:rPr>
      </w:pPr>
    </w:p>
    <w:p>
      <w:pPr>
        <w:jc w:val="both"/>
        <w:ind w:firstLine="187"/>
        <w:spacing w:after="0" w:line="296" w:lineRule="auto"/>
        <w:rPr>
          <w:sz w:val="20"/>
          <w:szCs w:val="20"/>
          <w:color w:val="auto"/>
        </w:rPr>
      </w:pPr>
      <w:r>
        <w:rPr>
          <w:rFonts w:ascii="Arial" w:cs="Arial" w:eastAsia="Arial" w:hAnsi="Arial"/>
          <w:sz w:val="16"/>
          <w:szCs w:val="16"/>
          <w:i w:val="1"/>
          <w:iCs w:val="1"/>
          <w:color w:val="auto"/>
        </w:rPr>
        <w:t xml:space="preserve">Variable interest in equity investments </w:t>
      </w:r>
      <w:r>
        <w:rPr>
          <w:rFonts w:ascii="Arial" w:cs="Arial" w:eastAsia="Arial" w:hAnsi="Arial"/>
          <w:sz w:val="16"/>
          <w:szCs w:val="16"/>
          <w:color w:val="auto"/>
        </w:rPr>
        <w:t>— As of December 31, 2020, the Company has several investments with an ownership interest percentage of 50%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$481 million as of December 31, 2020. This indebtedness may restrict the ability of these subsidiaries to issue dividends or distributions to the Company. See also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to the Consolidated Financial Statements.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48" w:lineRule="exact"/>
        <w:rPr>
          <w:sz w:val="20"/>
          <w:szCs w:val="20"/>
          <w:color w:val="auto"/>
        </w:rPr>
      </w:pPr>
    </w:p>
    <w:p>
      <w:pPr>
        <w:jc w:val="both"/>
        <w:ind w:firstLine="183"/>
        <w:spacing w:after="0" w:line="286" w:lineRule="auto"/>
        <w:rPr>
          <w:sz w:val="20"/>
          <w:szCs w:val="20"/>
          <w:color w:val="auto"/>
        </w:rPr>
      </w:pPr>
      <w:r>
        <w:rPr>
          <w:rFonts w:ascii="Arial" w:cs="Arial" w:eastAsia="Arial" w:hAnsi="Arial"/>
          <w:sz w:val="17"/>
          <w:szCs w:val="17"/>
          <w:color w:val="auto"/>
        </w:rPr>
        <w:t xml:space="preserve">The Company has a variety of contractual obligations and other commercial commitments that represent prospective cash requirements in addition to the Company's capital expenditure programs. The following table summarizes the Company's contractual obligations. See Item 15 </w:t>
      </w:r>
      <w:r>
        <w:rPr>
          <w:rFonts w:ascii="Arial" w:cs="Arial" w:eastAsia="Arial" w:hAnsi="Arial"/>
          <w:sz w:val="17"/>
          <w:szCs w:val="17"/>
          <w:i w:val="1"/>
          <w:iCs w:val="1"/>
          <w:color w:val="auto"/>
        </w:rPr>
        <w:t>— Note 10</w:t>
      </w:r>
      <w:r>
        <w:rPr>
          <w:rFonts w:ascii="Arial" w:cs="Arial" w:eastAsia="Arial" w:hAnsi="Arial"/>
          <w:sz w:val="17"/>
          <w:szCs w:val="17"/>
          <w:i w:val="1"/>
          <w:iCs w:val="1"/>
          <w:color w:val="231F20"/>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Note 14, Commitments and Contingencies,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15, Leases </w:t>
      </w:r>
      <w:r>
        <w:rPr>
          <w:rFonts w:ascii="Arial" w:cs="Arial" w:eastAsia="Arial" w:hAnsi="Arial"/>
          <w:sz w:val="17"/>
          <w:szCs w:val="17"/>
          <w:color w:val="auto"/>
        </w:rPr>
        <w:t>to the Consolidated Financial Statements for additional discussion.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5"/>
              </w:rPr>
              <w:t>By Remaining Maturity at 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Cash Obligations</w:t>
            </w:r>
          </w:p>
        </w:tc>
        <w:tc>
          <w:tcPr>
            <w:tcW w:w="22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4"/>
                <w:szCs w:val="14"/>
                <w:b w:val="1"/>
                <w:bCs w:val="1"/>
                <w:color w:val="auto"/>
              </w:rPr>
              <w:t>Under</w:t>
            </w:r>
          </w:p>
        </w:tc>
        <w:tc>
          <w:tcPr>
            <w:tcW w:w="180" w:type="dxa"/>
            <w:vAlign w:val="bottom"/>
          </w:tcPr>
          <w:p>
            <w:pPr>
              <w:spacing w:after="0"/>
              <w:rPr>
                <w:sz w:val="11"/>
                <w:szCs w:val="11"/>
                <w:color w:val="auto"/>
              </w:rPr>
            </w:pPr>
          </w:p>
        </w:tc>
        <w:tc>
          <w:tcPr>
            <w:tcW w:w="9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1"/>
                <w:szCs w:val="11"/>
                <w:color w:val="auto"/>
              </w:rPr>
            </w:pPr>
          </w:p>
        </w:tc>
        <w:tc>
          <w:tcPr>
            <w:tcW w:w="100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93"/>
              </w:rPr>
              <w:t>Over</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5 Years</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estimated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purchase and transportation obligations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308610</wp:posOffset>
            </wp:positionV>
            <wp:extent cx="1345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Includes water right agreements, service and maintenance agreements, and LTSA commitments.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ind w:right="60" w:firstLine="177"/>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233"/>
        <w:spacing w:after="0" w:line="257" w:lineRule="auto"/>
        <w:rPr>
          <w:sz w:val="20"/>
          <w:szCs w:val="20"/>
          <w:color w:val="auto"/>
        </w:rPr>
      </w:pPr>
      <w:r>
        <w:rPr>
          <w:rFonts w:ascii="Arial" w:cs="Arial" w:eastAsia="Arial" w:hAnsi="Arial"/>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8"/>
          <w:szCs w:val="18"/>
          <w:color w:val="000000"/>
        </w:rPr>
        <w:t>December 31, 2020</w:t>
      </w:r>
      <w:r>
        <w:rPr>
          <w:rFonts w:ascii="Arial" w:cs="Arial" w:eastAsia="Arial" w:hAnsi="Arial"/>
          <w:sz w:val="18"/>
          <w:szCs w:val="18"/>
          <w:color w:val="231F20"/>
        </w:rPr>
        <w:t xml:space="preserve">, based on their level within the fair value hierarchy defined in ASC 820; and indicate the maturities of contracts at </w:t>
      </w:r>
      <w:r>
        <w:rPr>
          <w:rFonts w:ascii="Arial" w:cs="Arial" w:eastAsia="Arial" w:hAnsi="Arial"/>
          <w:sz w:val="18"/>
          <w:szCs w:val="18"/>
          <w:color w:val="000000"/>
        </w:rPr>
        <w:t>December 31, 2020</w:t>
      </w:r>
      <w:r>
        <w:rPr>
          <w:rFonts w:ascii="Arial" w:cs="Arial" w:eastAsia="Arial" w:hAnsi="Arial"/>
          <w:sz w:val="18"/>
          <w:szCs w:val="18"/>
          <w:color w:val="231F20"/>
        </w:rPr>
        <w:t xml:space="preserve">. For a full discussion of the Company's valuation methodology of its contracts, see </w:t>
      </w:r>
      <w:r>
        <w:rPr>
          <w:rFonts w:ascii="Arial" w:cs="Arial" w:eastAsia="Arial" w:hAnsi="Arial"/>
          <w:sz w:val="18"/>
          <w:szCs w:val="18"/>
          <w:i w:val="1"/>
          <w:iCs w:val="1"/>
          <w:color w:val="231F20"/>
        </w:rPr>
        <w:t>Derivative Fair Value Measurements</w:t>
      </w:r>
      <w:r>
        <w:rPr>
          <w:rFonts w:ascii="Arial" w:cs="Arial" w:eastAsia="Arial" w:hAnsi="Arial"/>
          <w:sz w:val="18"/>
          <w:szCs w:val="18"/>
          <w:color w:val="231F20"/>
        </w:rPr>
        <w:t xml:space="preserve"> in Item 15 </w:t>
      </w:r>
      <w:r>
        <w:rPr>
          <w:rFonts w:ascii="Arial" w:cs="Arial" w:eastAsia="Arial" w:hAnsi="Arial"/>
          <w:sz w:val="18"/>
          <w:szCs w:val="18"/>
          <w:color w:val="000000"/>
        </w:rPr>
        <w:t>— Note 6</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Derivative Activity (Losses)/Gains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contracts as of December 31, 2019</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80" w:type="dxa"/>
            <w:vAlign w:val="bottom"/>
            <w:gridSpan w:val="3"/>
          </w:tcPr>
          <w:p>
            <w:pPr>
              <w:ind w:left="200"/>
              <w:spacing w:after="0"/>
              <w:rPr>
                <w:sz w:val="20"/>
                <w:szCs w:val="20"/>
                <w:color w:val="auto"/>
              </w:rPr>
            </w:pPr>
            <w:r>
              <w:rPr>
                <w:rFonts w:ascii="Arial" w:cs="Arial" w:eastAsia="Arial" w:hAnsi="Arial"/>
                <w:sz w:val="18"/>
                <w:szCs w:val="18"/>
                <w:color w:val="auto"/>
                <w:w w:val="97"/>
              </w:rPr>
              <w:t>Contracts realized or otherwise settled during the period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Contracts added during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8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contracts as of December 31, 2020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Fair value of contracts as of December 31, 2020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Hierarchy (Losses)/Gains</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 Year or Less</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Greater Than</w:t>
            </w: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6"/>
              </w:rPr>
              <w:t>Greater Than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Total 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gridSpan w:val="3"/>
          </w:tcPr>
          <w:p>
            <w:pPr>
              <w:jc w:val="center"/>
              <w:ind w:right="160"/>
              <w:spacing w:after="0" w:line="125" w:lineRule="exact"/>
              <w:rPr>
                <w:sz w:val="20"/>
                <w:szCs w:val="20"/>
                <w:color w:val="auto"/>
              </w:rPr>
            </w:pPr>
            <w:r>
              <w:rPr>
                <w:rFonts w:ascii="Arial" w:cs="Arial" w:eastAsia="Arial" w:hAnsi="Arial"/>
                <w:sz w:val="14"/>
                <w:szCs w:val="14"/>
                <w:b w:val="1"/>
                <w:bCs w:val="1"/>
                <w:color w:val="auto"/>
                <w:w w:val="92"/>
              </w:rPr>
              <w:t>1 Year to 3 Years</w:t>
            </w:r>
          </w:p>
        </w:tc>
        <w:tc>
          <w:tcPr>
            <w:tcW w:w="134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89"/>
              </w:rPr>
              <w:t>3 Years to 5 Years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8"/>
              </w:rPr>
              <w:t>5 Years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35"/>
              <w:spacing w:after="0" w:line="125" w:lineRule="exact"/>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CCEEFF"/>
            </w:tcBorders>
            <w:shd w:val="clear" w:color="auto" w:fill="CCEEFF"/>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-Commodity Price Risk,</w:t>
      </w:r>
      <w:r>
        <w:rPr>
          <w:rFonts w:ascii="Arial" w:cs="Arial" w:eastAsia="Arial" w:hAnsi="Arial"/>
          <w:sz w:val="16"/>
          <w:szCs w:val="16"/>
          <w:color w:val="231F20"/>
        </w:rPr>
        <w:t xml:space="preserve"> the Company </w:t>
      </w:r>
      <w:r>
        <w:rPr>
          <w:rFonts w:ascii="Arial" w:cs="Arial" w:eastAsia="Arial" w:hAnsi="Arial"/>
          <w:sz w:val="16"/>
          <w:szCs w:val="16"/>
          <w:color w:val="000000"/>
        </w:rPr>
        <w:t>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206"/>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7"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208"/>
        <w:spacing w:after="0" w:line="257" w:lineRule="auto"/>
        <w:rPr>
          <w:sz w:val="20"/>
          <w:szCs w:val="20"/>
          <w:color w:val="auto"/>
        </w:rPr>
      </w:pPr>
      <w:r>
        <w:rPr>
          <w:rFonts w:ascii="Arial" w:cs="Arial" w:eastAsia="Arial" w:hAnsi="Arial"/>
          <w:sz w:val="18"/>
          <w:szCs w:val="18"/>
          <w:color w:val="auto"/>
        </w:rPr>
        <w:t xml:space="preserve">The Company's significant accounting policies are summarized in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Accounting Policy</w:t>
            </w:r>
          </w:p>
        </w:tc>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Judgments/Uncertainties Affecting Application</w:t>
            </w: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317"/>
        </w:trPr>
        <w:tc>
          <w:tcPr>
            <w:tcW w:w="5960" w:type="dxa"/>
            <w:vAlign w:val="bottom"/>
            <w:gridSpan w:val="2"/>
          </w:tcPr>
          <w:p>
            <w:pPr>
              <w:spacing w:after="0"/>
              <w:rPr>
                <w:sz w:val="20"/>
                <w:szCs w:val="20"/>
                <w:color w:val="auto"/>
              </w:rPr>
            </w:pPr>
            <w:r>
              <w:rPr>
                <w:rFonts w:ascii="Arial" w:cs="Arial" w:eastAsia="Arial" w:hAnsi="Arial"/>
                <w:sz w:val="18"/>
                <w:szCs w:val="18"/>
                <w:color w:val="auto"/>
              </w:rPr>
              <w:t>Impairment of Long Lived Assets</w:t>
            </w:r>
          </w:p>
        </w:tc>
        <w:tc>
          <w:tcPr>
            <w:tcW w:w="5240" w:type="dxa"/>
            <w:vAlign w:val="bottom"/>
          </w:tcPr>
          <w:p>
            <w:pPr>
              <w:ind w:left="20"/>
              <w:spacing w:after="0"/>
              <w:rPr>
                <w:sz w:val="20"/>
                <w:szCs w:val="20"/>
                <w:color w:val="auto"/>
              </w:rPr>
            </w:pPr>
            <w:r>
              <w:rPr>
                <w:rFonts w:ascii="Arial" w:cs="Arial" w:eastAsia="Arial" w:hAnsi="Arial"/>
                <w:sz w:val="18"/>
                <w:szCs w:val="18"/>
                <w:color w:val="auto"/>
              </w:rPr>
              <w:t>Recoverability of investments through future operations</w:t>
            </w:r>
          </w:p>
        </w:tc>
      </w:tr>
      <w:tr>
        <w:trPr>
          <w:trHeight w:val="229"/>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Regulatory and political environments and requirements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Estimated useful lives of assets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Operational limitations and environmental obligations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Estimates of future cash flows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Estimates of fair value</w:t>
            </w:r>
          </w:p>
        </w:tc>
      </w:tr>
      <w:tr>
        <w:trPr>
          <w:trHeight w:val="229"/>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Judgment about triggering events</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Acquisition Accounting</w:t>
            </w:r>
          </w:p>
        </w:tc>
        <w:tc>
          <w:tcPr>
            <w:tcW w:w="5240" w:type="dxa"/>
            <w:vAlign w:val="bottom"/>
          </w:tcPr>
          <w:p>
            <w:pPr>
              <w:ind w:left="20"/>
              <w:spacing w:after="0"/>
              <w:rPr>
                <w:sz w:val="20"/>
                <w:szCs w:val="20"/>
                <w:color w:val="auto"/>
              </w:rPr>
            </w:pPr>
            <w:r>
              <w:rPr>
                <w:rFonts w:ascii="Arial" w:cs="Arial" w:eastAsia="Arial" w:hAnsi="Arial"/>
                <w:sz w:val="18"/>
                <w:szCs w:val="18"/>
                <w:color w:val="auto"/>
              </w:rPr>
              <w:t>Identification of assets acquired</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Inputs for fair values of assets and liabilities acquired</w:t>
            </w:r>
          </w:p>
        </w:tc>
      </w:tr>
      <w:tr>
        <w:trPr>
          <w:trHeight w:val="230"/>
        </w:trPr>
        <w:tc>
          <w:tcPr>
            <w:tcW w:w="1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Application of appropriate fair value methodologies</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Assets for Impairment and Other-Than-Temporary Decline in Value</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or ASC 360, property, plant and equipment and certain intangible assets are evaluated for impairment whenever indicators of impairment exist. Examples of such indicators or events are:</w:t>
      </w:r>
    </w:p>
    <w:p>
      <w:pPr>
        <w:spacing w:after="0" w:line="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decrease in the market price of a long-lived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adverse change in the manner an asset is being used or its physical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business climate;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Accumulation of costs significantly in excess of the amount originally expected for the construction or acquisition of an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Current-period loss combined with a history of losses or the projection of future losses;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in the Company's intent about an asset from an intent to hold to a greater than 50% likelihood that an asset will be sold or disposed of before the end of its previously estimated useful life.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60" w:name="page61"/>
    <w:bookmarkEnd w:id="60"/>
    <w:p>
      <w:pPr>
        <w:jc w:val="both"/>
        <w:ind w:firstLine="445"/>
        <w:spacing w:after="0" w:line="290" w:lineRule="auto"/>
        <w:rPr>
          <w:sz w:val="20"/>
          <w:szCs w:val="20"/>
          <w:color w:val="auto"/>
        </w:rPr>
      </w:pPr>
      <w:r>
        <w:rPr>
          <w:rFonts w:ascii="Arial" w:cs="Arial" w:eastAsia="Arial" w:hAnsi="Arial"/>
          <w:sz w:val="16"/>
          <w:szCs w:val="16"/>
          <w:color w:val="auto"/>
        </w:rPr>
        <w:t>Recoverability of assets to be held and used is measured by a comparison of the carrying amount of the assets to the future net cash flows expected to be generated by the asset, considering project specific assumptions for long-term energy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11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Annually, during the fourth quarter, the Company revises its views of energy prices, including the Company's long-term view of power prices, which is primarily informed by present conditions, forecasted generation and operating and capital expenditures, in connection with the preparation of its annual budget.</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recorded certain long-lived asset impairments in 2020, as described below and in Item 15 — Note 9, Asset Impairments, to the Consolidated Financial Statements, with respect to several wind projects.</w:t>
      </w:r>
    </w:p>
    <w:p>
      <w:pPr>
        <w:spacing w:after="0" w:line="11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During the fourth quarter of 2020 in the preparation and review of its annual budget, the Company updated its long-term estimates of operating and capital expenditures and revised its assessment of long-term merchant power prices which was primarily informed by present conditions and does not contemplate future policy changes which could impact renewable energy power prices. As a result, the Company updated its estimated future cash flows and determined that the future cash flows for several wind projects within the Renewables segment no longer supported the recoverability of the related long-lived asset. As such, the Company recorded an impairment loss of $24 million, which primarily relates to property, plant, and equipment to reflect the assets at fair market value. The fair value of the facilities were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12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 xml:space="preserve">The Company is also required to evaluate its equity method investments to determine whether or not they are impaired. ASC 323, </w:t>
      </w:r>
      <w:r>
        <w:rPr>
          <w:rFonts w:ascii="Arial" w:cs="Arial" w:eastAsia="Arial" w:hAnsi="Arial"/>
          <w:sz w:val="17"/>
          <w:szCs w:val="17"/>
          <w:i w:val="1"/>
          <w:iCs w:val="1"/>
          <w:color w:val="auto"/>
        </w:rPr>
        <w:t>Investments -</w:t>
      </w:r>
      <w:r>
        <w:rPr>
          <w:rFonts w:ascii="Arial" w:cs="Arial" w:eastAsia="Arial" w:hAnsi="Arial"/>
          <w:sz w:val="17"/>
          <w:szCs w:val="17"/>
          <w:color w:val="auto"/>
        </w:rPr>
        <w:t xml:space="preserve"> </w:t>
      </w:r>
      <w:r>
        <w:rPr>
          <w:rFonts w:ascii="Arial" w:cs="Arial" w:eastAsia="Arial" w:hAnsi="Arial"/>
          <w:sz w:val="17"/>
          <w:szCs w:val="17"/>
          <w:i w:val="1"/>
          <w:iCs w:val="1"/>
          <w:color w:val="auto"/>
        </w:rPr>
        <w:t>Equity Method and Joint Ventures</w:t>
      </w:r>
      <w:r>
        <w:rPr>
          <w:rFonts w:ascii="Arial" w:cs="Arial" w:eastAsia="Arial" w:hAnsi="Arial"/>
          <w:sz w:val="17"/>
          <w:szCs w:val="17"/>
          <w:color w:val="auto"/>
        </w:rPr>
        <w:t>, or ASC 323, provides the accounting requirements for these investments. The standard for determining whether an</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 During the fourth quarter of 2020, as the Company updated its estimated cash flows in connection with the preparation and review of the Company's annual budget, the Company determined that there was a significant decrease in the estimated future cash flows for its equity method investment in San Juan Mesa, a facility in the Renewables segment. The decrease in the forecasted cash flows which is primarily driven by a decline in forecasted revenue in future merchant periods, is significant enough to be considered an indication of a decline in value of the investment that is not temporary. The Company concluded there was an other-than-temporary impairment of its investment and recorded an impairment loss of $8 million to reflect the investment at fair market value.</w:t>
      </w:r>
    </w:p>
    <w:p>
      <w:pPr>
        <w:spacing w:after="0" w:line="13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Certain of the Company’s projects have useful lives that extend well beyond the contract period and therefore, management’s view of long-term energy prices in the post-contract periods may have a significant impact on the expected future cash flows for these projects. Accordingly, if management lowers its view of long-term energy prices in certain markets, it is possible that some of the Company’s other long-lived assets may be impaired.</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 xml:space="preserve">The Company applies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fair value. As further described in Item 15 -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the Company recorded the assets acquired in the acquisitions of Langford and the DGPV Holdco Entities at GIP's basis which was fair value.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jc w:val="both"/>
        <w:ind w:firstLine="445"/>
        <w:spacing w:after="0" w:line="271" w:lineRule="auto"/>
        <w:rPr>
          <w:sz w:val="20"/>
          <w:szCs w:val="20"/>
          <w:color w:val="auto"/>
        </w:rPr>
      </w:pPr>
      <w:r>
        <w:rPr>
          <w:rFonts w:ascii="Arial" w:cs="Arial" w:eastAsia="Arial" w:hAnsi="Arial"/>
          <w:sz w:val="17"/>
          <w:szCs w:val="17"/>
          <w:color w:val="auto"/>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See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5" w:lineRule="exact"/>
        <w:rPr>
          <w:sz w:val="20"/>
          <w:szCs w:val="20"/>
          <w:color w:val="auto"/>
        </w:rPr>
      </w:pPr>
    </w:p>
    <w:p>
      <w:pPr>
        <w:ind w:right="220" w:firstLine="177"/>
        <w:spacing w:after="0" w:line="263" w:lineRule="auto"/>
        <w:rPr>
          <w:sz w:val="20"/>
          <w:szCs w:val="20"/>
          <w:color w:val="auto"/>
        </w:rPr>
      </w:pPr>
      <w:r>
        <w:rPr>
          <w:rFonts w:ascii="Arial" w:cs="Arial" w:eastAsia="Arial" w:hAnsi="Arial"/>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203"/>
        <w:spacing w:after="0" w:line="275" w:lineRule="auto"/>
        <w:rPr>
          <w:sz w:val="20"/>
          <w:szCs w:val="20"/>
          <w:color w:val="auto"/>
        </w:rPr>
      </w:pPr>
      <w:r>
        <w:rPr>
          <w:rFonts w:ascii="Arial" w:cs="Arial" w:eastAsia="Arial" w:hAnsi="Arial"/>
          <w:sz w:val="17"/>
          <w:szCs w:val="17"/>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7"/>
          <w:szCs w:val="17"/>
          <w:color w:val="000000"/>
        </w:rPr>
        <w:t>Note 7</w:t>
      </w:r>
      <w:r>
        <w:rPr>
          <w:rFonts w:ascii="Arial" w:cs="Arial" w:eastAsia="Arial" w:hAnsi="Arial"/>
          <w:sz w:val="17"/>
          <w:szCs w:val="17"/>
          <w:color w:val="231F20"/>
        </w:rPr>
        <w:t xml:space="preserve">, </w:t>
      </w:r>
      <w:r>
        <w:rPr>
          <w:rFonts w:ascii="Arial" w:cs="Arial" w:eastAsia="Arial" w:hAnsi="Arial"/>
          <w:sz w:val="17"/>
          <w:szCs w:val="17"/>
          <w:i w:val="1"/>
          <w:iCs w:val="1"/>
          <w:color w:val="000000"/>
        </w:rPr>
        <w:t>Accounting for Derivative Instruments and Hedging Activities</w:t>
      </w:r>
      <w:r>
        <w:rPr>
          <w:rFonts w:ascii="Arial" w:cs="Arial" w:eastAsia="Arial" w:hAnsi="Arial"/>
          <w:sz w:val="17"/>
          <w:szCs w:val="17"/>
          <w:color w:val="231F20"/>
        </w:rPr>
        <w:t>, to the Consolidated Financial Statements for more information.</w:t>
      </w:r>
    </w:p>
    <w:p>
      <w:pPr>
        <w:spacing w:after="0" w:line="122" w:lineRule="exact"/>
        <w:rPr>
          <w:sz w:val="20"/>
          <w:szCs w:val="20"/>
          <w:color w:val="auto"/>
        </w:rPr>
      </w:pPr>
    </w:p>
    <w:p>
      <w:pPr>
        <w:jc w:val="both"/>
        <w:ind w:firstLine="244"/>
        <w:spacing w:after="0" w:line="257"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decrease in natural gas prices across the term of the derivative contracts would cause no change to the net value of natural gas derivatives, and an increase of $0.50 MMBtu in natural gas prices across the term of the derivative contracts would cause an increase of approximately $1 million to the net value of natural gas derivatives as of </w:t>
      </w:r>
      <w:r>
        <w:rPr>
          <w:rFonts w:ascii="Arial" w:cs="Arial" w:eastAsia="Arial" w:hAnsi="Arial"/>
          <w:sz w:val="18"/>
          <w:szCs w:val="18"/>
          <w:color w:val="000000"/>
        </w:rPr>
        <w:t>December 31, 2020</w:t>
      </w:r>
      <w:r>
        <w:rPr>
          <w:rFonts w:ascii="Arial" w:cs="Arial" w:eastAsia="Arial" w:hAnsi="Arial"/>
          <w:sz w:val="18"/>
          <w:szCs w:val="18"/>
          <w:color w:val="231F20"/>
        </w:rPr>
        <w:t>. The impact of a $0.50 per MWh increase or decrease in power prices across the term of the derivative contracts would cause a change of approximately $3 million to the net value of power derivatives as of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279"/>
        <w:spacing w:after="0" w:line="257" w:lineRule="auto"/>
        <w:rPr>
          <w:sz w:val="20"/>
          <w:szCs w:val="20"/>
          <w:color w:val="auto"/>
        </w:rPr>
      </w:pPr>
      <w:r>
        <w:rPr>
          <w:rFonts w:ascii="Arial" w:cs="Arial" w:eastAsia="Arial" w:hAnsi="Arial"/>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Accounting for Derivative Instruments and Hedging Activities</w:t>
      </w:r>
      <w:r>
        <w:rPr>
          <w:rFonts w:ascii="Arial" w:cs="Arial" w:eastAsia="Arial" w:hAnsi="Arial"/>
          <w:sz w:val="18"/>
          <w:szCs w:val="18"/>
          <w:color w:val="231F20"/>
        </w:rPr>
        <w:t>, to the Consolidated Financial Statements for more information.</w:t>
      </w:r>
    </w:p>
    <w:p>
      <w:pPr>
        <w:spacing w:after="0" w:line="134" w:lineRule="exact"/>
        <w:rPr>
          <w:sz w:val="20"/>
          <w:szCs w:val="20"/>
          <w:color w:val="auto"/>
        </w:rPr>
      </w:pPr>
    </w:p>
    <w:p>
      <w:pPr>
        <w:jc w:val="both"/>
        <w:ind w:right="20" w:firstLine="258"/>
        <w:spacing w:after="0" w:line="263"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8"/>
          <w:szCs w:val="18"/>
          <w:color w:val="000000"/>
        </w:rPr>
        <w:t>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to the Consolidated Financial Statements for more information about interest rate swaps of the Company's project subsidiaries.</w:t>
      </w:r>
    </w:p>
    <w:p>
      <w:pPr>
        <w:spacing w:after="0" w:line="130" w:lineRule="exact"/>
        <w:rPr>
          <w:sz w:val="20"/>
          <w:szCs w:val="20"/>
          <w:color w:val="auto"/>
        </w:rPr>
      </w:pPr>
    </w:p>
    <w:p>
      <w:pPr>
        <w:jc w:val="both"/>
        <w:ind w:firstLine="215"/>
        <w:spacing w:after="0" w:line="263" w:lineRule="auto"/>
        <w:rPr>
          <w:sz w:val="20"/>
          <w:szCs w:val="20"/>
          <w:color w:val="auto"/>
        </w:rPr>
      </w:pPr>
      <w:r>
        <w:rPr>
          <w:rFonts w:ascii="Arial" w:cs="Arial" w:eastAsia="Arial" w:hAnsi="Arial"/>
          <w:sz w:val="18"/>
          <w:szCs w:val="18"/>
          <w:color w:val="231F20"/>
        </w:rPr>
        <w:t xml:space="preserve">If all of the above swaps had been discontinued on </w:t>
      </w:r>
      <w:r>
        <w:rPr>
          <w:rFonts w:ascii="Arial" w:cs="Arial" w:eastAsia="Arial" w:hAnsi="Arial"/>
          <w:sz w:val="18"/>
          <w:szCs w:val="18"/>
          <w:color w:val="000000"/>
        </w:rPr>
        <w:t>December 31, 2020</w:t>
      </w:r>
      <w:r>
        <w:rPr>
          <w:rFonts w:ascii="Arial" w:cs="Arial" w:eastAsia="Arial" w:hAnsi="Arial"/>
          <w:sz w:val="18"/>
          <w:szCs w:val="18"/>
          <w:color w:val="231F20"/>
        </w:rPr>
        <w:t>, the Company would have owed the counterparties $134 million.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jc w:val="both"/>
        <w:ind w:right="20" w:firstLine="205"/>
        <w:spacing w:after="0" w:line="342" w:lineRule="auto"/>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December 31,</w:t>
      </w:r>
      <w:r>
        <w:rPr>
          <w:rFonts w:ascii="Arial" w:cs="Arial" w:eastAsia="Arial" w:hAnsi="Arial"/>
          <w:sz w:val="16"/>
          <w:szCs w:val="16"/>
          <w:color w:val="231F20"/>
        </w:rPr>
        <w:t xml:space="preserve"> </w:t>
      </w:r>
      <w:r>
        <w:rPr>
          <w:rFonts w:ascii="Arial" w:cs="Arial" w:eastAsia="Arial" w:hAnsi="Arial"/>
          <w:sz w:val="16"/>
          <w:szCs w:val="16"/>
          <w:color w:val="000000"/>
        </w:rPr>
        <w:t>2020</w:t>
      </w:r>
      <w:r>
        <w:rPr>
          <w:rFonts w:ascii="Arial" w:cs="Arial" w:eastAsia="Arial" w:hAnsi="Arial"/>
          <w:sz w:val="16"/>
          <w:szCs w:val="16"/>
          <w:color w:val="231F20"/>
        </w:rPr>
        <w:t>, a 1% change in interest rates would result in an approximately $1 million change in interest expense on a rolling twelve-month basis.</w:t>
      </w:r>
    </w:p>
    <w:p>
      <w:pPr>
        <w:spacing w:after="0" w:line="70" w:lineRule="exact"/>
        <w:rPr>
          <w:sz w:val="20"/>
          <w:szCs w:val="20"/>
          <w:color w:val="auto"/>
        </w:rPr>
      </w:pPr>
    </w:p>
    <w:p>
      <w:pPr>
        <w:jc w:val="both"/>
        <w:ind w:firstLine="188"/>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2020</w:t>
      </w:r>
      <w:r>
        <w:rPr>
          <w:rFonts w:ascii="Arial" w:cs="Arial" w:eastAsia="Arial" w:hAnsi="Arial"/>
          <w:sz w:val="18"/>
          <w:szCs w:val="18"/>
          <w:color w:val="231F20"/>
        </w:rPr>
        <w:t>, the fair value of the Company's debt was $7,021 million and the carrying value was $7,049 million. The Company estimates that a 1% decrease in market interest rates would have increased the fair value of its long-term debt by $412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8"/>
          <w:szCs w:val="18"/>
          <w:color w:val="000000"/>
        </w:rPr>
        <w:t>Note 6</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statements and schedules are listed in Part IV, Item 15 of this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9"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 and Internal Control Over Financial Reporting</w:t>
      </w:r>
    </w:p>
    <w:p>
      <w:pPr>
        <w:spacing w:after="0" w:line="175" w:lineRule="exact"/>
        <w:rPr>
          <w:sz w:val="20"/>
          <w:szCs w:val="20"/>
          <w:color w:val="auto"/>
        </w:rPr>
      </w:pPr>
    </w:p>
    <w:p>
      <w:pPr>
        <w:jc w:val="both"/>
        <w:ind w:firstLine="206"/>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December 31, 2020, that materially affected, or are reasonably likely to materially affect, the Company’s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175" w:lineRule="exact"/>
        <w:rPr>
          <w:sz w:val="20"/>
          <w:szCs w:val="20"/>
          <w:color w:val="auto"/>
        </w:rPr>
      </w:pPr>
    </w:p>
    <w:p>
      <w:pPr>
        <w:jc w:val="both"/>
        <w:ind w:firstLine="214"/>
        <w:spacing w:after="0" w:line="263"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130" w:lineRule="exact"/>
        <w:rPr>
          <w:sz w:val="20"/>
          <w:szCs w:val="20"/>
          <w:color w:val="auto"/>
        </w:rPr>
      </w:pPr>
    </w:p>
    <w:p>
      <w:pPr>
        <w:ind w:left="620" w:hanging="207"/>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156" w:lineRule="exact"/>
        <w:rPr>
          <w:rFonts w:ascii="Arial" w:cs="Arial" w:eastAsia="Arial" w:hAnsi="Arial"/>
          <w:sz w:val="16"/>
          <w:szCs w:val="16"/>
          <w:color w:val="auto"/>
        </w:rPr>
      </w:pPr>
    </w:p>
    <w:p>
      <w:pPr>
        <w:jc w:val="both"/>
        <w:ind w:right="20" w:firstLine="413"/>
        <w:spacing w:after="0" w:line="342" w:lineRule="auto"/>
        <w:tabs>
          <w:tab w:leader="none" w:pos="5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69" w:lineRule="exact"/>
        <w:rPr>
          <w:rFonts w:ascii="Arial" w:cs="Arial" w:eastAsia="Arial" w:hAnsi="Arial"/>
          <w:sz w:val="16"/>
          <w:szCs w:val="16"/>
          <w:color w:val="auto"/>
        </w:rPr>
      </w:pPr>
    </w:p>
    <w:p>
      <w:pPr>
        <w:ind w:firstLine="413"/>
        <w:spacing w:after="0" w:line="277" w:lineRule="auto"/>
        <w:tabs>
          <w:tab w:leader="none" w:pos="5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16" w:lineRule="exact"/>
        <w:rPr>
          <w:sz w:val="20"/>
          <w:szCs w:val="20"/>
          <w:color w:val="auto"/>
        </w:rPr>
      </w:pPr>
    </w:p>
    <w:p>
      <w:pPr>
        <w:jc w:val="both"/>
        <w:ind w:firstLine="192"/>
        <w:spacing w:after="0" w:line="257"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right="20" w:firstLine="186"/>
        <w:spacing w:after="0" w:line="273"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the Company's evaluation under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the Company's management concluded that its internal control over financial reporting was effective as of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175" w:lineRule="exact"/>
        <w:rPr>
          <w:sz w:val="20"/>
          <w:szCs w:val="20"/>
          <w:color w:val="auto"/>
        </w:rPr>
      </w:pPr>
    </w:p>
    <w:p>
      <w:pPr>
        <w:jc w:val="both"/>
        <w:ind w:firstLine="179"/>
        <w:spacing w:after="0" w:line="257" w:lineRule="auto"/>
        <w:rPr>
          <w:sz w:val="20"/>
          <w:szCs w:val="20"/>
          <w:color w:val="auto"/>
        </w:rPr>
      </w:pPr>
      <w:r>
        <w:rPr>
          <w:rFonts w:ascii="Arial" w:cs="Arial" w:eastAsia="Arial" w:hAnsi="Arial"/>
          <w:sz w:val="18"/>
          <w:szCs w:val="18"/>
          <w:color w:val="auto"/>
        </w:rPr>
        <w:t>The Company is a limited liability company that is managed by Clearway, Inc., as its sole managing member. As a limited liability company managed by Clearway, Inc., the Company does not have a board of directors. References herein to the Company's board of directors are references to the board of directors (the “Board”) of Clearway, Inc. Pursuant to the Fourth Amended and Restated Limited Liability Company Agreement of the Company, Clearway, Inc. has appointed officers of the Company and designated certain of such officers as “Executive Officers.” These executive officers are the same as the executive officers of Clearway, Inc.</w:t>
      </w:r>
    </w:p>
    <w:p>
      <w:pPr>
        <w:spacing w:after="0" w:line="134"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8"/>
          <w:szCs w:val="18"/>
          <w:color w:val="auto"/>
        </w:rPr>
        <w:t>The following table shows information for the Company's executive officers. Executive officers serve until their successors are duly appointed or elected.</w:t>
      </w:r>
    </w:p>
    <w:p>
      <w:pPr>
        <w:spacing w:after="0" w:line="157"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1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w w:val="92"/>
              </w:rPr>
              <w:t>Age</w:t>
            </w:r>
          </w:p>
        </w:tc>
        <w:tc>
          <w:tcPr>
            <w:tcW w:w="7280" w:type="dxa"/>
            <w:vAlign w:val="bottom"/>
            <w:tcBorders>
              <w:bottom w:val="single" w:sz="8" w:color="auto"/>
            </w:tcBorders>
          </w:tcPr>
          <w:p>
            <w:pPr>
              <w:ind w:left="3580"/>
              <w:spacing w:after="0"/>
              <w:rPr>
                <w:sz w:val="20"/>
                <w:szCs w:val="20"/>
                <w:color w:val="auto"/>
              </w:rPr>
            </w:pPr>
            <w:r>
              <w:rPr>
                <w:rFonts w:ascii="Arial" w:cs="Arial" w:eastAsia="Arial" w:hAnsi="Arial"/>
                <w:sz w:val="16"/>
                <w:szCs w:val="16"/>
                <w:b w:val="1"/>
                <w:bCs w:val="1"/>
                <w:color w:val="auto"/>
              </w:rPr>
              <w:t>Title</w:t>
            </w:r>
          </w:p>
        </w:tc>
      </w:tr>
      <w:tr>
        <w:trPr>
          <w:trHeight w:val="21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Christopher S. Sotos</w:t>
            </w:r>
          </w:p>
        </w:tc>
        <w:tc>
          <w:tcPr>
            <w:tcW w:w="118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89"/>
              </w:rPr>
              <w:t>49</w:t>
            </w:r>
          </w:p>
        </w:tc>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President and Chief Executive Officer</w:t>
            </w:r>
          </w:p>
        </w:tc>
      </w:tr>
      <w:tr>
        <w:trPr>
          <w:trHeight w:val="213"/>
        </w:trPr>
        <w:tc>
          <w:tcPr>
            <w:tcW w:w="2040" w:type="dxa"/>
            <w:vAlign w:val="bottom"/>
          </w:tcPr>
          <w:p>
            <w:pPr>
              <w:spacing w:after="0"/>
              <w:rPr>
                <w:sz w:val="20"/>
                <w:szCs w:val="20"/>
                <w:color w:val="auto"/>
              </w:rPr>
            </w:pPr>
            <w:r>
              <w:rPr>
                <w:rFonts w:ascii="Arial" w:cs="Arial" w:eastAsia="Arial" w:hAnsi="Arial"/>
                <w:sz w:val="16"/>
                <w:szCs w:val="16"/>
                <w:color w:val="auto"/>
              </w:rPr>
              <w:t>Chad Plotkin</w:t>
            </w:r>
          </w:p>
        </w:tc>
        <w:tc>
          <w:tcPr>
            <w:tcW w:w="1180" w:type="dxa"/>
            <w:vAlign w:val="bottom"/>
          </w:tcPr>
          <w:p>
            <w:pPr>
              <w:jc w:val="center"/>
              <w:ind w:left="419"/>
              <w:spacing w:after="0"/>
              <w:rPr>
                <w:sz w:val="20"/>
                <w:szCs w:val="20"/>
                <w:color w:val="auto"/>
              </w:rPr>
            </w:pPr>
            <w:r>
              <w:rPr>
                <w:rFonts w:ascii="Arial" w:cs="Arial" w:eastAsia="Arial" w:hAnsi="Arial"/>
                <w:sz w:val="16"/>
                <w:szCs w:val="16"/>
                <w:color w:val="auto"/>
                <w:w w:val="89"/>
              </w:rPr>
              <w:t>45</w:t>
            </w:r>
          </w:p>
        </w:tc>
        <w:tc>
          <w:tcPr>
            <w:tcW w:w="7280" w:type="dxa"/>
            <w:vAlign w:val="bottom"/>
          </w:tcPr>
          <w:p>
            <w:pPr>
              <w:ind w:left="220"/>
              <w:spacing w:after="0"/>
              <w:rPr>
                <w:sz w:val="20"/>
                <w:szCs w:val="20"/>
                <w:color w:val="auto"/>
              </w:rPr>
            </w:pPr>
            <w:r>
              <w:rPr>
                <w:rFonts w:ascii="Arial" w:cs="Arial" w:eastAsia="Arial" w:hAnsi="Arial"/>
                <w:sz w:val="16"/>
                <w:szCs w:val="16"/>
                <w:color w:val="auto"/>
              </w:rPr>
              <w:t>Senior Vice President and Chief Financial Officer</w:t>
            </w:r>
          </w:p>
        </w:tc>
      </w:tr>
      <w:tr>
        <w:trPr>
          <w:trHeight w:val="219"/>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Kevin P. Malcarney</w:t>
            </w:r>
          </w:p>
        </w:tc>
        <w:tc>
          <w:tcPr>
            <w:tcW w:w="118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89"/>
              </w:rPr>
              <w:t>54</w:t>
            </w:r>
          </w:p>
        </w:tc>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Senior Vice President, General Counsel and Corporate Secretary</w:t>
            </w:r>
          </w:p>
        </w:tc>
      </w:tr>
    </w:tbl>
    <w:p>
      <w:pPr>
        <w:spacing w:after="0" w:line="148"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6"/>
          <w:szCs w:val="16"/>
          <w:i w:val="1"/>
          <w:iCs w:val="1"/>
          <w:color w:val="auto"/>
        </w:rPr>
        <w:t xml:space="preserve">Christopher S. Sotos </w:t>
      </w:r>
      <w:r>
        <w:rPr>
          <w:rFonts w:ascii="Arial" w:cs="Arial" w:eastAsia="Arial" w:hAnsi="Arial"/>
          <w:sz w:val="16"/>
          <w:szCs w:val="16"/>
          <w:color w:val="auto"/>
        </w:rPr>
        <w:t>has served as President and Chief Executive Officer since May 2016, and as a member of the Board of Clearway, Inc.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2013. Mr. Sotos had also served in various 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Board of Clearway, Inc. with management’s perspective regarding the Company’s day to day operations and overall strategic plan. Mr. Sotos also brings strong financial and accounting skills to the Board of Clearway, Inc.</w:t>
      </w:r>
    </w:p>
    <w:p>
      <w:pPr>
        <w:spacing w:after="0" w:line="111" w:lineRule="exact"/>
        <w:rPr>
          <w:sz w:val="20"/>
          <w:szCs w:val="20"/>
          <w:color w:val="auto"/>
        </w:rPr>
      </w:pPr>
    </w:p>
    <w:p>
      <w:pPr>
        <w:jc w:val="both"/>
        <w:ind w:firstLine="277"/>
        <w:spacing w:after="0" w:line="255" w:lineRule="auto"/>
        <w:rPr>
          <w:sz w:val="20"/>
          <w:szCs w:val="20"/>
          <w:color w:val="auto"/>
        </w:rPr>
      </w:pPr>
      <w:r>
        <w:rPr>
          <w:rFonts w:ascii="Arial" w:cs="Arial" w:eastAsia="Arial" w:hAnsi="Arial"/>
          <w:sz w:val="18"/>
          <w:szCs w:val="18"/>
          <w:i w:val="1"/>
          <w:iCs w:val="1"/>
          <w:color w:val="auto"/>
        </w:rPr>
        <w:t xml:space="preserve">Chad Plotkin </w:t>
      </w:r>
      <w:r>
        <w:rPr>
          <w:rFonts w:ascii="Arial" w:cs="Arial" w:eastAsia="Arial" w:hAnsi="Arial"/>
          <w:sz w:val="18"/>
          <w:szCs w:val="18"/>
          <w:color w:val="auto"/>
        </w:rPr>
        <w:t>has served as the Company's Senior Vice President and Chief Financial Officer since November 2016. From January 2016 until his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as Senior Vice President and Chief Financial Officer,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3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i w:val="1"/>
          <w:iCs w:val="1"/>
          <w:color w:val="auto"/>
        </w:rPr>
        <w:t xml:space="preserve">Kevin P. Malcarney </w:t>
      </w:r>
      <w:r>
        <w:rPr>
          <w:rFonts w:ascii="Arial" w:cs="Arial" w:eastAsia="Arial" w:hAnsi="Arial"/>
          <w:sz w:val="18"/>
          <w:szCs w:val="18"/>
          <w:color w:val="auto"/>
        </w:rPr>
        <w:t>has served as Senior Vice President, General Counsel and Corporate Secretary since May 11, 2018. He served as Interim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of the Company from March 16, 2018. Mr. Malcarney was previously Vice President and Deputy General Counsel and served in various other roles at NRG since September 2008. Prior to that, Mr. Malcarney worked at two major law firms in Princeton, New Jersey and Philadelphia, Pennsylvania, and handled mergers and acquisitions, project financing and general corporate matters.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jc w:val="both"/>
        <w:ind w:firstLine="217"/>
        <w:spacing w:after="0" w:line="311" w:lineRule="auto"/>
        <w:rPr>
          <w:sz w:val="20"/>
          <w:szCs w:val="20"/>
          <w:color w:val="auto"/>
        </w:rPr>
      </w:pPr>
      <w:r>
        <w:rPr>
          <w:rFonts w:ascii="Arial" w:cs="Arial" w:eastAsia="Arial" w:hAnsi="Arial"/>
          <w:sz w:val="16"/>
          <w:szCs w:val="16"/>
          <w:color w:val="auto"/>
        </w:rPr>
        <w:t xml:space="preserve">The Company has not adopted a separate code of ethics because all of the officers of the Company are subject to the Code of Conduct adopted by the Board of Clearway, Inc. The Code of Conduct of Clearway, Inc. applies to all of its directors and employees, including its and the Company's officers (e.g., the Company's CEO, CFO, and Principal Accounting Officer). Clearway, Inc.’s Code of Conduct is available on its website, </w:t>
      </w:r>
      <w:r>
        <w:rPr>
          <w:rFonts w:ascii="Arial" w:cs="Arial" w:eastAsia="Arial" w:hAnsi="Arial"/>
          <w:sz w:val="16"/>
          <w:szCs w:val="16"/>
          <w:i w:val="1"/>
          <w:iCs w:val="1"/>
          <w:color w:val="auto"/>
        </w:rPr>
        <w:t>www.clearwayenergy.com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16"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Company's named executive officers are also named executive officers of Clearway, Inc., and the compensation of the named executive officers disclosed herein reflects total compensation for services with respect to Clearway, Inc. and all of its subsidiaries, including the Company. The Compensation Committee of the Board of Clearway, Inc. (the “Compensation Committee”) has reviewed and discussed the Compensation Discussion and Analysis included in this Annual Report on Form 10-K required by Item 402(b) of Regulation S-K with management and, based upon such review and discussion, the Compensation Committee has recommended to the Board that the Compensation Discussion and Analysis be included in this Annual Report on Form 10-K.</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17145</wp:posOffset>
            </wp:positionV>
            <wp:extent cx="64719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71920" cy="14605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Ferrell P. McClean,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64719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71920" cy="14541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R. Ford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64719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71920" cy="14541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Stanley O'Neal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Program</w:t>
      </w:r>
    </w:p>
    <w:p>
      <w:pPr>
        <w:spacing w:after="0" w:line="171" w:lineRule="exact"/>
        <w:rPr>
          <w:sz w:val="20"/>
          <w:szCs w:val="20"/>
          <w:color w:val="auto"/>
        </w:rPr>
      </w:pPr>
    </w:p>
    <w:p>
      <w:pPr>
        <w:jc w:val="both"/>
        <w:ind w:firstLine="298"/>
        <w:spacing w:after="0" w:line="205" w:lineRule="exact"/>
        <w:rPr>
          <w:sz w:val="20"/>
          <w:szCs w:val="20"/>
          <w:color w:val="auto"/>
        </w:rPr>
      </w:pPr>
      <w:r>
        <w:rPr>
          <w:rFonts w:ascii="Arial" w:cs="Arial" w:eastAsia="Arial" w:hAnsi="Arial"/>
          <w:sz w:val="17"/>
          <w:szCs w:val="17"/>
          <w:color w:val="auto"/>
        </w:rPr>
        <w:t>Clearway, Inc. is a publicly</w:t>
      </w:r>
      <w:r>
        <w:rPr>
          <w:rFonts w:ascii="MS PGothic" w:cs="MS PGothic" w:eastAsia="MS PGothic" w:hAnsi="MS PGothic"/>
          <w:sz w:val="17"/>
          <w:szCs w:val="17"/>
          <w:color w:val="auto"/>
        </w:rPr>
        <w:t>‑</w:t>
      </w:r>
      <w:r>
        <w:rPr>
          <w:rFonts w:ascii="Arial" w:cs="Arial" w:eastAsia="Arial" w:hAnsi="Arial"/>
          <w:sz w:val="17"/>
          <w:szCs w:val="17"/>
          <w:color w:val="auto"/>
        </w:rPr>
        <w:t>traded energy infrastructure investor and owner of modern, sustainable and long</w:t>
      </w:r>
      <w:r>
        <w:rPr>
          <w:rFonts w:ascii="MS PGothic" w:cs="MS PGothic" w:eastAsia="MS PGothic" w:hAnsi="MS PGothic"/>
          <w:sz w:val="17"/>
          <w:szCs w:val="17"/>
          <w:color w:val="auto"/>
        </w:rPr>
        <w:t>‑</w:t>
      </w:r>
      <w:r>
        <w:rPr>
          <w:rFonts w:ascii="Arial" w:cs="Arial" w:eastAsia="Arial" w:hAnsi="Arial"/>
          <w:sz w:val="17"/>
          <w:szCs w:val="17"/>
          <w:color w:val="auto"/>
        </w:rPr>
        <w:t>term contracted assets across North America. GIP, through its portfolio company, CEG, holds all of Clearway, Inc.’s Class B common stock and Class D common stock, and thus has the majority voting interest in the Company. This Compensation Discussion and Analysis ( this “CD&amp;A”) describes the philosophy, elements, implementation and results of the Clearway, Inc.'s 2020 executive compensation program as it applies to the executive team. As discussed above, Clearway, Inc.’s named executive officers are also named executive officers of Clearway Energy LLC, and the compensation of the named executive officers (“NEOs”) discussed below reflects total compensation for services with respect to Clearway, Inc. and all of its subsidiaries, including Clearway Energy LLC. In this CD&amp;A, the term “Company,” as well as the terms “our,” “we,” “us” or like terms, are used to refer to Clearway, Inc. and its consolidated subsidiaries, including Clearway Energy LLC and its consolidated subsidiaries.</w:t>
      </w:r>
    </w:p>
    <w:p>
      <w:pPr>
        <w:spacing w:after="0" w:line="1"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6"/>
          <w:szCs w:val="16"/>
          <w:color w:val="auto"/>
        </w:rPr>
        <w:t>The Compensation Committee’s objectives are to design a simple yet competitive program, which is aligned with the interests of our stockholders. This program is designed to align short</w:t>
      </w:r>
      <w:r>
        <w:rPr>
          <w:rFonts w:ascii="MS PGothic" w:cs="MS PGothic" w:eastAsia="MS PGothic" w:hAnsi="MS PGothic"/>
          <w:sz w:val="16"/>
          <w:szCs w:val="16"/>
          <w:color w:val="auto"/>
        </w:rPr>
        <w:t>‑</w:t>
      </w:r>
      <w:r>
        <w:rPr>
          <w:rFonts w:ascii="Arial" w:cs="Arial" w:eastAsia="Arial" w:hAnsi="Arial"/>
          <w:sz w:val="16"/>
          <w:szCs w:val="16"/>
          <w:color w:val="auto"/>
        </w:rPr>
        <w:t>term and long-term compensation with the Company’s annual performance and 3-year total stockholder return (“TSR”), respectively. Our annual incentive program (“AIP”) is based on objective criteria that support the achievement of our short-term objectives, which we believe create long-term shareholder value. Our long-term incentives are comprised of 67% Relative Performance Stock Units (“RPSUs”), which vest based on relative TSR measured over 3 years and 33% Restricted Stock Units (“RSUs”), which vest based on continued service over 3 years. The program incorporates many best practices in compensation design, while being tailored to our business needs and compensation objectives.</w:t>
      </w:r>
    </w:p>
    <w:p>
      <w:pPr>
        <w:spacing w:after="0" w:line="150" w:lineRule="exact"/>
        <w:rPr>
          <w:sz w:val="20"/>
          <w:szCs w:val="20"/>
          <w:color w:val="auto"/>
        </w:rPr>
      </w:pPr>
    </w:p>
    <w:p>
      <w:pPr>
        <w:jc w:val="both"/>
        <w:ind w:firstLine="293"/>
        <w:spacing w:after="0" w:line="286" w:lineRule="auto"/>
        <w:rPr>
          <w:sz w:val="20"/>
          <w:szCs w:val="20"/>
          <w:color w:val="auto"/>
        </w:rPr>
      </w:pPr>
      <w:r>
        <w:rPr>
          <w:rFonts w:ascii="Arial" w:cs="Arial" w:eastAsia="Arial" w:hAnsi="Arial"/>
          <w:sz w:val="17"/>
          <w:szCs w:val="17"/>
          <w:color w:val="auto"/>
        </w:rPr>
        <w:t>In 2020, the Compensation Committee reviewed and did not modify its compensation philosophy behind the compensation program. Thus, NEO compensation continued to be delivered through a mix of (i) base salary, (ii) an annual incentive bonus opportunity under the AIP and (iii) long-term incentive compensation under our Amended and Restated 2013 Equity Incentive Plan (“LTIP”) in the form of RPSUs, and RSUs.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2020 Annual Meeting of Stockholders, we received 99% support for our say on pay proposal. We believe these results demonstrate our stockholders support our pay practices and that our compensation program is aligned with their interests.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Governance Features of Our Executive Compensation Program</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compensation program and practices incorporate several key governance features as highlighted in the table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2"/>
        </w:trPr>
        <w:tc>
          <w:tcPr>
            <w:tcW w:w="5540" w:type="dxa"/>
            <w:vAlign w:val="bottom"/>
          </w:tcPr>
          <w:p>
            <w:pPr>
              <w:ind w:left="2340"/>
              <w:spacing w:after="0"/>
              <w:rPr>
                <w:sz w:val="20"/>
                <w:szCs w:val="20"/>
                <w:color w:val="auto"/>
              </w:rPr>
            </w:pPr>
            <w:r>
              <w:rPr>
                <w:rFonts w:ascii="Arial" w:cs="Arial" w:eastAsia="Arial" w:hAnsi="Arial"/>
                <w:sz w:val="14"/>
                <w:szCs w:val="14"/>
                <w:b w:val="1"/>
                <w:bCs w:val="1"/>
                <w:color w:val="auto"/>
              </w:rPr>
              <w:t>What We Do:</w:t>
            </w:r>
          </w:p>
        </w:tc>
        <w:tc>
          <w:tcPr>
            <w:tcW w:w="5700" w:type="dxa"/>
            <w:vAlign w:val="bottom"/>
          </w:tcPr>
          <w:p>
            <w:pPr>
              <w:ind w:left="2220"/>
              <w:spacing w:after="0"/>
              <w:rPr>
                <w:sz w:val="20"/>
                <w:szCs w:val="20"/>
                <w:color w:val="auto"/>
              </w:rPr>
            </w:pPr>
            <w:r>
              <w:rPr>
                <w:rFonts w:ascii="Arial" w:cs="Arial" w:eastAsia="Arial" w:hAnsi="Arial"/>
                <w:sz w:val="14"/>
                <w:szCs w:val="14"/>
                <w:b w:val="1"/>
                <w:bCs w:val="1"/>
                <w:color w:val="auto"/>
              </w:rPr>
              <w:t>What We Don’t Do:</w:t>
            </w:r>
          </w:p>
        </w:tc>
      </w:tr>
      <w:tr>
        <w:trPr>
          <w:trHeight w:val="182"/>
        </w:trPr>
        <w:tc>
          <w:tcPr>
            <w:tcW w:w="554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   Pay for performance by delivering a substantial majority of our</w:t>
            </w:r>
          </w:p>
        </w:tc>
        <w:tc>
          <w:tcPr>
            <w:tcW w:w="5700" w:type="dxa"/>
            <w:vAlign w:val="bottom"/>
            <w:shd w:val="clear" w:color="auto" w:fill="CCEEFF"/>
          </w:tcPr>
          <w:p>
            <w:pPr>
              <w:ind w:left="300"/>
              <w:spacing w:after="0" w:line="182" w:lineRule="exact"/>
              <w:rPr>
                <w:sz w:val="20"/>
                <w:szCs w:val="20"/>
                <w:color w:val="auto"/>
              </w:rPr>
            </w:pPr>
            <w:r>
              <w:rPr>
                <w:rFonts w:ascii="Arial" w:cs="Arial" w:eastAsia="Arial" w:hAnsi="Arial"/>
                <w:sz w:val="18"/>
                <w:szCs w:val="18"/>
                <w:color w:val="auto"/>
                <w:w w:val="97"/>
              </w:rPr>
              <w:t>•   No excise tax gross</w:t>
            </w:r>
            <w:r>
              <w:rPr>
                <w:rFonts w:ascii="MS PGothic" w:cs="MS PGothic" w:eastAsia="MS PGothic" w:hAnsi="MS PGothic"/>
                <w:sz w:val="18"/>
                <w:szCs w:val="18"/>
                <w:color w:val="auto"/>
                <w:w w:val="97"/>
              </w:rPr>
              <w:t>‑</w:t>
            </w:r>
            <w:r>
              <w:rPr>
                <w:rFonts w:ascii="Arial" w:cs="Arial" w:eastAsia="Arial" w:hAnsi="Arial"/>
                <w:sz w:val="18"/>
                <w:szCs w:val="18"/>
                <w:color w:val="auto"/>
                <w:w w:val="97"/>
              </w:rPr>
              <w:t>ups on change</w:t>
            </w:r>
            <w:r>
              <w:rPr>
                <w:rFonts w:ascii="MS PGothic" w:cs="MS PGothic" w:eastAsia="MS PGothic" w:hAnsi="MS PGothic"/>
                <w:sz w:val="18"/>
                <w:szCs w:val="18"/>
                <w:color w:val="auto"/>
                <w:w w:val="97"/>
              </w:rPr>
              <w:t>‑</w:t>
            </w:r>
            <w:r>
              <w:rPr>
                <w:rFonts w:ascii="Arial" w:cs="Arial" w:eastAsia="Arial" w:hAnsi="Arial"/>
                <w:sz w:val="18"/>
                <w:szCs w:val="18"/>
                <w:color w:val="auto"/>
                <w:w w:val="97"/>
              </w:rPr>
              <w:t>in</w:t>
            </w:r>
            <w:r>
              <w:rPr>
                <w:rFonts w:ascii="MS PGothic" w:cs="MS PGothic" w:eastAsia="MS PGothic" w:hAnsi="MS PGothic"/>
                <w:sz w:val="18"/>
                <w:szCs w:val="18"/>
                <w:color w:val="auto"/>
                <w:w w:val="97"/>
              </w:rPr>
              <w:t>‑</w:t>
            </w:r>
            <w:r>
              <w:rPr>
                <w:rFonts w:ascii="Arial" w:cs="Arial" w:eastAsia="Arial" w:hAnsi="Arial"/>
                <w:sz w:val="18"/>
                <w:szCs w:val="18"/>
                <w:color w:val="auto"/>
                <w:w w:val="97"/>
              </w:rPr>
              <w:t>control payments and no tax</w:t>
            </w:r>
          </w:p>
        </w:tc>
      </w:tr>
      <w:tr>
        <w:trPr>
          <w:trHeight w:val="230"/>
        </w:trPr>
        <w:tc>
          <w:tcPr>
            <w:tcW w:w="5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CEO’s compensation through equity</w:t>
            </w:r>
          </w:p>
        </w:tc>
        <w:tc>
          <w:tcPr>
            <w:tcW w:w="5700" w:type="dxa"/>
            <w:vAlign w:val="bottom"/>
            <w:shd w:val="clear" w:color="auto" w:fill="CCEEFF"/>
          </w:tcPr>
          <w:p>
            <w:pPr>
              <w:ind w:left="620"/>
              <w:spacing w:after="0" w:line="207" w:lineRule="exact"/>
              <w:rPr>
                <w:sz w:val="20"/>
                <w:szCs w:val="20"/>
                <w:color w:val="auto"/>
              </w:rPr>
            </w:pPr>
            <w:r>
              <w:rPr>
                <w:rFonts w:ascii="Arial" w:cs="Arial" w:eastAsia="Arial" w:hAnsi="Arial"/>
                <w:sz w:val="18"/>
                <w:szCs w:val="18"/>
                <w:color w:val="auto"/>
              </w:rPr>
              <w:t>gross</w:t>
            </w:r>
            <w:r>
              <w:rPr>
                <w:rFonts w:ascii="MS PGothic" w:cs="MS PGothic" w:eastAsia="MS PGothic" w:hAnsi="MS PGothic"/>
                <w:sz w:val="18"/>
                <w:szCs w:val="18"/>
                <w:color w:val="auto"/>
              </w:rPr>
              <w:t>‑</w:t>
            </w:r>
            <w:r>
              <w:rPr>
                <w:rFonts w:ascii="Arial" w:cs="Arial" w:eastAsia="Arial" w:hAnsi="Arial"/>
                <w:sz w:val="18"/>
                <w:szCs w:val="18"/>
                <w:color w:val="auto"/>
              </w:rPr>
              <w:t>ups on perquisites or benefits</w:t>
            </w:r>
          </w:p>
        </w:tc>
      </w:tr>
    </w:tbl>
    <w:p>
      <w:pPr>
        <w:ind w:left="660" w:hanging="310"/>
        <w:spacing w:after="0" w:line="22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large majority of our equity compensation for Senior Vice</w:t>
      </w:r>
    </w:p>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18"/>
                <w:szCs w:val="18"/>
                <w:color w:val="auto"/>
              </w:rPr>
            </w:pPr>
          </w:p>
        </w:tc>
        <w:tc>
          <w:tcPr>
            <w:tcW w:w="5040" w:type="dxa"/>
            <w:vAlign w:val="bottom"/>
          </w:tcPr>
          <w:p>
            <w:pPr>
              <w:ind w:left="140"/>
              <w:spacing w:after="0" w:line="207" w:lineRule="exact"/>
              <w:rPr>
                <w:sz w:val="20"/>
                <w:szCs w:val="20"/>
                <w:color w:val="auto"/>
              </w:rPr>
            </w:pPr>
            <w:r>
              <w:rPr>
                <w:rFonts w:ascii="Arial" w:cs="Arial" w:eastAsia="Arial" w:hAnsi="Arial"/>
                <w:sz w:val="18"/>
                <w:szCs w:val="18"/>
                <w:color w:val="auto"/>
              </w:rPr>
              <w:t>Presidents and above is performance</w:t>
            </w:r>
            <w:r>
              <w:rPr>
                <w:rFonts w:ascii="MS PGothic" w:cs="MS PGothic" w:eastAsia="MS PGothic" w:hAnsi="MS PGothic"/>
                <w:sz w:val="18"/>
                <w:szCs w:val="18"/>
                <w:color w:val="auto"/>
              </w:rPr>
              <w:t>‑</w:t>
            </w:r>
            <w:r>
              <w:rPr>
                <w:rFonts w:ascii="Arial" w:cs="Arial" w:eastAsia="Arial" w:hAnsi="Arial"/>
                <w:sz w:val="18"/>
                <w:szCs w:val="18"/>
                <w:color w:val="auto"/>
              </w:rPr>
              <w:t>based</w:t>
            </w:r>
          </w:p>
        </w:tc>
        <w:tc>
          <w:tcPr>
            <w:tcW w:w="5660" w:type="dxa"/>
            <w:vAlign w:val="bottom"/>
            <w:gridSpan w:val="2"/>
          </w:tcPr>
          <w:p>
            <w:pPr>
              <w:ind w:left="260"/>
              <w:spacing w:after="0"/>
              <w:rPr>
                <w:sz w:val="20"/>
                <w:szCs w:val="20"/>
                <w:color w:val="auto"/>
              </w:rPr>
            </w:pPr>
            <w:r>
              <w:rPr>
                <w:rFonts w:ascii="Arial" w:cs="Arial" w:eastAsia="Arial" w:hAnsi="Arial"/>
                <w:sz w:val="18"/>
                <w:szCs w:val="18"/>
                <w:color w:val="auto"/>
                <w:w w:val="94"/>
              </w:rPr>
              <w:t>•   No pledging or hedging of the Company’s stock by NEOs or directors</w:t>
            </w:r>
          </w:p>
        </w:tc>
        <w:tc>
          <w:tcPr>
            <w:tcW w:w="0" w:type="dxa"/>
            <w:vAlign w:val="bottom"/>
          </w:tcPr>
          <w:p>
            <w:pPr>
              <w:spacing w:after="0"/>
              <w:rPr>
                <w:sz w:val="1"/>
                <w:szCs w:val="1"/>
                <w:color w:val="auto"/>
              </w:rPr>
            </w:pPr>
          </w:p>
        </w:tc>
      </w:tr>
      <w:tr>
        <w:trPr>
          <w:trHeight w:val="175"/>
        </w:trPr>
        <w:tc>
          <w:tcPr>
            <w:tcW w:w="5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Target our peer group median for total direct compensation</w:t>
            </w:r>
          </w:p>
        </w:tc>
        <w:tc>
          <w:tcPr>
            <w:tcW w:w="4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w:t>
            </w:r>
          </w:p>
        </w:tc>
        <w:tc>
          <w:tcPr>
            <w:tcW w:w="52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No employment agreements for executive officers with the exception</w:t>
            </w:r>
          </w:p>
        </w:tc>
        <w:tc>
          <w:tcPr>
            <w:tcW w:w="0" w:type="dxa"/>
            <w:vAlign w:val="bottom"/>
          </w:tcPr>
          <w:p>
            <w:pPr>
              <w:spacing w:after="0"/>
              <w:rPr>
                <w:sz w:val="1"/>
                <w:szCs w:val="1"/>
                <w:color w:val="auto"/>
              </w:rPr>
            </w:pPr>
          </w:p>
        </w:tc>
      </w:tr>
      <w:tr>
        <w:trPr>
          <w:trHeight w:val="229"/>
        </w:trPr>
        <w:tc>
          <w:tcPr>
            <w:tcW w:w="540" w:type="dxa"/>
            <w:vAlign w:val="bottom"/>
            <w:vMerge w:val="continue"/>
            <w:shd w:val="clear" w:color="auto" w:fill="CCEEFF"/>
          </w:tcPr>
          <w:p>
            <w:pPr>
              <w:spacing w:after="0"/>
              <w:rPr>
                <w:sz w:val="19"/>
                <w:szCs w:val="19"/>
                <w:color w:val="auto"/>
              </w:rPr>
            </w:pPr>
          </w:p>
        </w:tc>
        <w:tc>
          <w:tcPr>
            <w:tcW w:w="504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our CEO</w:t>
            </w:r>
          </w:p>
        </w:tc>
        <w:tc>
          <w:tcPr>
            <w:tcW w:w="0" w:type="dxa"/>
            <w:vAlign w:val="bottom"/>
          </w:tcPr>
          <w:p>
            <w:pPr>
              <w:spacing w:after="0"/>
              <w:rPr>
                <w:sz w:val="1"/>
                <w:szCs w:val="1"/>
                <w:color w:val="auto"/>
              </w:rPr>
            </w:pPr>
          </w:p>
        </w:tc>
      </w:tr>
      <w:tr>
        <w:trPr>
          <w:trHeight w:val="176"/>
        </w:trPr>
        <w:tc>
          <w:tcPr>
            <w:tcW w:w="540" w:type="dxa"/>
            <w:vAlign w:val="bottom"/>
          </w:tcPr>
          <w:p>
            <w:pPr>
              <w:ind w:left="360"/>
              <w:spacing w:after="0" w:line="176" w:lineRule="exact"/>
              <w:rPr>
                <w:sz w:val="20"/>
                <w:szCs w:val="20"/>
                <w:color w:val="auto"/>
              </w:rPr>
            </w:pPr>
            <w:r>
              <w:rPr>
                <w:rFonts w:ascii="Arial" w:cs="Arial" w:eastAsia="Arial" w:hAnsi="Arial"/>
                <w:sz w:val="18"/>
                <w:szCs w:val="18"/>
                <w:color w:val="auto"/>
              </w:rPr>
              <w:t>•</w:t>
            </w:r>
          </w:p>
        </w:tc>
        <w:tc>
          <w:tcPr>
            <w:tcW w:w="5040" w:type="dxa"/>
            <w:vAlign w:val="bottom"/>
          </w:tcPr>
          <w:p>
            <w:pPr>
              <w:ind w:left="120"/>
              <w:spacing w:after="0" w:line="176" w:lineRule="exact"/>
              <w:rPr>
                <w:sz w:val="20"/>
                <w:szCs w:val="20"/>
                <w:color w:val="auto"/>
              </w:rPr>
            </w:pPr>
            <w:r>
              <w:rPr>
                <w:rFonts w:ascii="Arial" w:cs="Arial" w:eastAsia="Arial" w:hAnsi="Arial"/>
                <w:sz w:val="18"/>
                <w:szCs w:val="18"/>
                <w:color w:val="auto"/>
                <w:w w:val="96"/>
              </w:rPr>
              <w:t>Require a double trigger for the acceleration of equity vesting in</w:t>
            </w:r>
          </w:p>
        </w:tc>
        <w:tc>
          <w:tcPr>
            <w:tcW w:w="46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No guaranteed bonus payments for our NEOs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040" w:type="dxa"/>
            <w:vAlign w:val="bottom"/>
          </w:tcPr>
          <w:p>
            <w:pPr>
              <w:ind w:left="140"/>
              <w:spacing w:after="0" w:line="207" w:lineRule="exact"/>
              <w:rPr>
                <w:sz w:val="20"/>
                <w:szCs w:val="20"/>
                <w:color w:val="auto"/>
              </w:rPr>
            </w:pPr>
            <w:r>
              <w:rPr>
                <w:rFonts w:ascii="Arial" w:cs="Arial" w:eastAsia="Arial" w:hAnsi="Arial"/>
                <w:sz w:val="18"/>
                <w:szCs w:val="18"/>
                <w:color w:val="auto"/>
              </w:rPr>
              <w:t>connection with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w:t>
            </w:r>
          </w:p>
        </w:tc>
        <w:tc>
          <w:tcPr>
            <w:tcW w:w="460" w:type="dxa"/>
            <w:vAlign w:val="bottom"/>
            <w:vMerge w:val="continue"/>
          </w:tcPr>
          <w:p>
            <w:pPr>
              <w:spacing w:after="0"/>
              <w:rPr>
                <w:sz w:val="20"/>
                <w:szCs w:val="20"/>
                <w:color w:val="auto"/>
              </w:rPr>
            </w:pPr>
          </w:p>
        </w:tc>
        <w:tc>
          <w:tcPr>
            <w:tcW w:w="5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660" w:hanging="31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Prevent undue risk taking in our compensation practices and</w:t>
      </w:r>
    </w:p>
    <w:p>
      <w:pPr>
        <w:sectPr>
          <w:pgSz w:w="11900" w:h="16838" w:orient="portrait"/>
          <w:cols w:equalWidth="0" w:num="1">
            <w:col w:w="11240"/>
          </w:cols>
          <w:pgMar w:left="320" w:top="927" w:right="339" w:bottom="1440" w:gutter="0" w:footer="0" w:header="0"/>
        </w:sectPr>
      </w:pPr>
    </w:p>
    <w:p>
      <w:pPr>
        <w:spacing w:after="0" w:line="19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left="20"/>
        <w:spacing w:after="0" w:line="228" w:lineRule="auto"/>
        <w:rPr>
          <w:sz w:val="20"/>
          <w:szCs w:val="20"/>
          <w:color w:val="auto"/>
        </w:rPr>
      </w:pPr>
      <w:r>
        <w:rPr>
          <w:rFonts w:ascii="Arial" w:cs="Arial" w:eastAsia="Arial" w:hAnsi="Arial"/>
          <w:sz w:val="18"/>
          <w:szCs w:val="18"/>
          <w:color w:val="auto"/>
        </w:rPr>
        <w:t>engage in robust risk monitoring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Include clawback policies in our compensation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133350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auto"/>
        <w:rPr>
          <w:sz w:val="20"/>
          <w:szCs w:val="20"/>
          <w:color w:val="auto"/>
        </w:rPr>
      </w:pPr>
      <w:r>
        <w:rPr>
          <w:rFonts w:ascii="Arial" w:cs="Arial" w:eastAsia="Arial" w:hAnsi="Arial"/>
          <w:sz w:val="18"/>
          <w:szCs w:val="18"/>
          <w:color w:val="auto"/>
        </w:rPr>
        <w:t>No supplemental executive retirement plans</w:t>
      </w:r>
    </w:p>
    <w:p>
      <w:pPr>
        <w:spacing w:after="0" w:line="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 re</w:t>
      </w:r>
      <w:r>
        <w:rPr>
          <w:rFonts w:ascii="MS PGothic" w:cs="MS PGothic" w:eastAsia="MS PGothic" w:hAnsi="MS PGothic"/>
          <w:sz w:val="16"/>
          <w:szCs w:val="16"/>
          <w:color w:val="auto"/>
        </w:rPr>
        <w:t>‑</w:t>
      </w:r>
      <w:r>
        <w:rPr>
          <w:rFonts w:ascii="Arial" w:cs="Arial" w:eastAsia="Arial" w:hAnsi="Arial"/>
          <w:sz w:val="16"/>
          <w:szCs w:val="16"/>
          <w:color w:val="auto"/>
        </w:rPr>
        <w:t>pricing of underwater stock options and no stock option grants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with an exercise price below 100% of fair market value</w:t>
      </w:r>
    </w:p>
    <w:p>
      <w:pPr>
        <w:spacing w:after="0" w:line="7" w:lineRule="exact"/>
        <w:rPr>
          <w:sz w:val="20"/>
          <w:szCs w:val="20"/>
          <w:color w:val="auto"/>
        </w:rPr>
      </w:pPr>
    </w:p>
    <w:p>
      <w:pPr>
        <w:sectPr>
          <w:pgSz w:w="11900" w:h="16838" w:orient="portrait"/>
          <w:cols w:equalWidth="0" w:num="4">
            <w:col w:w="420" w:space="240"/>
            <w:col w:w="4460" w:space="720"/>
            <w:col w:w="60" w:space="260"/>
            <w:col w:w="5080"/>
          </w:cols>
          <w:pgMar w:left="320" w:top="927" w:right="339" w:bottom="1440" w:gutter="0" w:footer="0" w:header="0"/>
          <w:type w:val="continuous"/>
        </w:sectPr>
      </w:pPr>
    </w:p>
    <w:p>
      <w:pPr>
        <w:ind w:left="660" w:hanging="31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robust stock ownership guidelines for our NEOs</w:t>
      </w:r>
    </w:p>
    <w:p>
      <w:pPr>
        <w:spacing w:after="0" w:line="22" w:lineRule="exact"/>
        <w:rPr>
          <w:rFonts w:ascii="Arial" w:cs="Arial" w:eastAsia="Arial" w:hAnsi="Arial"/>
          <w:sz w:val="18"/>
          <w:szCs w:val="18"/>
          <w:color w:val="auto"/>
        </w:rPr>
      </w:pPr>
    </w:p>
    <w:p>
      <w:pPr>
        <w:ind w:left="660" w:hanging="310"/>
        <w:spacing w:after="0" w:line="207" w:lineRule="exact"/>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market</w:t>
      </w:r>
      <w:r>
        <w:rPr>
          <w:rFonts w:ascii="MS PGothic" w:cs="MS PGothic" w:eastAsia="MS PGothic" w:hAnsi="MS PGothic"/>
          <w:sz w:val="18"/>
          <w:szCs w:val="18"/>
          <w:color w:val="auto"/>
        </w:rPr>
        <w:t>‑</w:t>
      </w:r>
      <w:r>
        <w:rPr>
          <w:rFonts w:ascii="Arial" w:cs="Arial" w:eastAsia="Arial" w:hAnsi="Arial"/>
          <w:sz w:val="18"/>
          <w:szCs w:val="18"/>
          <w:color w:val="auto"/>
        </w:rPr>
        <w:t>level retirement benefits and limited perquisites</w:t>
      </w:r>
    </w:p>
    <w:p>
      <w:pPr>
        <w:spacing w:after="0" w:line="22" w:lineRule="exact"/>
        <w:rPr>
          <w:rFonts w:ascii="Arial" w:cs="Arial" w:eastAsia="Arial" w:hAnsi="Arial"/>
          <w:sz w:val="18"/>
          <w:szCs w:val="18"/>
          <w:color w:val="auto"/>
        </w:rPr>
      </w:pPr>
    </w:p>
    <w:p>
      <w:pPr>
        <w:jc w:val="both"/>
        <w:ind w:left="680" w:right="5760" w:hanging="330"/>
        <w:spacing w:after="0" w:line="224" w:lineRule="auto"/>
        <w:tabs>
          <w:tab w:leader="none" w:pos="6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an independent compensation consultant to provide advice to the Compensation Committee with respect to our compensation program</w:t>
      </w:r>
    </w:p>
    <w:p>
      <w:pPr>
        <w:ind w:left="660" w:hanging="31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Conduct an annual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32320" cy="3689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 and Company Performance</w:t>
      </w:r>
    </w:p>
    <w:p>
      <w:pPr>
        <w:spacing w:after="0" w:line="17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Company’s primary business strategy is to focus on the acquisition and ownership of assets with predictable, long</w:t>
      </w:r>
      <w:r>
        <w:rPr>
          <w:rFonts w:ascii="MS PGothic" w:cs="MS PGothic" w:eastAsia="MS PGothic" w:hAnsi="MS PGothic"/>
          <w:sz w:val="17"/>
          <w:szCs w:val="17"/>
          <w:color w:val="auto"/>
        </w:rPr>
        <w:t>‑</w:t>
      </w:r>
      <w:r>
        <w:rPr>
          <w:rFonts w:ascii="Arial" w:cs="Arial" w:eastAsia="Arial" w:hAnsi="Arial"/>
          <w:sz w:val="17"/>
          <w:szCs w:val="17"/>
          <w:color w:val="auto"/>
        </w:rPr>
        <w:t>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execution of the Company’s business strategy produced the following results in 2020:</w:t>
      </w:r>
    </w:p>
    <w:p>
      <w:pPr>
        <w:spacing w:after="0" w:line="171" w:lineRule="exact"/>
        <w:rPr>
          <w:sz w:val="20"/>
          <w:szCs w:val="20"/>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Raised approximately $1.4 billion in new capital formation for growth investments and liability management, which included corporate level debt and equity financings, the optimization of non-recourse project level debt, and the recycling of non-strategic assets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Closed on the disposition of non-strategic assets providing for approximately $90 million in capital available for growth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Invested or committed approximately $642 million in new growth investments with CEG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managed the impacts from the PG&amp;E bankruptcy through PG&amp;E’s bankruptcy emergence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Entered into an agreement to acquire an additional 35% equity interest in the Agua Caliente solar project from NRG Energy, Inc., with the transaction closing in 2021</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Such results were taken into account by the Compensation Committee in making determinations with respect to the compensation for our NEOs under the 2020 compensation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Named Executive Officers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CD&amp;A describes the material components of our compensation program for our NEOs in 2020. For the year ending December 31, 2020,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NEOs included the following individuals: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92"/>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NEO</w:t>
            </w:r>
          </w:p>
        </w:tc>
        <w:tc>
          <w:tcPr>
            <w:tcW w:w="6900" w:type="dxa"/>
            <w:vAlign w:val="bottom"/>
          </w:tcPr>
          <w:p>
            <w:pPr>
              <w:ind w:left="3140"/>
              <w:spacing w:after="0"/>
              <w:rPr>
                <w:sz w:val="20"/>
                <w:szCs w:val="20"/>
                <w:color w:val="auto"/>
              </w:rPr>
            </w:pPr>
            <w:r>
              <w:rPr>
                <w:rFonts w:ascii="Arial" w:cs="Arial" w:eastAsia="Arial" w:hAnsi="Arial"/>
                <w:sz w:val="14"/>
                <w:szCs w:val="14"/>
                <w:b w:val="1"/>
                <w:bCs w:val="1"/>
                <w:color w:val="auto"/>
              </w:rPr>
              <w:t>2020 Title</w:t>
            </w:r>
          </w:p>
        </w:tc>
      </w:tr>
      <w:tr>
        <w:trPr>
          <w:trHeight w:val="229"/>
        </w:trPr>
        <w:tc>
          <w:tcPr>
            <w:tcW w:w="41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Christopher S. Sotos</w:t>
            </w:r>
          </w:p>
        </w:tc>
        <w:tc>
          <w:tcPr>
            <w:tcW w:w="100" w:type="dxa"/>
            <w:vAlign w:val="bottom"/>
            <w:tcBorders>
              <w:top w:val="single" w:sz="8" w:color="CCEEFF"/>
            </w:tcBorders>
            <w:shd w:val="clear" w:color="auto" w:fill="CCEEFF"/>
          </w:tcPr>
          <w:p>
            <w:pPr>
              <w:spacing w:after="0"/>
              <w:rPr>
                <w:sz w:val="19"/>
                <w:szCs w:val="19"/>
                <w:color w:val="auto"/>
              </w:rPr>
            </w:pPr>
          </w:p>
        </w:tc>
        <w:tc>
          <w:tcPr>
            <w:tcW w:w="69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240" w:type="dxa"/>
            <w:vAlign w:val="bottom"/>
            <w:gridSpan w:val="2"/>
          </w:tcPr>
          <w:p>
            <w:pPr>
              <w:ind w:left="140"/>
              <w:spacing w:after="0"/>
              <w:rPr>
                <w:sz w:val="20"/>
                <w:szCs w:val="20"/>
                <w:color w:val="auto"/>
              </w:rPr>
            </w:pPr>
            <w:r>
              <w:rPr>
                <w:rFonts w:ascii="Arial" w:cs="Arial" w:eastAsia="Arial" w:hAnsi="Arial"/>
                <w:sz w:val="18"/>
                <w:szCs w:val="18"/>
                <w:color w:val="auto"/>
              </w:rPr>
              <w:t>Chad Plotkin</w:t>
            </w:r>
          </w:p>
        </w:tc>
        <w:tc>
          <w:tcPr>
            <w:tcW w:w="69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Kevin P. Malcarney</w:t>
            </w:r>
          </w:p>
        </w:tc>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304"/>
        </w:trPr>
        <w:tc>
          <w:tcPr>
            <w:tcW w:w="424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6900" w:type="dxa"/>
            <w:vAlign w:val="bottom"/>
          </w:tcPr>
          <w:p>
            <w:pPr>
              <w:ind w:left="140"/>
              <w:spacing w:after="0"/>
              <w:rPr>
                <w:sz w:val="20"/>
                <w:szCs w:val="20"/>
                <w:color w:val="auto"/>
              </w:rPr>
            </w:pPr>
            <w:r>
              <w:rPr>
                <w:rFonts w:ascii="Arial" w:cs="Arial" w:eastAsia="Arial" w:hAnsi="Arial"/>
                <w:sz w:val="18"/>
                <w:szCs w:val="18"/>
                <w:color w:val="auto"/>
              </w:rPr>
              <w:t>Vice President and Chief Accounting Officer</w:t>
            </w:r>
            <w:r>
              <w:rPr>
                <w:rFonts w:ascii="Arial" w:cs="Arial" w:eastAsia="Arial" w:hAnsi="Arial"/>
                <w:sz w:val="23"/>
                <w:szCs w:val="23"/>
                <w:color w:val="auto"/>
                <w:vertAlign w:val="superscript"/>
              </w:rPr>
              <w:t>(1)</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Ms. Stillwell voluntarily resigned from her employment with the Company in August 2020.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Goals and Objectives of the Program</w:t>
      </w:r>
    </w:p>
    <w:p>
      <w:pPr>
        <w:spacing w:after="0" w:line="17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Compensation Committee is responsible for the development and implementation of the Company’s executive compensation program, subject to Board approval for equity awards to certain officers, and references to Compensation Committee actions described below should be read in a manner that contemplates the requisite Board approval, as applicable, is in effect (see “Board Committees—Compensation Committee” above). The intent of the program is to reward the achievement of the Company’s annual goals and objectives while supporting the Company’s long</w:t>
      </w:r>
      <w:r>
        <w:rPr>
          <w:rFonts w:ascii="MS PGothic" w:cs="MS PGothic" w:eastAsia="MS PGothic" w:hAnsi="MS PGothic"/>
          <w:sz w:val="18"/>
          <w:szCs w:val="18"/>
          <w:color w:val="auto"/>
        </w:rPr>
        <w:t>‑</w:t>
      </w:r>
      <w:r>
        <w:rPr>
          <w:rFonts w:ascii="Arial" w:cs="Arial" w:eastAsia="Arial" w:hAnsi="Arial"/>
          <w:sz w:val="18"/>
          <w:szCs w:val="18"/>
          <w:color w:val="auto"/>
        </w:rPr>
        <w:t>term business strategy. The Compensation Committee is committed to aligning executives’ compensation with performance. Our Compensation Committee has designed an executive compensation program that:</w:t>
      </w:r>
    </w:p>
    <w:p>
      <w:pPr>
        <w:spacing w:after="0" w:line="149" w:lineRule="exact"/>
        <w:rPr>
          <w:sz w:val="20"/>
          <w:szCs w:val="20"/>
          <w:color w:val="auto"/>
        </w:rPr>
      </w:pPr>
    </w:p>
    <w:p>
      <w:pPr>
        <w:ind w:left="660" w:hanging="328"/>
        <w:spacing w:after="0" w:line="223" w:lineRule="exact"/>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closely aligns our executive compensation with stockholder value creation, avoiding plans that encourage executives to take excessive risk, while driving long</w:t>
      </w:r>
      <w:r>
        <w:rPr>
          <w:rFonts w:ascii="MS PGothic" w:cs="MS PGothic" w:eastAsia="MS PGothic" w:hAnsi="MS PGothic"/>
          <w:sz w:val="18"/>
          <w:szCs w:val="18"/>
          <w:color w:val="auto"/>
        </w:rPr>
        <w:t>‑</w:t>
      </w:r>
      <w:r>
        <w:rPr>
          <w:rFonts w:ascii="Arial" w:cs="Arial" w:eastAsia="Arial" w:hAnsi="Arial"/>
          <w:sz w:val="18"/>
          <w:szCs w:val="18"/>
          <w:color w:val="auto"/>
        </w:rPr>
        <w:t>term value to stockholders;</w:t>
      </w:r>
    </w:p>
    <w:p>
      <w:pPr>
        <w:spacing w:after="0" w:line="148" w:lineRule="exact"/>
        <w:rPr>
          <w:rFonts w:ascii="Arial" w:cs="Arial" w:eastAsia="Arial" w:hAnsi="Arial"/>
          <w:sz w:val="18"/>
          <w:szCs w:val="18"/>
          <w:color w:val="auto"/>
        </w:rPr>
      </w:pPr>
    </w:p>
    <w:p>
      <w:pPr>
        <w:ind w:left="660" w:hanging="328"/>
        <w:spacing w:after="0" w:line="223" w:lineRule="exact"/>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supports the Company’s long</w:t>
      </w:r>
      <w:r>
        <w:rPr>
          <w:rFonts w:ascii="MS PGothic" w:cs="MS PGothic" w:eastAsia="MS PGothic" w:hAnsi="MS PGothic"/>
          <w:sz w:val="18"/>
          <w:szCs w:val="18"/>
          <w:color w:val="auto"/>
        </w:rPr>
        <w:t>‑</w:t>
      </w:r>
      <w:r>
        <w:rPr>
          <w:rFonts w:ascii="Arial" w:cs="Arial" w:eastAsia="Arial" w:hAnsi="Arial"/>
          <w:sz w:val="18"/>
          <w:szCs w:val="18"/>
          <w:color w:val="auto"/>
        </w:rPr>
        <w:t>term business strategy, while rewarding our executive team for their individual accomplishments with tailored individual executive compensation metrics and incentives; and</w:t>
      </w:r>
    </w:p>
    <w:p>
      <w:pPr>
        <w:spacing w:after="0" w:line="14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provides a competitive compensation opportunity while aligning with market standards for compensation.</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Committee’s objectives are achieved through the use of both short-term and long-term incentives. The Company currently targets pay at the median of our Compensation Peer Group (defined below), as described under “Elements of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Compensation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Deloitte Consulting LLP (“Deloitte”) served as the Compensation Committee’s independent compensation consultant for the first eight months of fiscal year 2020. Pay Governance became the Compensation Committee’s independent compensation consultant in August 2020 after a key relationship contact from Deloitte joined Pay Governance, and Pay Governance has continued to serve in that capacity to the present date. Deloitte worked with the Compensation Committee to formulate the design of the executive and director compensation programs for 2020. Each of Deloitte and Pay Governance provided reports to the Compensation Committee (during the respective periods they served as compensation consultant) containing research, market data, survey information and information regarding trends and developments in executive and director compensation. Each of Deloitte and Pay Governance reported directly to the Compensation Committee (during the respective periods they served as compensation consultant). The Company paid each of Deloitte and Pay Governance $138,192 and $50,051, respectively, for the work they performed for the Compensation Committee in 2020. CEG engaged Deloitte and its affiliate, Deloitte &amp; Touche LLP, to provide additional services in 2020, for which CEG paid $188,375. These additional services primarily related to accounting and reporting support. Neither Pay Governance, nor any of their affiliates provided services for any of our affiliates in 2020. In accordance with SEC rules and requirements, the Company has affirmatively determined that no conflicts of interest exist between the Company and Deloitte or Pay Governance (or any individuals working on the Company’s account on behalf of Deloitte or Pay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Peer Group Analysis</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year but given the dynamic nature of our industry and the companies that constitute it, the Compensation Committee annually examines the peer group for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9" w:name="page70"/>
    <w:bookmarkEnd w:id="69"/>
    <w:p>
      <w:pPr>
        <w:ind w:right="20"/>
        <w:spacing w:after="0" w:line="277" w:lineRule="auto"/>
        <w:rPr>
          <w:sz w:val="20"/>
          <w:szCs w:val="20"/>
          <w:color w:val="auto"/>
        </w:rPr>
      </w:pPr>
      <w:r>
        <w:rPr>
          <w:rFonts w:ascii="Arial" w:cs="Arial" w:eastAsia="Arial" w:hAnsi="Arial"/>
          <w:sz w:val="18"/>
          <w:szCs w:val="18"/>
          <w:color w:val="auto"/>
        </w:rPr>
        <w:t>appropriateness in terms of size, complexity and industry. As a result of such annual review, the Compensation Committee identified a new peer group for compensation benchmarking purposes in 2020 (the “Compensation Peer Group”).</w:t>
      </w:r>
    </w:p>
    <w:p>
      <w:pPr>
        <w:spacing w:after="0" w:line="116"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For these purposes, the Compensation Peer Group, comprised of similarly sized publicly</w:t>
      </w:r>
      <w:r>
        <w:rPr>
          <w:rFonts w:ascii="MS PGothic" w:cs="MS PGothic" w:eastAsia="MS PGothic" w:hAnsi="MS PGothic"/>
          <w:sz w:val="16"/>
          <w:szCs w:val="16"/>
          <w:color w:val="auto"/>
        </w:rPr>
        <w:t>‑</w:t>
      </w:r>
      <w:r>
        <w:rPr>
          <w:rFonts w:ascii="Arial" w:cs="Arial" w:eastAsia="Arial" w:hAnsi="Arial"/>
          <w:sz w:val="16"/>
          <w:szCs w:val="16"/>
          <w:color w:val="auto"/>
        </w:rPr>
        <w:t>owned energy and utility companies, is identified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Ticker</w:t>
            </w:r>
          </w:p>
        </w:tc>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Ticker</w:t>
            </w:r>
          </w:p>
        </w:tc>
      </w:tr>
      <w:tr>
        <w:trPr>
          <w:trHeight w:val="229"/>
        </w:trPr>
        <w:tc>
          <w:tcPr>
            <w:tcW w:w="36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Algonquin Power &amp; Utilities Corp</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NYSE: AQN</w:t>
            </w:r>
          </w:p>
        </w:tc>
        <w:tc>
          <w:tcPr>
            <w:tcW w:w="12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NorthWestern Corporation.</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NYSE: NWE</w:t>
            </w: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Black Hills Corporation</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NYSE: BKH</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Ormat Technologies, Inc.</w:t>
            </w:r>
          </w:p>
        </w:tc>
        <w:tc>
          <w:tcPr>
            <w:tcW w:w="2740" w:type="dxa"/>
            <w:vAlign w:val="bottom"/>
          </w:tcPr>
          <w:p>
            <w:pPr>
              <w:ind w:left="20"/>
              <w:spacing w:after="0"/>
              <w:rPr>
                <w:sz w:val="20"/>
                <w:szCs w:val="20"/>
                <w:color w:val="auto"/>
              </w:rPr>
            </w:pPr>
            <w:r>
              <w:rPr>
                <w:rFonts w:ascii="Arial" w:cs="Arial" w:eastAsia="Arial" w:hAnsi="Arial"/>
                <w:sz w:val="18"/>
                <w:szCs w:val="18"/>
                <w:color w:val="auto"/>
              </w:rPr>
              <w:t>NYSE: ORA</w:t>
            </w:r>
          </w:p>
        </w:tc>
      </w:tr>
      <w:tr>
        <w:trPr>
          <w:trHeight w:val="230"/>
        </w:trPr>
        <w:tc>
          <w:tcPr>
            <w:tcW w:w="3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El Paso Electric Company</w:t>
            </w:r>
            <w:r>
              <w:rPr>
                <w:rFonts w:ascii="Arial" w:cs="Arial" w:eastAsia="Arial" w:hAnsi="Arial"/>
                <w:sz w:val="23"/>
                <w:szCs w:val="23"/>
                <w:color w:val="auto"/>
                <w:vertAlign w:val="superscript"/>
              </w:rPr>
              <w:t>(1)</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NYSE: EE</w:t>
            </w:r>
          </w:p>
        </w:tc>
        <w:tc>
          <w:tcPr>
            <w:tcW w:w="3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Pattern Energy Group Inc.</w:t>
            </w:r>
            <w:r>
              <w:rPr>
                <w:rFonts w:ascii="Arial" w:cs="Arial" w:eastAsia="Arial" w:hAnsi="Arial"/>
                <w:sz w:val="23"/>
                <w:szCs w:val="23"/>
                <w:color w:val="auto"/>
                <w:vertAlign w:val="superscript"/>
              </w:rPr>
              <w:t>(2)</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PEGI</w:t>
            </w: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Genesis Energy, L.P.</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NYSE: GEL</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South Jersey Industries, Inc.</w:t>
            </w:r>
          </w:p>
        </w:tc>
        <w:tc>
          <w:tcPr>
            <w:tcW w:w="2740" w:type="dxa"/>
            <w:vAlign w:val="bottom"/>
          </w:tcPr>
          <w:p>
            <w:pPr>
              <w:ind w:left="20"/>
              <w:spacing w:after="0"/>
              <w:rPr>
                <w:sz w:val="20"/>
                <w:szCs w:val="20"/>
                <w:color w:val="auto"/>
              </w:rPr>
            </w:pPr>
            <w:r>
              <w:rPr>
                <w:rFonts w:ascii="Arial" w:cs="Arial" w:eastAsia="Arial" w:hAnsi="Arial"/>
                <w:sz w:val="18"/>
                <w:szCs w:val="18"/>
                <w:color w:val="auto"/>
              </w:rPr>
              <w:t>NYSE: SJI</w:t>
            </w:r>
          </w:p>
        </w:tc>
      </w:tr>
      <w:tr>
        <w:trPr>
          <w:trHeight w:val="229"/>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Innergex Renewable Energy Inc.</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TSX: INE</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Suburban Propane Partners, L.P.</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NYSE:SPH</w:t>
            </w: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MGE Energy, Inc.</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NASDAQ: MGEE</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TransAltaCorporation.</w:t>
            </w:r>
          </w:p>
        </w:tc>
        <w:tc>
          <w:tcPr>
            <w:tcW w:w="2740" w:type="dxa"/>
            <w:vAlign w:val="bottom"/>
          </w:tcPr>
          <w:p>
            <w:pPr>
              <w:ind w:left="20"/>
              <w:spacing w:after="0"/>
              <w:rPr>
                <w:sz w:val="20"/>
                <w:szCs w:val="20"/>
                <w:color w:val="auto"/>
              </w:rPr>
            </w:pPr>
            <w:r>
              <w:rPr>
                <w:rFonts w:ascii="Arial" w:cs="Arial" w:eastAsia="Arial" w:hAnsi="Arial"/>
                <w:sz w:val="18"/>
                <w:szCs w:val="18"/>
                <w:color w:val="auto"/>
              </w:rPr>
              <w:t>NYSE:TAC</w:t>
            </w:r>
          </w:p>
        </w:tc>
      </w:tr>
      <w:tr>
        <w:trPr>
          <w:trHeight w:val="229"/>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Northland Power Inc.</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TSX: NPI</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60" w:firstLine="8"/>
        <w:spacing w:after="0" w:line="257" w:lineRule="auto"/>
        <w:tabs>
          <w:tab w:leader="none" w:pos="204" w:val="left"/>
        </w:tabs>
        <w:numPr>
          <w:ilvl w:val="0"/>
          <w:numId w:val="35"/>
        </w:numPr>
        <w:rPr>
          <w:rFonts w:ascii="Arial" w:cs="Arial" w:eastAsia="Arial" w:hAnsi="Arial"/>
          <w:sz w:val="14"/>
          <w:szCs w:val="14"/>
          <w:color w:val="auto"/>
        </w:rPr>
      </w:pPr>
      <w:r>
        <w:rPr>
          <w:rFonts w:ascii="Arial" w:cs="Arial" w:eastAsia="Arial" w:hAnsi="Arial"/>
          <w:sz w:val="14"/>
          <w:szCs w:val="14"/>
          <w:color w:val="auto"/>
        </w:rPr>
        <w:t>El Paso Electric Company was acquired by Sun Jupiter Holdings LLC in July 2020 and was delisted, but was included by Deloitte (when it was serving as compensation consultant) as part of its 2020 compensation benchmarking analysis, and for that reason, El Paso Electric Company is included in the Compensation Peer Group for 2020 but will not be part of the Compensation Peer Group for 2021 or going forward.</w:t>
      </w:r>
    </w:p>
    <w:p>
      <w:pPr>
        <w:spacing w:after="0" w:line="211" w:lineRule="exact"/>
        <w:rPr>
          <w:rFonts w:ascii="Arial" w:cs="Arial" w:eastAsia="Arial" w:hAnsi="Arial"/>
          <w:sz w:val="14"/>
          <w:szCs w:val="14"/>
          <w:color w:val="auto"/>
        </w:rPr>
      </w:pPr>
    </w:p>
    <w:p>
      <w:pPr>
        <w:ind w:left="220" w:hanging="212"/>
        <w:spacing w:after="0"/>
        <w:tabs>
          <w:tab w:leader="none" w:pos="2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Pattern Energy Group Inc. was acquired by Canada Pension Plan Investment Board in March 2020 and was delisted, but was included by Deloitte (when it was serving as compensation</w:t>
      </w:r>
    </w:p>
    <w:p>
      <w:pPr>
        <w:spacing w:after="0" w:line="24" w:lineRule="exact"/>
        <w:rPr>
          <w:rFonts w:ascii="Arial" w:cs="Arial" w:eastAsia="Arial" w:hAnsi="Arial"/>
          <w:sz w:val="13"/>
          <w:szCs w:val="13"/>
          <w:color w:val="auto"/>
        </w:rPr>
      </w:pPr>
    </w:p>
    <w:p>
      <w:pPr>
        <w:ind w:right="200"/>
        <w:spacing w:after="0" w:line="255" w:lineRule="auto"/>
        <w:rPr>
          <w:rFonts w:ascii="Arial" w:cs="Arial" w:eastAsia="Arial" w:hAnsi="Arial"/>
          <w:sz w:val="13"/>
          <w:szCs w:val="13"/>
          <w:color w:val="auto"/>
        </w:rPr>
      </w:pPr>
      <w:r>
        <w:rPr>
          <w:rFonts w:ascii="Arial" w:cs="Arial" w:eastAsia="Arial" w:hAnsi="Arial"/>
          <w:sz w:val="14"/>
          <w:szCs w:val="14"/>
          <w:color w:val="auto"/>
        </w:rPr>
        <w:t>consultant) as part of its 2020 compensation benchmarking analysis, and for that reason, Pattern Energy Group Inc. is included in the Compensation Peer Group for 2020 but will not be part of the Compensation Peer Group for 2021 or going forward.</w:t>
      </w:r>
    </w:p>
    <w:p>
      <w:pPr>
        <w:spacing w:after="0" w:line="217" w:lineRule="exact"/>
        <w:rPr>
          <w:sz w:val="20"/>
          <w:szCs w:val="20"/>
          <w:color w:val="auto"/>
        </w:rPr>
      </w:pPr>
    </w:p>
    <w:p>
      <w:pPr>
        <w:ind w:right="80" w:firstLine="648"/>
        <w:spacing w:after="0" w:line="208" w:lineRule="exact"/>
        <w:rPr>
          <w:sz w:val="20"/>
          <w:szCs w:val="20"/>
          <w:color w:val="auto"/>
        </w:rPr>
      </w:pPr>
      <w:r>
        <w:rPr>
          <w:rFonts w:ascii="Arial" w:cs="Arial" w:eastAsia="Arial" w:hAnsi="Arial"/>
          <w:sz w:val="18"/>
          <w:szCs w:val="18"/>
          <w:color w:val="auto"/>
        </w:rPr>
        <w:t>For the purposes of determining appropriate NEO pay levels for 2020, the Compensation Committee reviewed NEO compensation from peers, where available and appropriate (e.g., based on an NEO’s position and duties). To supplement this analysis, the Compensation Committee also participated in meetings with its compensation consultant regarding the compensation consultant’s review of relevant third</w:t>
      </w:r>
      <w:r>
        <w:rPr>
          <w:rFonts w:ascii="MS PGothic" w:cs="MS PGothic" w:eastAsia="MS PGothic" w:hAnsi="MS PGothic"/>
          <w:sz w:val="18"/>
          <w:szCs w:val="18"/>
          <w:color w:val="auto"/>
        </w:rPr>
        <w:t>‑</w:t>
      </w:r>
      <w:r>
        <w:rPr>
          <w:rFonts w:ascii="Arial" w:cs="Arial" w:eastAsia="Arial" w:hAnsi="Arial"/>
          <w:sz w:val="18"/>
          <w:szCs w:val="18"/>
          <w:color w:val="auto"/>
        </w:rPr>
        <w:t>party survey data and considered the recommendations of the CEO on NEO and employee compensation matters not involving the CEO. The Compensation Committee may accept or adjust such CEO recommendations at its discretion.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71" w:lineRule="exact"/>
        <w:rPr>
          <w:sz w:val="20"/>
          <w:szCs w:val="20"/>
          <w:color w:val="auto"/>
        </w:rPr>
      </w:pPr>
    </w:p>
    <w:p>
      <w:pPr>
        <w:ind w:right="40" w:firstLine="648"/>
        <w:spacing w:after="0" w:line="207" w:lineRule="exact"/>
        <w:rPr>
          <w:sz w:val="20"/>
          <w:szCs w:val="20"/>
          <w:color w:val="auto"/>
        </w:rPr>
      </w:pPr>
      <w:r>
        <w:rPr>
          <w:rFonts w:ascii="Arial" w:cs="Arial" w:eastAsia="Arial" w:hAnsi="Arial"/>
          <w:sz w:val="18"/>
          <w:szCs w:val="18"/>
          <w:color w:val="auto"/>
        </w:rPr>
        <w:t>Our compensation program for our NEOs consists of fixed compensation (base salary), performance</w:t>
      </w:r>
      <w:r>
        <w:rPr>
          <w:rFonts w:ascii="MS PGothic" w:cs="MS PGothic" w:eastAsia="MS PGothic" w:hAnsi="MS PGothic"/>
          <w:sz w:val="18"/>
          <w:szCs w:val="18"/>
          <w:color w:val="auto"/>
        </w:rPr>
        <w:t>‑</w:t>
      </w:r>
      <w:r>
        <w:rPr>
          <w:rFonts w:ascii="Arial" w:cs="Arial" w:eastAsia="Arial" w:hAnsi="Arial"/>
          <w:sz w:val="18"/>
          <w:szCs w:val="18"/>
          <w:color w:val="auto"/>
        </w:rPr>
        <w:t>based compensation (AIP bonus and RPSUs) and time</w:t>
      </w:r>
      <w:r>
        <w:rPr>
          <w:rFonts w:ascii="MS PGothic" w:cs="MS PGothic" w:eastAsia="MS PGothic" w:hAnsi="MS PGothic"/>
          <w:sz w:val="18"/>
          <w:szCs w:val="18"/>
          <w:color w:val="auto"/>
        </w:rPr>
        <w:t>‑</w:t>
      </w:r>
      <w:r>
        <w:rPr>
          <w:rFonts w:ascii="Arial" w:cs="Arial" w:eastAsia="Arial" w:hAnsi="Arial"/>
          <w:sz w:val="18"/>
          <w:szCs w:val="18"/>
          <w:color w:val="auto"/>
        </w:rPr>
        <w:t>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w:t>
      </w:r>
      <w:r>
        <w:rPr>
          <w:rFonts w:ascii="MS PGothic" w:cs="MS PGothic" w:eastAsia="MS PGothic" w:hAnsi="MS PGothic"/>
          <w:sz w:val="18"/>
          <w:szCs w:val="18"/>
          <w:color w:val="auto"/>
        </w:rPr>
        <w:t>‑</w:t>
      </w:r>
      <w:r>
        <w:rPr>
          <w:rFonts w:ascii="Arial" w:cs="Arial" w:eastAsia="Arial" w:hAnsi="Arial"/>
          <w:sz w:val="18"/>
          <w:szCs w:val="18"/>
          <w:color w:val="auto"/>
        </w:rPr>
        <w:t>based compensation metrics. While a portion of our NEOs’ compensation is fixed, a significant percentage is at</w:t>
      </w:r>
      <w:r>
        <w:rPr>
          <w:rFonts w:ascii="MS PGothic" w:cs="MS PGothic" w:eastAsia="MS PGothic" w:hAnsi="MS PGothic"/>
          <w:sz w:val="18"/>
          <w:szCs w:val="18"/>
          <w:color w:val="auto"/>
        </w:rPr>
        <w:t>‑</w:t>
      </w:r>
      <w:r>
        <w:rPr>
          <w:rFonts w:ascii="Arial" w:cs="Arial" w:eastAsia="Arial" w:hAnsi="Arial"/>
          <w:sz w:val="18"/>
          <w:szCs w:val="18"/>
          <w:color w:val="auto"/>
        </w:rPr>
        <w:t>risk and payable and/or realizable only if certain performance objectives are met.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 NEO's current base salary level compared to the market median. Mr. Malcarney and Ms. Stillwell received base salary increases in 2020 based on their performance and peer group benchmarking. The base salary for each NEO for fiscal year 2020 is set forth below:</w:t>
      </w: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2020 Annualized</w:t>
            </w:r>
          </w:p>
        </w:tc>
        <w:tc>
          <w:tcPr>
            <w:tcW w:w="174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Percentage Increase</w:t>
            </w:r>
          </w:p>
        </w:tc>
      </w:tr>
      <w:tr>
        <w:trPr>
          <w:trHeight w:val="219"/>
        </w:trPr>
        <w:tc>
          <w:tcPr>
            <w:tcW w:w="74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Base Salary ($)</w:t>
            </w:r>
            <w:r>
              <w:rPr>
                <w:rFonts w:ascii="Arial" w:cs="Arial" w:eastAsia="Arial" w:hAnsi="Arial"/>
                <w:sz w:val="9"/>
                <w:szCs w:val="9"/>
                <w:b w:val="1"/>
                <w:bCs w:val="1"/>
                <w:color w:val="auto"/>
              </w:rPr>
              <w:t>(1)</w:t>
            </w:r>
          </w:p>
        </w:tc>
        <w:tc>
          <w:tcPr>
            <w:tcW w:w="1740" w:type="dxa"/>
            <w:vAlign w:val="bottom"/>
          </w:tcPr>
          <w:p>
            <w:pPr>
              <w:jc w:val="right"/>
              <w:ind w:right="276"/>
              <w:spacing w:after="0"/>
              <w:rPr>
                <w:sz w:val="20"/>
                <w:szCs w:val="20"/>
                <w:color w:val="auto"/>
              </w:rPr>
            </w:pPr>
            <w:r>
              <w:rPr>
                <w:rFonts w:ascii="Arial" w:cs="Arial" w:eastAsia="Arial" w:hAnsi="Arial"/>
                <w:sz w:val="14"/>
                <w:szCs w:val="14"/>
                <w:b w:val="1"/>
                <w:bCs w:val="1"/>
                <w:color w:val="auto"/>
              </w:rPr>
              <w:t>Over 2019 (%)</w:t>
            </w:r>
            <w:r>
              <w:rPr>
                <w:rFonts w:ascii="Arial" w:cs="Arial" w:eastAsia="Arial" w:hAnsi="Arial"/>
                <w:sz w:val="9"/>
                <w:szCs w:val="9"/>
                <w:b w:val="1"/>
                <w:bCs w:val="1"/>
                <w:color w:val="auto"/>
              </w:rPr>
              <w:t>(2)</w:t>
            </w:r>
          </w:p>
        </w:tc>
      </w:tr>
      <w:tr>
        <w:trPr>
          <w:trHeight w:val="229"/>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611,000</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1480" w:type="dxa"/>
            <w:vAlign w:val="bottom"/>
          </w:tcPr>
          <w:p>
            <w:pPr>
              <w:jc w:val="right"/>
              <w:spacing w:after="0"/>
              <w:rPr>
                <w:sz w:val="20"/>
                <w:szCs w:val="20"/>
                <w:color w:val="auto"/>
              </w:rPr>
            </w:pPr>
            <w:r>
              <w:rPr>
                <w:rFonts w:ascii="Arial" w:cs="Arial" w:eastAsia="Arial" w:hAnsi="Arial"/>
                <w:sz w:val="18"/>
                <w:szCs w:val="18"/>
                <w:color w:val="auto"/>
              </w:rPr>
              <w:t>380,000</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Mary Lee Stillwell</w:t>
            </w:r>
            <w:r>
              <w:rPr>
                <w:rFonts w:ascii="Arial" w:cs="Arial" w:eastAsia="Arial" w:hAnsi="Arial"/>
                <w:sz w:val="23"/>
                <w:szCs w:val="23"/>
                <w:color w:val="auto"/>
                <w:vertAlign w:val="superscript"/>
              </w:rPr>
              <w:t>(3)</w:t>
            </w:r>
          </w:p>
        </w:tc>
        <w:tc>
          <w:tcPr>
            <w:tcW w:w="1480" w:type="dxa"/>
            <w:vAlign w:val="bottom"/>
          </w:tcPr>
          <w:p>
            <w:pPr>
              <w:jc w:val="right"/>
              <w:spacing w:after="0"/>
              <w:rPr>
                <w:sz w:val="20"/>
                <w:szCs w:val="20"/>
                <w:color w:val="auto"/>
              </w:rPr>
            </w:pPr>
            <w:r>
              <w:rPr>
                <w:rFonts w:ascii="Arial" w:cs="Arial" w:eastAsia="Arial" w:hAnsi="Arial"/>
                <w:sz w:val="18"/>
                <w:szCs w:val="18"/>
                <w:color w:val="auto"/>
              </w:rPr>
              <w:t>303,850</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13798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2"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Actual 2020 base salary earnings are presented in the Summary Compensation Table.</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compared to the December 31, 2019 annualized base salary.</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Ms. Stillwell voluntarily resigned from her employment with the Company in August 2020. Ms. Stillwell earned $196,969 prior to her departure.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Annual Incentive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Annual incentive compensation awards (AIP bonuses) are made under our AIP. AIP bonuses represent short-term compensation designed to compensate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2020 relate to the following three areas: (a) CAFD, (b) key performance milestones, and (c) achievement of the Thermal Plan (as described below). In addition,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2020 was not achieved with respect to any of the AIP performance metrics, no AIP bonuses would have been payable for 2020.</w:t>
      </w:r>
    </w:p>
    <w:p>
      <w:pPr>
        <w:spacing w:after="0" w:line="1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AIP provides NEOs (other than Mr. Sotos whose severance is governed by his employment agreement) eligibility for a pro-rated target bonus payment for the year of a qualifying severance termination, based on the portion of the performance period that the NEO was employed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AIP Bonus Performance Criteria</w:t>
      </w:r>
    </w:p>
    <w:p>
      <w:pPr>
        <w:spacing w:after="0" w:line="171" w:lineRule="exact"/>
        <w:rPr>
          <w:sz w:val="20"/>
          <w:szCs w:val="20"/>
          <w:color w:val="auto"/>
        </w:rPr>
      </w:pPr>
    </w:p>
    <w:p>
      <w:pPr>
        <w:jc w:val="both"/>
        <w:ind w:firstLine="252"/>
        <w:spacing w:after="0" w:line="342" w:lineRule="auto"/>
        <w:rPr>
          <w:sz w:val="20"/>
          <w:szCs w:val="20"/>
          <w:color w:val="auto"/>
        </w:rPr>
      </w:pPr>
      <w:r>
        <w:rPr>
          <w:rFonts w:ascii="Arial" w:cs="Arial" w:eastAsia="Arial" w:hAnsi="Arial"/>
          <w:sz w:val="16"/>
          <w:szCs w:val="16"/>
          <w:color w:val="auto"/>
        </w:rPr>
        <w:t>The AIP bonus performance criteria applicable to all NEOs are based upon the three Company goals described above and individual performance. The table below sets forth the 2020 AIP performance criteria and weightings applicable to all NEOs, assuming the achievement of each goal at target.</w:t>
      </w:r>
    </w:p>
    <w:p>
      <w:pPr>
        <w:spacing w:after="0" w:line="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gridSpan w:val="3"/>
          </w:tcPr>
          <w:p>
            <w:pPr>
              <w:ind w:left="20"/>
              <w:spacing w:after="0"/>
              <w:rPr>
                <w:sz w:val="20"/>
                <w:szCs w:val="20"/>
                <w:color w:val="auto"/>
              </w:rPr>
            </w:pPr>
            <w:r>
              <w:rPr>
                <w:rFonts w:ascii="Arial" w:cs="Arial" w:eastAsia="Arial" w:hAnsi="Arial"/>
                <w:sz w:val="14"/>
                <w:szCs w:val="14"/>
                <w:b w:val="1"/>
                <w:bCs w:val="1"/>
                <w:color w:val="auto"/>
              </w:rPr>
              <w:t>Goal</w:t>
            </w:r>
          </w:p>
        </w:tc>
        <w:tc>
          <w:tcPr>
            <w:tcW w:w="4640" w:type="dxa"/>
            <w:vAlign w:val="bottom"/>
          </w:tcPr>
          <w:p>
            <w:pPr>
              <w:jc w:val="right"/>
              <w:ind w:right="233"/>
              <w:spacing w:after="0"/>
              <w:rPr>
                <w:sz w:val="20"/>
                <w:szCs w:val="20"/>
                <w:color w:val="auto"/>
              </w:rPr>
            </w:pPr>
            <w:r>
              <w:rPr>
                <w:rFonts w:ascii="Arial" w:cs="Arial" w:eastAsia="Arial" w:hAnsi="Arial"/>
                <w:sz w:val="14"/>
                <w:szCs w:val="14"/>
                <w:b w:val="1"/>
                <w:bCs w:val="1"/>
                <w:color w:val="auto"/>
              </w:rPr>
              <w:t>Weight</w:t>
            </w: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CAFD</w:t>
            </w:r>
            <w:r>
              <w:rPr>
                <w:rFonts w:ascii="Arial" w:cs="Arial" w:eastAsia="Arial" w:hAnsi="Arial"/>
                <w:sz w:val="23"/>
                <w:szCs w:val="23"/>
                <w:color w:val="auto"/>
                <w:vertAlign w:val="superscript"/>
              </w:rPr>
              <w:t>(1)</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360" w:type="dxa"/>
            <w:vAlign w:val="bottom"/>
            <w:gridSpan w:val="3"/>
          </w:tcPr>
          <w:p>
            <w:pPr>
              <w:ind w:left="20"/>
              <w:spacing w:after="0"/>
              <w:rPr>
                <w:sz w:val="20"/>
                <w:szCs w:val="20"/>
                <w:color w:val="auto"/>
              </w:rPr>
            </w:pPr>
            <w:r>
              <w:rPr>
                <w:rFonts w:ascii="Arial" w:cs="Arial" w:eastAsia="Arial" w:hAnsi="Arial"/>
                <w:sz w:val="18"/>
                <w:szCs w:val="18"/>
                <w:color w:val="auto"/>
              </w:rPr>
              <w:t>Key Performance Milestones</w:t>
            </w:r>
          </w:p>
        </w:tc>
        <w:tc>
          <w:tcPr>
            <w:tcW w:w="4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Achievement of the Thermal Plan</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3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Overall Funding</w:t>
            </w:r>
          </w:p>
        </w:tc>
        <w:tc>
          <w:tcPr>
            <w:tcW w:w="46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100%</w:t>
            </w:r>
          </w:p>
        </w:tc>
      </w:tr>
      <w:tr>
        <w:trPr>
          <w:trHeight w:val="230"/>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Individual Performance</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firstLine="8"/>
        <w:spacing w:after="0" w:line="168" w:lineRule="exact"/>
        <w:tabs>
          <w:tab w:leader="none" w:pos="204"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CAFD is adjusted earnings before interest, taxes, depreciation and amortization (Adjusted EBITDA) plus cash distributions/return of investment from unconsolidated affiliates, cash receipts from notes receivable, cash distributions from noncontrolling interests, less cash distributions to noncontrolling interests, maintenance capital expenditures, pro</w:t>
      </w:r>
      <w:r>
        <w:rPr>
          <w:rFonts w:ascii="MS PGothic" w:cs="MS PGothic" w:eastAsia="MS PGothic" w:hAnsi="MS PGothic"/>
          <w:sz w:val="14"/>
          <w:szCs w:val="14"/>
          <w:color w:val="auto"/>
        </w:rPr>
        <w:t>‑</w:t>
      </w:r>
      <w:r>
        <w:rPr>
          <w:rFonts w:ascii="Arial" w:cs="Arial" w:eastAsia="Arial" w:hAnsi="Arial"/>
          <w:sz w:val="14"/>
          <w:szCs w:val="14"/>
          <w:color w:val="auto"/>
        </w:rPr>
        <w:t>rata Adjusted EBITDA from unconsolidated affiliates, cash interest paid, income taxes paid, principal amortization of indebtedness, Walnut Creek investment payments, and changes in prepaid and accrued capacity payments.</w:t>
      </w:r>
    </w:p>
    <w:p>
      <w:pPr>
        <w:spacing w:after="0" w:line="200" w:lineRule="exact"/>
        <w:rPr>
          <w:sz w:val="20"/>
          <w:szCs w:val="20"/>
          <w:color w:val="auto"/>
        </w:rPr>
      </w:pPr>
    </w:p>
    <w:p>
      <w:pPr>
        <w:jc w:val="both"/>
        <w:ind w:left="340" w:hanging="332"/>
        <w:spacing w:after="0" w:line="259"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CAFD. The Compensation Committee set the 2020 threshold, target and maximum CAFD performance metric at $248 million, $310 million and $372 million, respectively. For 2020, the CAFD goals and the achieved level are set forth in the chart below. The Company achieved CAFD of approximately $295 million, surpassing the CAFD threshold but less than the CAFD target. For purposes of determining AIP bonus performance, CAFD was adjusted in order to eliminate the distorting effect of certain extraordinary events.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CAFD</w:t>
            </w:r>
          </w:p>
        </w:tc>
        <w:tc>
          <w:tcPr>
            <w:tcW w:w="2160" w:type="dxa"/>
            <w:vAlign w:val="bottom"/>
          </w:tcPr>
          <w:p>
            <w:pPr>
              <w:jc w:val="center"/>
              <w:ind w:left="42"/>
              <w:spacing w:after="0"/>
              <w:rPr>
                <w:sz w:val="20"/>
                <w:szCs w:val="20"/>
                <w:color w:val="auto"/>
              </w:rPr>
            </w:pPr>
            <w:r>
              <w:rPr>
                <w:rFonts w:ascii="Arial" w:cs="Arial" w:eastAsia="Arial" w:hAnsi="Arial"/>
                <w:sz w:val="14"/>
                <w:szCs w:val="14"/>
                <w:b w:val="1"/>
                <w:bCs w:val="1"/>
                <w:color w:val="auto"/>
              </w:rPr>
              <w:t>CAFD</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CAFD</w:t>
            </w:r>
          </w:p>
        </w:tc>
        <w:tc>
          <w:tcPr>
            <w:tcW w:w="2240" w:type="dxa"/>
            <w:vAlign w:val="bottom"/>
          </w:tcPr>
          <w:p>
            <w:pPr>
              <w:jc w:val="center"/>
              <w:ind w:right="42"/>
              <w:spacing w:after="0"/>
              <w:rPr>
                <w:sz w:val="20"/>
                <w:szCs w:val="20"/>
                <w:color w:val="auto"/>
              </w:rPr>
            </w:pPr>
            <w:r>
              <w:rPr>
                <w:rFonts w:ascii="Arial" w:cs="Arial" w:eastAsia="Arial" w:hAnsi="Arial"/>
                <w:sz w:val="14"/>
                <w:szCs w:val="14"/>
                <w:b w:val="1"/>
                <w:bCs w:val="1"/>
                <w:color w:val="auto"/>
              </w:rPr>
              <w:t>CAFD</w:t>
            </w:r>
          </w:p>
        </w:tc>
      </w:tr>
      <w:tr>
        <w:trPr>
          <w:trHeight w:val="256"/>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2160" w:type="dxa"/>
            <w:vAlign w:val="bottom"/>
          </w:tcPr>
          <w:p>
            <w:pPr>
              <w:jc w:val="center"/>
              <w:ind w:left="42"/>
              <w:spacing w:after="0"/>
              <w:rPr>
                <w:sz w:val="20"/>
                <w:szCs w:val="20"/>
                <w:color w:val="auto"/>
              </w:rPr>
            </w:pPr>
            <w:r>
              <w:rPr>
                <w:rFonts w:ascii="Arial" w:cs="Arial" w:eastAsia="Arial" w:hAnsi="Arial"/>
                <w:sz w:val="14"/>
                <w:szCs w:val="14"/>
                <w:b w:val="1"/>
                <w:bCs w:val="1"/>
                <w:color w:val="auto"/>
                <w:w w:val="93"/>
              </w:rPr>
              <w:t>Target</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224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Actual</w:t>
            </w:r>
          </w:p>
        </w:tc>
      </w:tr>
      <w:tr>
        <w:trPr>
          <w:trHeight w:val="93"/>
        </w:trPr>
        <w:tc>
          <w:tcPr>
            <w:tcW w:w="23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240" w:type="dxa"/>
            <w:vAlign w:val="bottom"/>
          </w:tcPr>
          <w:p>
            <w:pPr>
              <w:spacing w:after="0"/>
              <w:rPr>
                <w:sz w:val="8"/>
                <w:szCs w:val="8"/>
                <w:color w:val="auto"/>
              </w:rPr>
            </w:pPr>
          </w:p>
        </w:tc>
      </w:tr>
      <w:tr>
        <w:trPr>
          <w:trHeight w:val="230"/>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$248 million</w:t>
            </w:r>
          </w:p>
        </w:tc>
        <w:tc>
          <w:tcPr>
            <w:tcW w:w="2160" w:type="dxa"/>
            <w:vAlign w:val="bottom"/>
            <w:shd w:val="clear" w:color="auto" w:fill="CCEEFF"/>
          </w:tcPr>
          <w:p>
            <w:pPr>
              <w:jc w:val="center"/>
              <w:ind w:left="42"/>
              <w:spacing w:after="0"/>
              <w:rPr>
                <w:sz w:val="20"/>
                <w:szCs w:val="20"/>
                <w:color w:val="auto"/>
              </w:rPr>
            </w:pPr>
            <w:r>
              <w:rPr>
                <w:rFonts w:ascii="Arial" w:cs="Arial" w:eastAsia="Arial" w:hAnsi="Arial"/>
                <w:sz w:val="18"/>
                <w:szCs w:val="18"/>
                <w:color w:val="auto"/>
                <w:w w:val="95"/>
              </w:rPr>
              <w:t>$310 million</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$372 million</w:t>
            </w:r>
          </w:p>
        </w:tc>
        <w:tc>
          <w:tcPr>
            <w:tcW w:w="2240" w:type="dxa"/>
            <w:vAlign w:val="bottom"/>
            <w:shd w:val="clear" w:color="auto" w:fill="CCEEFF"/>
          </w:tcPr>
          <w:p>
            <w:pPr>
              <w:jc w:val="center"/>
              <w:ind w:right="42"/>
              <w:spacing w:after="0"/>
              <w:rPr>
                <w:sz w:val="20"/>
                <w:szCs w:val="20"/>
                <w:color w:val="auto"/>
              </w:rPr>
            </w:pPr>
            <w:r>
              <w:rPr>
                <w:rFonts w:ascii="Arial" w:cs="Arial" w:eastAsia="Arial" w:hAnsi="Arial"/>
                <w:sz w:val="18"/>
                <w:szCs w:val="18"/>
                <w:color w:val="auto"/>
                <w:w w:val="95"/>
              </w:rPr>
              <w:t>$295 million</w:t>
            </w:r>
          </w:p>
        </w:tc>
      </w:tr>
    </w:tbl>
    <w:p>
      <w:pPr>
        <w:spacing w:after="0" w:line="202" w:lineRule="exact"/>
        <w:rPr>
          <w:sz w:val="20"/>
          <w:szCs w:val="20"/>
          <w:color w:val="auto"/>
        </w:rPr>
      </w:pPr>
    </w:p>
    <w:p>
      <w:pPr>
        <w:jc w:val="both"/>
        <w:ind w:left="340" w:hanging="332"/>
        <w:spacing w:after="0" w:line="296"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Key Performance Milestones. “Key performance milestones” performance metrics are established as a defined annual incentive category. The Compensation Committee establishes threshold, target and maximum levels of performance for this category based on the number of milestones achieved. For 2020, a total of nine milestones were established relating to the Company’s credit rating, external M&amp;A activity, adherence to budget, CAFD per share goals, ratio of administrative costs to CAFD, corporate process improvement, Thermal growth, and OSHA recordable incident rate. Additional CAFD and safety-related goals also applied with respect to the Company’s Thermal business. For 2020, threshold performance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jc w:val="both"/>
        <w:ind w:left="340"/>
        <w:spacing w:after="0" w:line="263" w:lineRule="auto"/>
        <w:rPr>
          <w:sz w:val="20"/>
          <w:szCs w:val="20"/>
          <w:color w:val="auto"/>
        </w:rPr>
      </w:pPr>
      <w:r>
        <w:rPr>
          <w:rFonts w:ascii="Arial" w:cs="Arial" w:eastAsia="Arial" w:hAnsi="Arial"/>
          <w:sz w:val="18"/>
          <w:szCs w:val="18"/>
          <w:color w:val="auto"/>
        </w:rPr>
        <w:t>required the achievement of three out of the nine milestones, target performance required the achievement of five out of the nine milestones, and maximum performance required the achievement of all nine milestones. Ultimately, above target performance was attained with the achievement of six out of the nine milestones in 2020.</w:t>
      </w:r>
    </w:p>
    <w:p>
      <w:pPr>
        <w:spacing w:after="0" w:line="184" w:lineRule="exact"/>
        <w:rPr>
          <w:sz w:val="20"/>
          <w:szCs w:val="20"/>
          <w:color w:val="auto"/>
        </w:rPr>
      </w:pPr>
    </w:p>
    <w:p>
      <w:pPr>
        <w:jc w:val="both"/>
        <w:ind w:left="340" w:hanging="332"/>
        <w:spacing w:after="0" w:line="270" w:lineRule="auto"/>
        <w:tabs>
          <w:tab w:leader="none" w:pos="3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Achievement of the Thermal Plan. Achievement of “Thermal Plan” performance metrics was added as an annual incentive category beginning in 2019 based on the view that all elements of the Company’s business should be reflected in the AIP bonus opportunity. The Compensation Committee established threshold, target and maximum levels for this category for each of the “Thermal Plan” performance metrics. For 2020, the Thermal Plan performance metrics relate to the Thermal business’s CAFD, growth and five key Thermal goals. Similar to the key performance milestones described above, threshold, target and maximum levels of performance were established for the key Thermal goals based on the number of goals achieved. These goals related to safety, environmental compliance, program accountability, project investment modeling and the successful integration of Thermal acquisitions, in each case, with respect to the Thermal business (threshold, target and maximum performance required the achievement of one, three and five goals, respectively, out of a total of five). Ultimately, below target performance was attained (expressed as 55% of target) with respect to the Thermal Plan in 2020 (despite achieving four out of the five key Thermal goals).</w:t>
      </w:r>
    </w:p>
    <w:p>
      <w:pPr>
        <w:spacing w:after="0" w:line="180" w:lineRule="exact"/>
        <w:rPr>
          <w:rFonts w:ascii="Arial" w:cs="Arial" w:eastAsia="Arial" w:hAnsi="Arial"/>
          <w:sz w:val="17"/>
          <w:szCs w:val="17"/>
          <w:color w:val="auto"/>
        </w:rPr>
      </w:pPr>
    </w:p>
    <w:p>
      <w:pPr>
        <w:jc w:val="both"/>
        <w:ind w:left="340" w:hanging="332"/>
        <w:spacing w:after="0" w:line="254"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Individual Performance. As indicated above, an NEO’s individual performance may (negatively or positively) affect his or her AIP bonus by up to 20%, although no AIP bonus payments can exceed 200% of the target award. Such individual performance is determined on a discretionary basis based on the Compensation Committee’s assessment of the NEO’s contributions in supporting adherence to budget, support towards the achievement of key milestones, and other contributions towards the successful execution of the Company’s business strategy. In 2020, the Compensation Committee considered the individual performance of the CEO and recommended to the full Board that his AIP bonus be increased by 7% to account for his individual performance. In a similar manner, the CEO recommended to the Compensation Committee that the AIP bonus be increased for the other NEOs by 15%. The full board approved the above recommendation of the Compensation Committee and the Compensation Committee approved the above recommendation of the CEO.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Annual Incentive Bonus Opportunity</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threshold, target and maximum AIP bonus opportunities for NEOs for 2020, expressed as a percentage of base salary, were: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40" w:type="dxa"/>
            <w:vAlign w:val="bottom"/>
          </w:tcPr>
          <w:p>
            <w:pPr>
              <w:ind w:left="1980"/>
              <w:spacing w:after="0"/>
              <w:rPr>
                <w:sz w:val="20"/>
                <w:szCs w:val="20"/>
                <w:color w:val="auto"/>
              </w:rPr>
            </w:pPr>
            <w:r>
              <w:rPr>
                <w:rFonts w:ascii="Arial" w:cs="Arial" w:eastAsia="Arial" w:hAnsi="Arial"/>
                <w:sz w:val="14"/>
                <w:szCs w:val="14"/>
                <w:b w:val="1"/>
                <w:bCs w:val="1"/>
                <w:color w:val="auto"/>
              </w:rPr>
              <w:t>Threshold</w:t>
            </w: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Target</w:t>
            </w:r>
          </w:p>
        </w:tc>
        <w:tc>
          <w:tcPr>
            <w:tcW w:w="1220" w:type="dxa"/>
            <w:vAlign w:val="bottom"/>
          </w:tcPr>
          <w:p>
            <w:pPr>
              <w:ind w:left="180"/>
              <w:spacing w:after="0"/>
              <w:rPr>
                <w:sz w:val="20"/>
                <w:szCs w:val="20"/>
                <w:color w:val="auto"/>
              </w:rPr>
            </w:pPr>
            <w:r>
              <w:rPr>
                <w:rFonts w:ascii="Arial" w:cs="Arial" w:eastAsia="Arial" w:hAnsi="Arial"/>
                <w:sz w:val="14"/>
                <w:szCs w:val="14"/>
                <w:b w:val="1"/>
                <w:bCs w:val="1"/>
                <w:color w:val="auto"/>
              </w:rPr>
              <w:t>Maximum</w:t>
            </w:r>
          </w:p>
        </w:tc>
        <w:tc>
          <w:tcPr>
            <w:tcW w:w="172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Target</w:t>
            </w:r>
          </w:p>
        </w:tc>
      </w:tr>
      <w:tr>
        <w:trPr>
          <w:trHeight w:val="185"/>
        </w:trPr>
        <w:tc>
          <w:tcPr>
            <w:tcW w:w="2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2840" w:type="dxa"/>
            <w:vAlign w:val="bottom"/>
          </w:tcPr>
          <w:p>
            <w:pPr>
              <w:jc w:val="center"/>
              <w:ind w:left="165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1220" w:type="dxa"/>
            <w:vAlign w:val="bottom"/>
          </w:tcPr>
          <w:p>
            <w:pPr>
              <w:jc w:val="center"/>
              <w:ind w:right="141"/>
              <w:spacing w:after="0" w:line="185"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172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Amount ($)</w:t>
            </w: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2840" w:type="dxa"/>
            <w:vAlign w:val="bottom"/>
            <w:shd w:val="clear" w:color="auto" w:fill="CCEEFF"/>
          </w:tcPr>
          <w:p>
            <w:pPr>
              <w:jc w:val="center"/>
              <w:ind w:left="1656"/>
              <w:spacing w:after="0"/>
              <w:rPr>
                <w:sz w:val="20"/>
                <w:szCs w:val="20"/>
                <w:color w:val="auto"/>
              </w:rPr>
            </w:pPr>
            <w:r>
              <w:rPr>
                <w:rFonts w:ascii="Arial" w:cs="Arial" w:eastAsia="Arial" w:hAnsi="Arial"/>
                <w:sz w:val="18"/>
                <w:szCs w:val="18"/>
                <w:color w:val="auto"/>
                <w:w w:val="89"/>
              </w:rPr>
              <w:t>50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220" w:type="dxa"/>
            <w:vAlign w:val="bottom"/>
            <w:shd w:val="clear" w:color="auto" w:fill="CCEEFF"/>
          </w:tcPr>
          <w:p>
            <w:pPr>
              <w:jc w:val="center"/>
              <w:ind w:right="141"/>
              <w:spacing w:after="0"/>
              <w:rPr>
                <w:sz w:val="20"/>
                <w:szCs w:val="20"/>
                <w:color w:val="auto"/>
              </w:rPr>
            </w:pPr>
            <w:r>
              <w:rPr>
                <w:rFonts w:ascii="Arial" w:cs="Arial" w:eastAsia="Arial" w:hAnsi="Arial"/>
                <w:sz w:val="18"/>
                <w:szCs w:val="18"/>
                <w:color w:val="auto"/>
                <w:w w:val="93"/>
              </w:rPr>
              <w:t>200</w:t>
            </w:r>
          </w:p>
        </w:tc>
        <w:tc>
          <w:tcPr>
            <w:tcW w:w="172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auto"/>
                <w:w w:val="89"/>
              </w:rPr>
              <w:t>611,000</w:t>
            </w:r>
          </w:p>
        </w:tc>
      </w:tr>
      <w:tr>
        <w:trPr>
          <w:trHeight w:val="229"/>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2840" w:type="dxa"/>
            <w:vAlign w:val="bottom"/>
          </w:tcPr>
          <w:p>
            <w:pPr>
              <w:jc w:val="center"/>
              <w:ind w:left="1656"/>
              <w:spacing w:after="0"/>
              <w:rPr>
                <w:sz w:val="20"/>
                <w:szCs w:val="20"/>
                <w:color w:val="auto"/>
              </w:rPr>
            </w:pPr>
            <w:r>
              <w:rPr>
                <w:rFonts w:ascii="Arial" w:cs="Arial" w:eastAsia="Arial" w:hAnsi="Arial"/>
                <w:sz w:val="18"/>
                <w:szCs w:val="18"/>
                <w:color w:val="auto"/>
                <w:w w:val="89"/>
              </w:rPr>
              <w:t>30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20" w:type="dxa"/>
            <w:vAlign w:val="bottom"/>
          </w:tcPr>
          <w:p>
            <w:pPr>
              <w:jc w:val="center"/>
              <w:ind w:right="141"/>
              <w:spacing w:after="0"/>
              <w:rPr>
                <w:sz w:val="20"/>
                <w:szCs w:val="20"/>
                <w:color w:val="auto"/>
              </w:rPr>
            </w:pPr>
            <w:r>
              <w:rPr>
                <w:rFonts w:ascii="Arial" w:cs="Arial" w:eastAsia="Arial" w:hAnsi="Arial"/>
                <w:sz w:val="18"/>
                <w:szCs w:val="18"/>
                <w:color w:val="auto"/>
                <w:w w:val="93"/>
              </w:rPr>
              <w:t>120</w:t>
            </w:r>
          </w:p>
        </w:tc>
        <w:tc>
          <w:tcPr>
            <w:tcW w:w="1720" w:type="dxa"/>
            <w:vAlign w:val="bottom"/>
          </w:tcPr>
          <w:p>
            <w:pPr>
              <w:jc w:val="center"/>
              <w:ind w:right="136"/>
              <w:spacing w:after="0"/>
              <w:rPr>
                <w:sz w:val="20"/>
                <w:szCs w:val="20"/>
                <w:color w:val="auto"/>
              </w:rPr>
            </w:pPr>
            <w:r>
              <w:rPr>
                <w:rFonts w:ascii="Arial" w:cs="Arial" w:eastAsia="Arial" w:hAnsi="Arial"/>
                <w:sz w:val="18"/>
                <w:szCs w:val="18"/>
                <w:color w:val="auto"/>
                <w:w w:val="89"/>
              </w:rPr>
              <w:t>228,000</w:t>
            </w:r>
          </w:p>
        </w:tc>
      </w:tr>
      <w:tr>
        <w:trPr>
          <w:trHeight w:val="23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Malcarney</w:t>
            </w:r>
          </w:p>
        </w:tc>
        <w:tc>
          <w:tcPr>
            <w:tcW w:w="2840" w:type="dxa"/>
            <w:vAlign w:val="bottom"/>
            <w:shd w:val="clear" w:color="auto" w:fill="CCEEFF"/>
          </w:tcPr>
          <w:p>
            <w:pPr>
              <w:jc w:val="center"/>
              <w:ind w:left="1656"/>
              <w:spacing w:after="0"/>
              <w:rPr>
                <w:sz w:val="20"/>
                <w:szCs w:val="20"/>
                <w:color w:val="auto"/>
              </w:rPr>
            </w:pPr>
            <w:r>
              <w:rPr>
                <w:rFonts w:ascii="Arial" w:cs="Arial" w:eastAsia="Arial" w:hAnsi="Arial"/>
                <w:sz w:val="18"/>
                <w:szCs w:val="18"/>
                <w:color w:val="auto"/>
                <w:w w:val="89"/>
              </w:rPr>
              <w:t>20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20" w:type="dxa"/>
            <w:vAlign w:val="bottom"/>
            <w:shd w:val="clear" w:color="auto" w:fill="CCEEFF"/>
          </w:tcPr>
          <w:p>
            <w:pPr>
              <w:jc w:val="center"/>
              <w:ind w:right="121"/>
              <w:spacing w:after="0"/>
              <w:rPr>
                <w:sz w:val="20"/>
                <w:szCs w:val="20"/>
                <w:color w:val="auto"/>
              </w:rPr>
            </w:pPr>
            <w:r>
              <w:rPr>
                <w:rFonts w:ascii="Arial" w:cs="Arial" w:eastAsia="Arial" w:hAnsi="Arial"/>
                <w:sz w:val="18"/>
                <w:szCs w:val="18"/>
                <w:color w:val="auto"/>
                <w:w w:val="89"/>
              </w:rPr>
              <w:t>80</w:t>
            </w:r>
          </w:p>
        </w:tc>
        <w:tc>
          <w:tcPr>
            <w:tcW w:w="172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auto"/>
                <w:w w:val="89"/>
              </w:rPr>
              <w:t>123,000</w:t>
            </w:r>
          </w:p>
        </w:tc>
      </w:tr>
      <w:tr>
        <w:trPr>
          <w:trHeight w:val="304"/>
        </w:trPr>
        <w:tc>
          <w:tcPr>
            <w:tcW w:w="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Mary Lee Stillwell</w:t>
            </w:r>
            <w:r>
              <w:rPr>
                <w:rFonts w:ascii="Arial" w:cs="Arial" w:eastAsia="Arial" w:hAnsi="Arial"/>
                <w:sz w:val="23"/>
                <w:szCs w:val="23"/>
                <w:color w:val="auto"/>
                <w:vertAlign w:val="superscript"/>
              </w:rPr>
              <w:t>(2)</w:t>
            </w:r>
          </w:p>
        </w:tc>
        <w:tc>
          <w:tcPr>
            <w:tcW w:w="2840" w:type="dxa"/>
            <w:vAlign w:val="bottom"/>
          </w:tcPr>
          <w:p>
            <w:pPr>
              <w:jc w:val="center"/>
              <w:ind w:left="1656"/>
              <w:spacing w:after="0"/>
              <w:rPr>
                <w:sz w:val="20"/>
                <w:szCs w:val="20"/>
                <w:color w:val="auto"/>
              </w:rPr>
            </w:pPr>
            <w:r>
              <w:rPr>
                <w:rFonts w:ascii="Arial" w:cs="Arial" w:eastAsia="Arial" w:hAnsi="Arial"/>
                <w:sz w:val="18"/>
                <w:szCs w:val="18"/>
                <w:color w:val="auto"/>
                <w:w w:val="89"/>
              </w:rPr>
              <w:t>20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20" w:type="dxa"/>
            <w:vAlign w:val="bottom"/>
          </w:tcPr>
          <w:p>
            <w:pPr>
              <w:jc w:val="center"/>
              <w:ind w:right="121"/>
              <w:spacing w:after="0"/>
              <w:rPr>
                <w:sz w:val="20"/>
                <w:szCs w:val="20"/>
                <w:color w:val="auto"/>
              </w:rPr>
            </w:pPr>
            <w:r>
              <w:rPr>
                <w:rFonts w:ascii="Arial" w:cs="Arial" w:eastAsia="Arial" w:hAnsi="Arial"/>
                <w:sz w:val="18"/>
                <w:szCs w:val="18"/>
                <w:color w:val="auto"/>
                <w:w w:val="89"/>
              </w:rPr>
              <w:t>80</w:t>
            </w:r>
          </w:p>
        </w:tc>
        <w:tc>
          <w:tcPr>
            <w:tcW w:w="1720" w:type="dxa"/>
            <w:vAlign w:val="bottom"/>
          </w:tcPr>
          <w:p>
            <w:pPr>
              <w:jc w:val="center"/>
              <w:ind w:right="136"/>
              <w:spacing w:after="0"/>
              <w:rPr>
                <w:sz w:val="20"/>
                <w:szCs w:val="20"/>
                <w:color w:val="auto"/>
              </w:rPr>
            </w:pPr>
            <w:r>
              <w:rPr>
                <w:rFonts w:ascii="Arial" w:cs="Arial" w:eastAsia="Arial" w:hAnsi="Arial"/>
                <w:sz w:val="18"/>
                <w:szCs w:val="18"/>
                <w:color w:val="auto"/>
                <w:w w:val="89"/>
              </w:rPr>
              <w:t>121,540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3798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firstLine="8"/>
        <w:spacing w:after="0" w:line="250" w:lineRule="auto"/>
        <w:tabs>
          <w:tab w:leader="none" w:pos="21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This assumes that the CAFD performance metric and all other quantitative and qualitative goals, including the key milestones, are achieved at threshold target and maximum levels as applicable.</w:t>
      </w: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Stillwell did not receive a payment as a result of her voluntary resignation in August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Annual Incentive Bonuses</w:t>
      </w:r>
    </w:p>
    <w:p>
      <w:pPr>
        <w:spacing w:after="0" w:line="171" w:lineRule="exact"/>
        <w:rPr>
          <w:sz w:val="20"/>
          <w:szCs w:val="20"/>
          <w:color w:val="auto"/>
        </w:rPr>
      </w:pPr>
    </w:p>
    <w:p>
      <w:pPr>
        <w:jc w:val="both"/>
        <w:ind w:firstLine="174"/>
        <w:spacing w:after="0" w:line="255" w:lineRule="auto"/>
        <w:rPr>
          <w:sz w:val="20"/>
          <w:szCs w:val="20"/>
          <w:color w:val="auto"/>
        </w:rPr>
      </w:pPr>
      <w:r>
        <w:rPr>
          <w:rFonts w:ascii="Arial" w:cs="Arial" w:eastAsia="Arial" w:hAnsi="Arial"/>
          <w:sz w:val="18"/>
          <w:szCs w:val="18"/>
          <w:color w:val="auto"/>
        </w:rPr>
        <w:t>As noted above, with respect to AIP bonuses for 2020, the CAFD target was $310 million, the key performance milestone target was achievement of five out of nine key performance milestones and target achievement of the “Thermal Plan” metrics was based on the achievement of various sub-categories, including the achievement of four out of five key Thermal goals.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2020, CAFD achievement, as adjusted, was between threshold and target at approximately $304 million and six out of nine key performance</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milestones were achieved. In addition, overall achievement for the Thermal Plan for 2020 was below target at 55%. Due to the achievement specified above, 2020 AIP bonuses were paid at levels above target. If performance falls between threshold and target or target and maximum, the bonus opportunity will be determined on an interpolated basis. As a result, the CAFD metric, the key performance milestone, and Thermal Plan metrics were respectively weighted at 95%, 125%, and 55% of target. Individual performance, which is determined on a discretionary basis, resulted in positive adjustments to the AIP bonuses for the NEOs from 7% to 15%.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The annual incentive bonuses paid to NEOs for 2020 were: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Annual Base</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Incentive</w:t>
            </w:r>
          </w:p>
        </w:tc>
      </w:tr>
      <w:tr>
        <w:trPr>
          <w:trHeight w:val="206"/>
        </w:trPr>
        <w:tc>
          <w:tcPr>
            <w:tcW w:w="65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Salary (%)</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Achieved (%)</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Payment ($)</w:t>
            </w:r>
          </w:p>
        </w:tc>
      </w:tr>
      <w:tr>
        <w:trPr>
          <w:trHeight w:val="229"/>
        </w:trPr>
        <w:tc>
          <w:tcPr>
            <w:tcW w:w="6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699,534</w:t>
            </w:r>
          </w:p>
        </w:tc>
      </w:tr>
      <w:tr>
        <w:trPr>
          <w:trHeight w:val="229"/>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281,551</w:t>
            </w: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151,889</w:t>
            </w:r>
          </w:p>
        </w:tc>
      </w:tr>
      <w:tr>
        <w:trPr>
          <w:trHeight w:val="304"/>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Mary Lee Stillwell</w:t>
            </w:r>
            <w:r>
              <w:rPr>
                <w:rFonts w:ascii="Arial" w:cs="Arial" w:eastAsia="Arial" w:hAnsi="Arial"/>
                <w:sz w:val="23"/>
                <w:szCs w:val="23"/>
                <w:color w:val="auto"/>
                <w:vertAlign w:val="superscript"/>
              </w:rPr>
              <w:t>(1)</w:t>
            </w:r>
          </w:p>
        </w:tc>
        <w:tc>
          <w:tcPr>
            <w:tcW w:w="15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49" w:lineRule="exact"/>
        <w:rPr>
          <w:sz w:val="20"/>
          <w:szCs w:val="20"/>
          <w:color w:val="auto"/>
        </w:rPr>
      </w:pPr>
    </w:p>
    <w:p>
      <w:pPr>
        <w:ind w:right="2480" w:firstLine="8"/>
        <w:spacing w:after="0" w:line="273" w:lineRule="auto"/>
        <w:tabs>
          <w:tab w:leader="none" w:pos="204" w:val="left"/>
        </w:tabs>
        <w:numPr>
          <w:ilvl w:val="0"/>
          <w:numId w:val="42"/>
        </w:numPr>
        <w:rPr>
          <w:rFonts w:ascii="Arial" w:cs="Arial" w:eastAsia="Arial" w:hAnsi="Arial"/>
          <w:sz w:val="14"/>
          <w:szCs w:val="14"/>
          <w:color w:val="auto"/>
        </w:rPr>
      </w:pPr>
      <w:r>
        <w:rPr>
          <w:rFonts w:ascii="Arial" w:cs="Arial" w:eastAsia="Arial" w:hAnsi="Arial"/>
          <w:sz w:val="14"/>
          <w:szCs w:val="14"/>
          <w:color w:val="auto"/>
        </w:rPr>
        <w:t>Ms. Stillwell voluntarily resigned from her employment with the Company in August 2020. Accordingly, no annual incentive bonus was paid to Ms. Stillwell for 2020.</w:t>
      </w:r>
    </w:p>
    <w:p>
      <w:pPr>
        <w:spacing w:after="0" w:line="2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Incentive Compensation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that equity awards directly align our NEOs’ interests with those of our stockholders. In 2020,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large majority of these long-term incentive awards (67%) were performance-based (i.e., granted as RPSUs). The remainder of our long-term incentive awards (33%) were time-based (i.e., granted as RSUs which vest over 3 years). We believe that our AIP appropriately focuses our NEOs on shorter-term (one-year) financial metrics while our LTIP emphasizes long-term stockholder value creation (i.e., three-year TSR outperformance). For 2020, Mr. Plotkin’s target LTIP award was 125% of his base salary, Mr. Malcarney’s target LTIP award was 100% of his base salary, and Ms. Stillwell’s target LTIP award was 75% of her base salary. Mr. Sotos’ target LTIP award increased from 250% in 2019 to 264% in 2020. This change was intended to recognize his performance and better align his total direct compensation with the market median. The above mix of long-term incentive compensation applied to all NEOs for 2020, except Ms. Stillwell, who received 100% RSUs under the terms of her offer letter. Ms. Stillwell’s outstanding RSUs were forfeited as of the time of her resignation.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Performance Stock Units</w:t>
      </w:r>
    </w:p>
    <w:p>
      <w:pPr>
        <w:spacing w:after="0" w:line="171" w:lineRule="exact"/>
        <w:rPr>
          <w:sz w:val="20"/>
          <w:szCs w:val="20"/>
          <w:color w:val="auto"/>
        </w:rPr>
      </w:pPr>
    </w:p>
    <w:p>
      <w:pPr>
        <w:jc w:val="both"/>
        <w:ind w:firstLine="306"/>
        <w:spacing w:after="0" w:line="220" w:lineRule="exact"/>
        <w:rPr>
          <w:sz w:val="20"/>
          <w:szCs w:val="20"/>
          <w:color w:val="auto"/>
        </w:rPr>
      </w:pPr>
      <w:r>
        <w:rPr>
          <w:rFonts w:ascii="Arial" w:cs="Arial" w:eastAsia="Arial" w:hAnsi="Arial"/>
          <w:sz w:val="16"/>
          <w:szCs w:val="16"/>
          <w:color w:val="auto"/>
        </w:rPr>
        <w:t>Each RPSU represents the potential to receive one share of Class C common stock, as adjusted based on the Company’s TSR performance ranked against the TSR performance of a comparator group of similar companies (the “Performance Peer Group”) after the completion of a three</w:t>
      </w:r>
      <w:r>
        <w:rPr>
          <w:rFonts w:ascii="MS PGothic" w:cs="MS PGothic" w:eastAsia="MS PGothic" w:hAnsi="MS PGothic"/>
          <w:sz w:val="16"/>
          <w:szCs w:val="16"/>
          <w:color w:val="auto"/>
        </w:rPr>
        <w:t>‑</w:t>
      </w:r>
      <w:r>
        <w:rPr>
          <w:rFonts w:ascii="Arial" w:cs="Arial" w:eastAsia="Arial" w:hAnsi="Arial"/>
          <w:sz w:val="16"/>
          <w:szCs w:val="16"/>
          <w:color w:val="auto"/>
        </w:rPr>
        <w:t>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4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payout of shares of Class C common stock at the end of the three</w:t>
      </w:r>
      <w:r>
        <w:rPr>
          <w:rFonts w:ascii="MS PGothic" w:cs="MS PGothic" w:eastAsia="MS PGothic" w:hAnsi="MS PGothic"/>
          <w:sz w:val="18"/>
          <w:szCs w:val="18"/>
          <w:color w:val="auto"/>
        </w:rPr>
        <w:t>‑</w:t>
      </w:r>
      <w:r>
        <w:rPr>
          <w:rFonts w:ascii="Arial" w:cs="Arial" w:eastAsia="Arial" w:hAnsi="Arial"/>
          <w:sz w:val="18"/>
          <w:szCs w:val="18"/>
          <w:color w:val="auto"/>
        </w:rPr>
        <w:t>year performance period is based on the Company’s TSR performance percentile rank compared with the TSR performance of the Performance Peer Group. To ensure a rigorous program design, the target</w:t>
      </w:r>
      <w:r>
        <w:rPr>
          <w:rFonts w:ascii="MS PGothic" w:cs="MS PGothic" w:eastAsia="MS PGothic" w:hAnsi="MS PGothic"/>
          <w:sz w:val="18"/>
          <w:szCs w:val="18"/>
          <w:color w:val="auto"/>
        </w:rPr>
        <w:t>‑</w:t>
      </w:r>
      <w:r>
        <w:rPr>
          <w:rFonts w:ascii="Arial" w:cs="Arial" w:eastAsia="Arial" w:hAnsi="Arial"/>
          <w:sz w:val="18"/>
          <w:szCs w:val="18"/>
          <w:color w:val="auto"/>
        </w:rPr>
        <w:t>level payout (100% of shares granted) requires the Company to perform at the 50th percentile. To induce management to achieve greater than target</w:t>
      </w:r>
      <w:r>
        <w:rPr>
          <w:rFonts w:ascii="MS PGothic" w:cs="MS PGothic" w:eastAsia="MS PGothic" w:hAnsi="MS PGothic"/>
          <w:sz w:val="18"/>
          <w:szCs w:val="18"/>
          <w:color w:val="auto"/>
        </w:rPr>
        <w:t>‑</w:t>
      </w:r>
      <w:r>
        <w:rPr>
          <w:rFonts w:ascii="Arial" w:cs="Arial" w:eastAsia="Arial" w:hAnsi="Arial"/>
          <w:sz w:val="18"/>
          <w:szCs w:val="18"/>
          <w:color w:val="auto"/>
        </w:rPr>
        <w:t>level performance in a down market, in the event that the Company’s TSR performance declines by more than 20% over the performance period, the target</w:t>
      </w:r>
      <w:r>
        <w:rPr>
          <w:rFonts w:ascii="MS PGothic" w:cs="MS PGothic" w:eastAsia="MS PGothic" w:hAnsi="MS PGothic"/>
          <w:sz w:val="18"/>
          <w:szCs w:val="18"/>
          <w:color w:val="auto"/>
        </w:rPr>
        <w:t>‑</w:t>
      </w:r>
      <w:r>
        <w:rPr>
          <w:rFonts w:ascii="Arial" w:cs="Arial" w:eastAsia="Arial" w:hAnsi="Arial"/>
          <w:sz w:val="18"/>
          <w:szCs w:val="18"/>
          <w:color w:val="auto"/>
        </w:rPr>
        <w:t>level payout (100% of shares granted) will require an even greater achievement of a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a maximum payout of 150% of the target will be paid with respect to RPSU awards granted in 2020. Beginning with respect to RPSUs granted in 2018 and continuing for grants of 2020 RPSUs, the maximum payout was (and remains) changed from 200% to 150% (the RPSUs granted in 2018 vested at 150% of target based on the Company’s TSR performance ranked against the TSR performance of the Performance Peer Group).</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The table below illustrates the design of our RPSUs in 2020.</w:t>
      </w:r>
    </w:p>
    <w:p>
      <w:pPr>
        <w:spacing w:after="0" w:line="192"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3200" w:type="dxa"/>
            <w:vAlign w:val="bottom"/>
            <w:tcBorders>
              <w:top w:val="single" w:sz="8" w:color="auto"/>
              <w:left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Performance Targets</w:t>
            </w:r>
          </w:p>
        </w:tc>
        <w:tc>
          <w:tcPr>
            <w:tcW w:w="1760" w:type="dxa"/>
            <w:vAlign w:val="bottom"/>
            <w:tcBorders>
              <w:top w:val="single" w:sz="8" w:color="auto"/>
              <w:bottom w:val="single" w:sz="8" w:color="auto"/>
            </w:tcBorders>
          </w:tcPr>
          <w:p>
            <w:pPr>
              <w:spacing w:after="0"/>
              <w:rPr>
                <w:sz w:val="21"/>
                <w:szCs w:val="21"/>
                <w:color w:val="auto"/>
              </w:rPr>
            </w:pPr>
          </w:p>
        </w:tc>
        <w:tc>
          <w:tcPr>
            <w:tcW w:w="3820" w:type="dxa"/>
            <w:vAlign w:val="bottom"/>
            <w:tcBorders>
              <w:top w:val="single" w:sz="8" w:color="auto"/>
              <w:bottom w:val="single" w:sz="8" w:color="auto"/>
              <w:right w:val="single" w:sz="8" w:color="auto"/>
            </w:tcBorders>
            <w:gridSpan w:val="2"/>
          </w:tcPr>
          <w:p>
            <w:pPr>
              <w:jc w:val="center"/>
              <w:ind w:right="1530"/>
              <w:spacing w:after="0"/>
              <w:rPr>
                <w:sz w:val="20"/>
                <w:szCs w:val="20"/>
                <w:color w:val="auto"/>
              </w:rPr>
            </w:pPr>
            <w:r>
              <w:rPr>
                <w:rFonts w:ascii="Arial" w:cs="Arial" w:eastAsia="Arial" w:hAnsi="Arial"/>
                <w:sz w:val="18"/>
                <w:szCs w:val="18"/>
                <w:b w:val="1"/>
                <w:bCs w:val="1"/>
                <w:color w:val="auto"/>
                <w:w w:val="90"/>
              </w:rPr>
              <w:t>Performance Requirement</w:t>
            </w:r>
          </w:p>
        </w:tc>
        <w:tc>
          <w:tcPr>
            <w:tcW w:w="24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Payout Opportunity</w:t>
            </w:r>
          </w:p>
        </w:tc>
      </w:tr>
      <w:tr>
        <w:trPr>
          <w:trHeight w:val="223"/>
        </w:trPr>
        <w:tc>
          <w:tcPr>
            <w:tcW w:w="32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Maximum</w:t>
            </w:r>
          </w:p>
        </w:tc>
        <w:tc>
          <w:tcPr>
            <w:tcW w:w="1760" w:type="dxa"/>
            <w:vAlign w:val="bottom"/>
            <w:tcBorders>
              <w:bottom w:val="single" w:sz="8" w:color="auto"/>
            </w:tcBorders>
            <w:shd w:val="clear" w:color="auto" w:fill="CCEEFF"/>
          </w:tcPr>
          <w:p>
            <w:pPr>
              <w:spacing w:after="0"/>
              <w:rPr>
                <w:sz w:val="19"/>
                <w:szCs w:val="19"/>
                <w:color w:val="auto"/>
              </w:rPr>
            </w:pPr>
          </w:p>
        </w:tc>
        <w:tc>
          <w:tcPr>
            <w:tcW w:w="3820" w:type="dxa"/>
            <w:vAlign w:val="bottom"/>
            <w:tcBorders>
              <w:bottom w:val="single" w:sz="8" w:color="auto"/>
              <w:right w:val="single" w:sz="8" w:color="auto"/>
            </w:tcBorders>
            <w:gridSpan w:val="2"/>
            <w:shd w:val="clear" w:color="auto" w:fill="CCEEFF"/>
          </w:tcPr>
          <w:p>
            <w:pPr>
              <w:jc w:val="center"/>
              <w:ind w:right="1510"/>
              <w:spacing w:after="0"/>
              <w:rPr>
                <w:sz w:val="20"/>
                <w:szCs w:val="20"/>
                <w:color w:val="auto"/>
              </w:rPr>
            </w:pPr>
            <w:r>
              <w:rPr>
                <w:rFonts w:ascii="Arial" w:cs="Arial" w:eastAsia="Arial" w:hAnsi="Arial"/>
                <w:sz w:val="18"/>
                <w:szCs w:val="18"/>
                <w:color w:val="auto"/>
                <w:w w:val="90"/>
              </w:rPr>
              <w:t>75th percentile or above</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76"/>
        </w:trPr>
        <w:tc>
          <w:tcPr>
            <w:tcW w:w="3200" w:type="dxa"/>
            <w:vAlign w:val="bottom"/>
            <w:tcBorders>
              <w:left w:val="single" w:sz="8" w:color="auto"/>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Modified Target:</w:t>
            </w:r>
          </w:p>
        </w:tc>
        <w:tc>
          <w:tcPr>
            <w:tcW w:w="2420" w:type="dxa"/>
            <w:vAlign w:val="bottom"/>
            <w:tcBorders>
              <w:right w:val="single" w:sz="8" w:color="auto"/>
            </w:tcBorders>
          </w:tcPr>
          <w:p>
            <w:pPr>
              <w:spacing w:after="0"/>
              <w:rPr>
                <w:sz w:val="24"/>
                <w:szCs w:val="24"/>
                <w:color w:val="auto"/>
              </w:rPr>
            </w:pPr>
          </w:p>
        </w:tc>
      </w:tr>
      <w:tr>
        <w:trPr>
          <w:trHeight w:val="230"/>
        </w:trPr>
        <w:tc>
          <w:tcPr>
            <w:tcW w:w="3200" w:type="dxa"/>
            <w:vAlign w:val="bottom"/>
            <w:tcBorders>
              <w:left w:val="single" w:sz="8" w:color="auto"/>
              <w:right w:val="single" w:sz="8" w:color="auto"/>
            </w:tcBorders>
          </w:tcPr>
          <w:p>
            <w:pPr>
              <w:spacing w:after="0"/>
              <w:rPr>
                <w:sz w:val="19"/>
                <w:szCs w:val="19"/>
                <w:color w:val="auto"/>
              </w:rPr>
            </w:pP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87"/>
              </w:rPr>
              <w:t>Standard Target:</w:t>
            </w:r>
          </w:p>
        </w:tc>
        <w:tc>
          <w:tcPr>
            <w:tcW w:w="460" w:type="dxa"/>
            <w:vAlign w:val="bottom"/>
            <w:tcBorders>
              <w:right w:val="single" w:sz="8" w:color="auto"/>
            </w:tcBorders>
          </w:tcPr>
          <w:p>
            <w:pPr>
              <w:spacing w:after="0"/>
              <w:rPr>
                <w:sz w:val="19"/>
                <w:szCs w:val="19"/>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60th percentile</w:t>
            </w:r>
          </w:p>
        </w:tc>
        <w:tc>
          <w:tcPr>
            <w:tcW w:w="2420" w:type="dxa"/>
            <w:vAlign w:val="bottom"/>
            <w:tcBorders>
              <w:right w:val="single" w:sz="8" w:color="auto"/>
            </w:tcBorders>
          </w:tcPr>
          <w:p>
            <w:pPr>
              <w:spacing w:after="0"/>
              <w:rPr>
                <w:sz w:val="19"/>
                <w:szCs w:val="19"/>
                <w:color w:val="auto"/>
              </w:rPr>
            </w:pPr>
          </w:p>
        </w:tc>
      </w:tr>
      <w:tr>
        <w:trPr>
          <w:trHeight w:val="284"/>
        </w:trPr>
        <w:tc>
          <w:tcPr>
            <w:tcW w:w="32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Target</w:t>
            </w:r>
          </w:p>
        </w:tc>
        <w:tc>
          <w:tcPr>
            <w:tcW w:w="17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1"/>
              </w:rPr>
              <w:t>50th percentile</w:t>
            </w:r>
          </w:p>
        </w:tc>
        <w:tc>
          <w:tcPr>
            <w:tcW w:w="4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(less than −20% absolute TSR)</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32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Threshold</w:t>
            </w:r>
          </w:p>
        </w:tc>
        <w:tc>
          <w:tcPr>
            <w:tcW w:w="1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shd w:val="clear" w:color="auto" w:fill="CCEEFF"/>
          </w:tcPr>
          <w:p>
            <w:pPr>
              <w:spacing w:after="0"/>
              <w:rPr>
                <w:sz w:val="19"/>
                <w:szCs w:val="19"/>
                <w:color w:val="auto"/>
              </w:rPr>
            </w:pPr>
          </w:p>
        </w:tc>
        <w:tc>
          <w:tcPr>
            <w:tcW w:w="3360" w:type="dxa"/>
            <w:vAlign w:val="bottom"/>
            <w:tcBorders>
              <w:bottom w:val="single" w:sz="8" w:color="auto"/>
              <w:right w:val="single" w:sz="8" w:color="auto"/>
            </w:tcBorders>
            <w:shd w:val="clear" w:color="auto" w:fill="CCEEFF"/>
          </w:tcPr>
          <w:p>
            <w:pPr>
              <w:jc w:val="center"/>
              <w:ind w:right="1990"/>
              <w:spacing w:after="0"/>
              <w:rPr>
                <w:sz w:val="20"/>
                <w:szCs w:val="20"/>
                <w:color w:val="auto"/>
              </w:rPr>
            </w:pPr>
            <w:r>
              <w:rPr>
                <w:rFonts w:ascii="Arial" w:cs="Arial" w:eastAsia="Arial" w:hAnsi="Arial"/>
                <w:sz w:val="18"/>
                <w:szCs w:val="18"/>
                <w:color w:val="auto"/>
                <w:w w:val="91"/>
              </w:rPr>
              <w:t>25th percentile</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23"/>
        </w:trPr>
        <w:tc>
          <w:tcPr>
            <w:tcW w:w="32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Below Threshold</w:t>
            </w:r>
          </w:p>
        </w:tc>
        <w:tc>
          <w:tcPr>
            <w:tcW w:w="176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gridSpan w:val="2"/>
          </w:tcPr>
          <w:p>
            <w:pPr>
              <w:jc w:val="center"/>
              <w:ind w:right="1530"/>
              <w:spacing w:after="0"/>
              <w:rPr>
                <w:sz w:val="20"/>
                <w:szCs w:val="20"/>
                <w:color w:val="auto"/>
              </w:rPr>
            </w:pPr>
            <w:r>
              <w:rPr>
                <w:rFonts w:ascii="Arial" w:cs="Arial" w:eastAsia="Arial" w:hAnsi="Arial"/>
                <w:sz w:val="18"/>
                <w:szCs w:val="18"/>
                <w:color w:val="auto"/>
                <w:w w:val="92"/>
              </w:rPr>
              <w:t>Below 25th percentile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223"/>
        <w:spacing w:after="0" w:line="224" w:lineRule="exact"/>
        <w:rPr>
          <w:sz w:val="20"/>
          <w:szCs w:val="20"/>
          <w:color w:val="auto"/>
        </w:rPr>
      </w:pPr>
      <w:r>
        <w:rPr>
          <w:rFonts w:ascii="Arial" w:cs="Arial" w:eastAsia="Arial" w:hAnsi="Arial"/>
          <w:sz w:val="17"/>
          <w:szCs w:val="17"/>
          <w:color w:val="auto"/>
        </w:rPr>
        <w:t>Each RSU represents the right to receive one share of our Class C common stock after the completion of the vesting period. The RSUs granted to the NEOs in 2020 vest ratably, meaning that one</w:t>
      </w:r>
      <w:r>
        <w:rPr>
          <w:rFonts w:ascii="MS PGothic" w:cs="MS PGothic" w:eastAsia="MS PGothic" w:hAnsi="MS PGothic"/>
          <w:sz w:val="17"/>
          <w:szCs w:val="17"/>
          <w:color w:val="auto"/>
        </w:rPr>
        <w:t>‑</w:t>
      </w:r>
      <w:r>
        <w:rPr>
          <w:rFonts w:ascii="Arial" w:cs="Arial" w:eastAsia="Arial" w:hAnsi="Arial"/>
          <w:sz w:val="17"/>
          <w:szCs w:val="17"/>
          <w:color w:val="auto"/>
        </w:rPr>
        <w:t>third of the award vests each year on the anniversary of the grant date, over a three</w:t>
      </w:r>
      <w:r>
        <w:rPr>
          <w:rFonts w:ascii="MS PGothic" w:cs="MS PGothic" w:eastAsia="MS PGothic" w:hAnsi="MS PGothic"/>
          <w:sz w:val="17"/>
          <w:szCs w:val="17"/>
          <w:color w:val="auto"/>
        </w:rPr>
        <w:t>‑</w:t>
      </w:r>
      <w:r>
        <w:rPr>
          <w:rFonts w:ascii="Arial" w:cs="Arial" w:eastAsia="Arial" w:hAnsi="Arial"/>
          <w:sz w:val="17"/>
          <w:szCs w:val="17"/>
          <w:color w:val="auto"/>
        </w:rPr>
        <w:t>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 Rights</w:t>
      </w:r>
    </w:p>
    <w:p>
      <w:pPr>
        <w:spacing w:after="0" w:line="171"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In connection with awards of both RPSUs and RSUs, each NEO also receives DERs, which accrue with respect to the award to which they relate. DERs accrue only to the extent that the shares of Class C common stock underlying each award become vested and deliverable to the NEO. Accrued DERs are paid at the same time such shares are delivered to the NEO. Accordingly, DERs are forfeited if the underlying shares are forfeited.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Clawbacks</w:t>
      </w:r>
    </w:p>
    <w:p>
      <w:pPr>
        <w:spacing w:after="0" w:line="17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(“SOX”), the CEO and the CFO would also be subject to a “clawback,” as required by SOX.</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NEOs are eligible to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3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Potential Severance and Change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Control Benefits</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Each NEO’s RPSU and RSU award agreements under the LTIP provide for special treatment in the event of such NEO’s termination of employment under certain circumstances, including in connection with a change-in-control. Additionally, Mr. Sotos, pursuant to his employment agreement, and the remaining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21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w:t>
      </w:r>
    </w:p>
    <w:p>
      <w:pPr>
        <w:spacing w:after="0" w:line="13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 more detailed discussion, including the quantification of potential payments, please see the section entitled “Severance and Change-In-Control” following the executive compensation tables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Compensation Committee and the Board require the CEO to hold Company stock with a value equal to 4.0 times his base salary until his separation from the Company. Senior Vice Presidents are required to hold Company stock with a value equal to 2.0 times their base salary until their separation from the Company. The Chief Accounting Officer was required to hold Company stock with a value of 1.5 times her base salary until her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February 19, 2021 is shown below. All of our NEOs met or exceeded their stock ownership guidelines as of February 19, 2021, or in the case of Ms. Stillwell, as of the date of her separation from the Company.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jc w:val="center"/>
              <w:ind w:left="608"/>
              <w:spacing w:after="0"/>
              <w:rPr>
                <w:sz w:val="20"/>
                <w:szCs w:val="20"/>
                <w:color w:val="auto"/>
              </w:rPr>
            </w:pPr>
            <w:r>
              <w:rPr>
                <w:rFonts w:ascii="Arial" w:cs="Arial" w:eastAsia="Arial" w:hAnsi="Arial"/>
                <w:sz w:val="14"/>
                <w:szCs w:val="14"/>
                <w:b w:val="1"/>
                <w:bCs w:val="1"/>
                <w:color w:val="auto"/>
                <w:w w:val="94"/>
              </w:rPr>
              <w:t>Target Ownership</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ind w:right="536"/>
              <w:spacing w:after="0"/>
              <w:rPr>
                <w:sz w:val="20"/>
                <w:szCs w:val="20"/>
                <w:color w:val="auto"/>
              </w:rPr>
            </w:pPr>
            <w:r>
              <w:rPr>
                <w:rFonts w:ascii="Arial" w:cs="Arial" w:eastAsia="Arial" w:hAnsi="Arial"/>
                <w:sz w:val="14"/>
                <w:szCs w:val="14"/>
                <w:b w:val="1"/>
                <w:bCs w:val="1"/>
                <w:color w:val="auto"/>
              </w:rPr>
              <w:t>Actual Ownership</w:t>
            </w:r>
          </w:p>
        </w:tc>
      </w:tr>
      <w:tr>
        <w:trPr>
          <w:trHeight w:val="21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2480" w:type="dxa"/>
            <w:vAlign w:val="bottom"/>
          </w:tcPr>
          <w:p>
            <w:pPr>
              <w:jc w:val="center"/>
              <w:ind w:left="608"/>
              <w:spacing w:after="0"/>
              <w:rPr>
                <w:sz w:val="20"/>
                <w:szCs w:val="20"/>
                <w:color w:val="auto"/>
              </w:rPr>
            </w:pPr>
            <w:r>
              <w:rPr>
                <w:rFonts w:ascii="Arial" w:cs="Arial" w:eastAsia="Arial" w:hAnsi="Arial"/>
                <w:sz w:val="14"/>
                <w:szCs w:val="14"/>
                <w:b w:val="1"/>
                <w:bCs w:val="1"/>
                <w:color w:val="auto"/>
                <w:w w:val="98"/>
              </w:rPr>
              <w:t>Multiple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jc w:val="right"/>
              <w:ind w:right="836"/>
              <w:spacing w:after="0"/>
              <w:rPr>
                <w:sz w:val="20"/>
                <w:szCs w:val="20"/>
                <w:color w:val="auto"/>
              </w:rPr>
            </w:pPr>
            <w:r>
              <w:rPr>
                <w:rFonts w:ascii="Arial" w:cs="Arial" w:eastAsia="Arial" w:hAnsi="Arial"/>
                <w:sz w:val="14"/>
                <w:szCs w:val="14"/>
                <w:b w:val="1"/>
                <w:bCs w:val="1"/>
                <w:color w:val="auto"/>
              </w:rPr>
              <w:t>Multiple</w:t>
            </w:r>
          </w:p>
        </w:tc>
      </w:tr>
      <w:tr>
        <w:trPr>
          <w:trHeight w:val="229"/>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3"/>
              </w:rPr>
              <w:t>4.0x</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16.9x</w:t>
            </w: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2480" w:type="dxa"/>
            <w:vAlign w:val="bottom"/>
          </w:tcPr>
          <w:p>
            <w:pPr>
              <w:spacing w:after="0"/>
              <w:rPr>
                <w:sz w:val="19"/>
                <w:szCs w:val="19"/>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2.0x</w:t>
            </w:r>
          </w:p>
        </w:tc>
        <w:tc>
          <w:tcPr>
            <w:tcW w:w="2340" w:type="dxa"/>
            <w:vAlign w:val="bottom"/>
          </w:tcPr>
          <w:p>
            <w:pPr>
              <w:jc w:val="right"/>
              <w:spacing w:after="0"/>
              <w:rPr>
                <w:sz w:val="20"/>
                <w:szCs w:val="20"/>
                <w:color w:val="auto"/>
              </w:rPr>
            </w:pPr>
            <w:r>
              <w:rPr>
                <w:rFonts w:ascii="Arial" w:cs="Arial" w:eastAsia="Arial" w:hAnsi="Arial"/>
                <w:sz w:val="18"/>
                <w:szCs w:val="18"/>
                <w:color w:val="auto"/>
              </w:rPr>
              <w:t>7.0x</w:t>
            </w: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24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2.0x</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5.1x</w:t>
            </w:r>
          </w:p>
        </w:tc>
      </w:tr>
      <w:tr>
        <w:trPr>
          <w:trHeight w:val="304"/>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Mary Lee Stillwell</w:t>
            </w:r>
            <w:r>
              <w:rPr>
                <w:rFonts w:ascii="Arial" w:cs="Arial" w:eastAsia="Arial" w:hAnsi="Arial"/>
                <w:sz w:val="23"/>
                <w:szCs w:val="23"/>
                <w:color w:val="auto"/>
                <w:vertAlign w:val="superscript"/>
              </w:rPr>
              <w:t>(1)</w:t>
            </w:r>
          </w:p>
        </w:tc>
        <w:tc>
          <w:tcPr>
            <w:tcW w:w="2480" w:type="dxa"/>
            <w:vAlign w:val="bottom"/>
          </w:tcPr>
          <w:p>
            <w:pPr>
              <w:spacing w:after="0"/>
              <w:rPr>
                <w:sz w:val="24"/>
                <w:szCs w:val="24"/>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1.5x</w:t>
            </w:r>
          </w:p>
        </w:tc>
        <w:tc>
          <w:tcPr>
            <w:tcW w:w="2340" w:type="dxa"/>
            <w:vAlign w:val="bottom"/>
          </w:tcPr>
          <w:p>
            <w:pPr>
              <w:jc w:val="right"/>
              <w:spacing w:after="0"/>
              <w:rPr>
                <w:sz w:val="20"/>
                <w:szCs w:val="20"/>
                <w:color w:val="auto"/>
              </w:rPr>
            </w:pPr>
            <w:r>
              <w:rPr>
                <w:rFonts w:ascii="Arial" w:cs="Arial" w:eastAsia="Arial" w:hAnsi="Arial"/>
                <w:sz w:val="18"/>
                <w:szCs w:val="18"/>
                <w:color w:val="auto"/>
              </w:rPr>
              <w:t>1.5x</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 Ms. Stillwell voluntarily resigned from her employment with the Company in August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162(m) of the Internal Revenue Code (the “Code”) precludes us,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21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w:t>
      </w:r>
      <w:r>
        <w:rPr>
          <w:rFonts w:ascii="MS PGothic" w:cs="MS PGothic" w:eastAsia="MS PGothic" w:hAnsi="MS PGothic"/>
          <w:sz w:val="18"/>
          <w:szCs w:val="18"/>
          <w:color w:val="auto"/>
        </w:rPr>
        <w:t>‑</w:t>
      </w:r>
      <w:r>
        <w:rPr>
          <w:rFonts w:ascii="Arial" w:cs="Arial" w:eastAsia="Arial" w:hAnsi="Arial"/>
          <w:sz w:val="18"/>
          <w:szCs w:val="18"/>
          <w:color w:val="auto"/>
        </w:rPr>
        <w:t>term goals.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Compensation Tables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99"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Change in</w:t>
      </w:r>
    </w:p>
    <w:p>
      <w:pPr>
        <w:spacing w:after="0" w:line="4"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Pension</w:t>
      </w:r>
    </w:p>
    <w:tbl>
      <w:tblPr>
        <w:tblLayout w:type="fixed"/>
        <w:tblInd w:w="0" w:type="dxa"/>
        <w:tblCellMar>
          <w:top w:w="0" w:type="dxa"/>
          <w:left w:w="0" w:type="dxa"/>
          <w:bottom w:w="0" w:type="dxa"/>
          <w:right w:w="0" w:type="dxa"/>
        </w:tblCellMar>
      </w:tblPr>
      <w:tr>
        <w:trPr>
          <w:trHeight w:val="134"/>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93"/>
              </w:rPr>
              <w:t>Value and</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320" w:type="dxa"/>
            <w:vAlign w:val="bottom"/>
            <w:gridSpan w:val="2"/>
          </w:tcPr>
          <w:p>
            <w:pPr>
              <w:jc w:val="center"/>
              <w:ind w:right="120"/>
              <w:spacing w:after="0" w:line="161" w:lineRule="exact"/>
              <w:rPr>
                <w:sz w:val="20"/>
                <w:szCs w:val="20"/>
                <w:color w:val="auto"/>
              </w:rPr>
            </w:pPr>
            <w:r>
              <w:rPr>
                <w:rFonts w:ascii="Arial" w:cs="Arial" w:eastAsia="Arial" w:hAnsi="Arial"/>
                <w:sz w:val="14"/>
                <w:szCs w:val="14"/>
                <w:b w:val="1"/>
                <w:bCs w:val="1"/>
                <w:color w:val="auto"/>
                <w:w w:val="96"/>
              </w:rPr>
              <w:t>Non</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Equity</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Deferred</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0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Principal</w:t>
            </w: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Year</w:t>
            </w:r>
          </w:p>
        </w:tc>
        <w:tc>
          <w:tcPr>
            <w:tcW w:w="100" w:type="dxa"/>
            <w:vAlign w:val="bottom"/>
            <w:vMerge w:val="restart"/>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Awards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Compensation</w:t>
            </w: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jc w:val="right"/>
              <w:ind w:right="18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(3)</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Christopher S. Sotos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1,900,423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699,534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3,248,568</w:t>
            </w:r>
          </w:p>
        </w:tc>
        <w:tc>
          <w:tcPr>
            <w:tcW w:w="0" w:type="dxa"/>
            <w:vAlign w:val="bottom"/>
          </w:tcPr>
          <w:p>
            <w:pPr>
              <w:spacing w:after="0"/>
              <w:rPr>
                <w:sz w:val="1"/>
                <w:szCs w:val="1"/>
                <w:color w:val="auto"/>
              </w:rPr>
            </w:pPr>
          </w:p>
        </w:tc>
      </w:tr>
      <w:tr>
        <w:trPr>
          <w:trHeight w:val="229"/>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President and Chief</w:t>
            </w:r>
          </w:p>
        </w:tc>
        <w:tc>
          <w:tcPr>
            <w:tcW w:w="72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606,304</w:t>
            </w:r>
          </w:p>
        </w:tc>
        <w:tc>
          <w:tcPr>
            <w:tcW w:w="10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1,527,522</w:t>
            </w:r>
          </w:p>
        </w:tc>
        <w:tc>
          <w:tcPr>
            <w:tcW w:w="1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906,235</w:t>
            </w: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14,882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3,054,942</w:t>
            </w:r>
          </w:p>
        </w:tc>
        <w:tc>
          <w:tcPr>
            <w:tcW w:w="0" w:type="dxa"/>
            <w:vAlign w:val="bottom"/>
          </w:tcPr>
          <w:p>
            <w:pPr>
              <w:spacing w:after="0"/>
              <w:rPr>
                <w:sz w:val="1"/>
                <w:szCs w:val="1"/>
                <w:color w:val="auto"/>
              </w:rPr>
            </w:pPr>
          </w:p>
        </w:tc>
      </w:tr>
      <w:tr>
        <w:trPr>
          <w:trHeight w:val="22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Executive Officer</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1,250,021</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626,809</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2,398,180</w:t>
            </w:r>
          </w:p>
        </w:tc>
        <w:tc>
          <w:tcPr>
            <w:tcW w:w="0" w:type="dxa"/>
            <w:vAlign w:val="bottom"/>
          </w:tcPr>
          <w:p>
            <w:pPr>
              <w:spacing w:after="0"/>
              <w:rPr>
                <w:sz w:val="1"/>
                <w:szCs w:val="1"/>
                <w:color w:val="auto"/>
              </w:rPr>
            </w:pP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Chad Plotkin</w:t>
            </w:r>
          </w:p>
        </w:tc>
        <w:tc>
          <w:tcPr>
            <w:tcW w:w="72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394,615</w:t>
            </w:r>
          </w:p>
        </w:tc>
        <w:tc>
          <w:tcPr>
            <w:tcW w:w="10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559,631</w:t>
            </w:r>
          </w:p>
        </w:tc>
        <w:tc>
          <w:tcPr>
            <w:tcW w:w="1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281,551</w:t>
            </w: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14,169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1,249,967</w:t>
            </w:r>
          </w:p>
        </w:tc>
        <w:tc>
          <w:tcPr>
            <w:tcW w:w="0" w:type="dxa"/>
            <w:vAlign w:val="bottom"/>
          </w:tcPr>
          <w:p>
            <w:pPr>
              <w:spacing w:after="0"/>
              <w:rPr>
                <w:sz w:val="1"/>
                <w:szCs w:val="1"/>
                <w:color w:val="auto"/>
              </w:rPr>
            </w:pPr>
          </w:p>
        </w:tc>
      </w:tr>
      <w:tr>
        <w:trPr>
          <w:trHeight w:val="22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Vice President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378,731</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475,020</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338,170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1,207,120</w:t>
            </w:r>
          </w:p>
        </w:tc>
        <w:tc>
          <w:tcPr>
            <w:tcW w:w="0" w:type="dxa"/>
            <w:vAlign w:val="bottom"/>
          </w:tcPr>
          <w:p>
            <w:pPr>
              <w:spacing w:after="0"/>
              <w:rPr>
                <w:sz w:val="1"/>
                <w:szCs w:val="1"/>
                <w:color w:val="auto"/>
              </w:rPr>
            </w:pP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and Chief Financial</w:t>
            </w:r>
          </w:p>
        </w:tc>
        <w:tc>
          <w:tcPr>
            <w:tcW w:w="72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350,019</w:t>
            </w:r>
          </w:p>
        </w:tc>
        <w:tc>
          <w:tcPr>
            <w:tcW w:w="1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219,383</w:t>
            </w: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22,602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942,004</w:t>
            </w:r>
          </w:p>
        </w:tc>
        <w:tc>
          <w:tcPr>
            <w:tcW w:w="0" w:type="dxa"/>
            <w:vAlign w:val="bottom"/>
          </w:tcPr>
          <w:p>
            <w:pPr>
              <w:spacing w:after="0"/>
              <w:rPr>
                <w:sz w:val="1"/>
                <w:szCs w:val="1"/>
                <w:color w:val="auto"/>
              </w:rPr>
            </w:pPr>
          </w:p>
        </w:tc>
      </w:tr>
      <w:tr>
        <w:trPr>
          <w:trHeight w:val="18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Officer</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Kevin P. Malcarney</w:t>
            </w:r>
          </w:p>
        </w:tc>
        <w:tc>
          <w:tcPr>
            <w:tcW w:w="72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317,885</w:t>
            </w:r>
          </w:p>
        </w:tc>
        <w:tc>
          <w:tcPr>
            <w:tcW w:w="10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362,301</w:t>
            </w:r>
          </w:p>
        </w:tc>
        <w:tc>
          <w:tcPr>
            <w:tcW w:w="1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151,889</w:t>
            </w: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10,550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842,625</w:t>
            </w:r>
          </w:p>
        </w:tc>
        <w:tc>
          <w:tcPr>
            <w:tcW w:w="0" w:type="dxa"/>
            <w:vAlign w:val="bottom"/>
          </w:tcPr>
          <w:p>
            <w:pPr>
              <w:spacing w:after="0"/>
              <w:rPr>
                <w:sz w:val="1"/>
                <w:szCs w:val="1"/>
                <w:color w:val="auto"/>
              </w:rPr>
            </w:pPr>
          </w:p>
        </w:tc>
      </w:tr>
      <w:tr>
        <w:trPr>
          <w:trHeight w:val="22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Vice President,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300,019</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170,568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781,663</w:t>
            </w:r>
          </w:p>
        </w:tc>
        <w:tc>
          <w:tcPr>
            <w:tcW w:w="0" w:type="dxa"/>
            <w:vAlign w:val="bottom"/>
          </w:tcPr>
          <w:p>
            <w:pPr>
              <w:spacing w:after="0"/>
              <w:rPr>
                <w:sz w:val="1"/>
                <w:szCs w:val="1"/>
                <w:color w:val="auto"/>
              </w:rPr>
            </w:pPr>
          </w:p>
        </w:tc>
      </w:tr>
      <w:tr>
        <w:trPr>
          <w:trHeight w:val="229"/>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General Counsel and</w:t>
            </w:r>
          </w:p>
        </w:tc>
        <w:tc>
          <w:tcPr>
            <w:tcW w:w="72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180,000</w:t>
            </w:r>
          </w:p>
        </w:tc>
        <w:tc>
          <w:tcPr>
            <w:tcW w:w="10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589,868</w:t>
            </w:r>
          </w:p>
        </w:tc>
        <w:tc>
          <w:tcPr>
            <w:tcW w:w="1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96,855</w:t>
            </w: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867,223</w:t>
            </w: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Corporate Secretary</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Mary Lee Stillwell</w:t>
            </w:r>
            <w:r>
              <w:rPr>
                <w:rFonts w:ascii="Arial" w:cs="Arial" w:eastAsia="Arial" w:hAnsi="Arial"/>
                <w:sz w:val="18"/>
                <w:szCs w:val="18"/>
                <w:b w:val="1"/>
                <w:bCs w:val="1"/>
                <w:color w:val="auto"/>
                <w:vertAlign w:val="superscript"/>
              </w:rPr>
              <w:t>(5)</w:t>
            </w:r>
          </w:p>
        </w:tc>
        <w:tc>
          <w:tcPr>
            <w:tcW w:w="72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196,969</w:t>
            </w:r>
          </w:p>
        </w:tc>
        <w:tc>
          <w:tcPr>
            <w:tcW w:w="10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227,905</w:t>
            </w:r>
          </w:p>
        </w:tc>
        <w:tc>
          <w:tcPr>
            <w:tcW w:w="1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61,461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486,335</w:t>
            </w: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Chief Accounting</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221,261</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175,018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702,171</w:t>
            </w:r>
          </w:p>
        </w:tc>
        <w:tc>
          <w:tcPr>
            <w:tcW w:w="0" w:type="dxa"/>
            <w:vAlign w:val="bottom"/>
          </w:tcPr>
          <w:p>
            <w:pPr>
              <w:spacing w:after="0"/>
              <w:rPr>
                <w:sz w:val="1"/>
                <w:szCs w:val="1"/>
                <w:color w:val="auto"/>
              </w:rPr>
            </w:pPr>
          </w:p>
        </w:tc>
      </w:tr>
      <w:tr>
        <w:trPr>
          <w:trHeight w:val="23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72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86,231</w:t>
            </w:r>
          </w:p>
        </w:tc>
        <w:tc>
          <w:tcPr>
            <w:tcW w:w="10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556,336</w:t>
            </w:r>
          </w:p>
        </w:tc>
        <w:tc>
          <w:tcPr>
            <w:tcW w:w="120" w:type="dxa"/>
            <w:vAlign w:val="bottom"/>
          </w:tcPr>
          <w:p>
            <w:pPr>
              <w:spacing w:after="0"/>
              <w:rPr>
                <w:sz w:val="20"/>
                <w:szCs w:val="20"/>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49,849</w:t>
            </w:r>
          </w:p>
        </w:tc>
        <w:tc>
          <w:tcPr>
            <w:tcW w:w="100" w:type="dxa"/>
            <w:vAlign w:val="bottom"/>
          </w:tcPr>
          <w:p>
            <w:pPr>
              <w:spacing w:after="0"/>
              <w:rPr>
                <w:sz w:val="20"/>
                <w:szCs w:val="20"/>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692,416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3798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base salary earnings.</w:t>
      </w:r>
    </w:p>
    <w:p>
      <w:pPr>
        <w:spacing w:after="0" w:line="13" w:lineRule="exact"/>
        <w:rPr>
          <w:rFonts w:ascii="Arial" w:cs="Arial" w:eastAsia="Arial" w:hAnsi="Arial"/>
          <w:sz w:val="14"/>
          <w:szCs w:val="14"/>
          <w:color w:val="auto"/>
        </w:rPr>
      </w:pPr>
    </w:p>
    <w:p>
      <w:pPr>
        <w:ind w:right="40" w:firstLine="8"/>
        <w:spacing w:after="0" w:line="260" w:lineRule="auto"/>
        <w:tabs>
          <w:tab w:leader="none" w:pos="204"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Prior to 2020, the number of RPSUs granted was based on the fair value of RPSUs estimated on the date of grant using a Monte Carlo simulation model. Beginning with awards granted in 2020, the number of RPSUs granted is based on the 10-day average closing price of the Company’s Class C common stock ending on the date of grant. This change in determining the number of RPSUs granted was implemented after reviewing the compensation practices of Compensation Peer Group companies. For RPSUs granted in 2020, if the maximum level of performance is achieved, the fair value will be approximately $2,052,179 for Mr. Sotos, $604,322 for Mr. Plotkin and $391,234 for Mr. Malcarney.</w:t>
      </w:r>
    </w:p>
    <w:p>
      <w:pPr>
        <w:ind w:right="20" w:firstLine="8"/>
        <w:spacing w:after="0" w:line="241" w:lineRule="auto"/>
        <w:tabs>
          <w:tab w:leader="none" w:pos="204"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shown in this column represent the annual incentive bonuses paid to the NEOs. Further information regarding the annual incentive bonuses is included in the “2020 Annual Incentive Bonuses” section of this CD&amp;A.</w:t>
      </w:r>
    </w:p>
    <w:p>
      <w:pPr>
        <w:jc w:val="both"/>
        <w:ind w:firstLine="8"/>
        <w:spacing w:after="0" w:line="246" w:lineRule="auto"/>
        <w:tabs>
          <w:tab w:leader="none" w:pos="21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and when applicable, the Company’s discretionary contribution to the 401(k) plan and payout upon termination of accrued but unused paid time off for Ms. Stillwell. The following table identifies the additional compensation for each NEO.</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 and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401(k)</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Disability</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Financial</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Employer</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401(k)</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Insurance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Advisor</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Matching</w:t>
            </w:r>
          </w:p>
        </w:tc>
        <w:tc>
          <w:tcPr>
            <w:tcW w:w="14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Discretionary</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Year</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Reimbursement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Contribution</w:t>
            </w: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Contribution</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PTO Supplemental</w:t>
            </w:r>
          </w:p>
        </w:tc>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190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6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6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Payout ($)</w:t>
            </w:r>
          </w:p>
        </w:tc>
        <w:tc>
          <w:tcPr>
            <w:tcW w:w="134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Christopher S. Sotos</w:t>
            </w: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11,400</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14,111</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2,682</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11,200</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14,882</w:t>
            </w:r>
          </w:p>
        </w:tc>
        <w:tc>
          <w:tcPr>
            <w:tcW w:w="0" w:type="dxa"/>
            <w:vAlign w:val="bottom"/>
          </w:tcPr>
          <w:p>
            <w:pPr>
              <w:spacing w:after="0"/>
              <w:rPr>
                <w:sz w:val="1"/>
                <w:szCs w:val="1"/>
                <w:color w:val="auto"/>
              </w:rPr>
            </w:pPr>
          </w:p>
        </w:tc>
      </w:tr>
      <w:tr>
        <w:trPr>
          <w:trHeight w:val="192"/>
        </w:trPr>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21,350</w:t>
            </w:r>
          </w:p>
        </w:tc>
        <w:tc>
          <w:tcPr>
            <w:tcW w:w="0" w:type="dxa"/>
            <w:vAlign w:val="bottom"/>
          </w:tcPr>
          <w:p>
            <w:pPr>
              <w:spacing w:after="0"/>
              <w:rPr>
                <w:sz w:val="1"/>
                <w:szCs w:val="1"/>
                <w:color w:val="auto"/>
              </w:rPr>
            </w:pPr>
          </w:p>
        </w:tc>
      </w:tr>
      <w:tr>
        <w:trPr>
          <w:trHeight w:val="188"/>
        </w:trPr>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Chad Plotkin</w:t>
            </w:r>
          </w:p>
        </w:tc>
        <w:tc>
          <w:tcPr>
            <w:tcW w:w="64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14,169</w:t>
            </w:r>
          </w:p>
        </w:tc>
        <w:tc>
          <w:tcPr>
            <w:tcW w:w="0" w:type="dxa"/>
            <w:vAlign w:val="bottom"/>
          </w:tcPr>
          <w:p>
            <w:pPr>
              <w:spacing w:after="0"/>
              <w:rPr>
                <w:sz w:val="1"/>
                <w:szCs w:val="1"/>
                <w:color w:val="auto"/>
              </w:rPr>
            </w:pPr>
          </w:p>
        </w:tc>
      </w:tr>
      <w:tr>
        <w:trPr>
          <w:trHeight w:val="190"/>
        </w:trPr>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11,200</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11,502</w:t>
            </w:r>
          </w:p>
        </w:tc>
        <w:tc>
          <w:tcPr>
            <w:tcW w:w="1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8,100</w:t>
            </w:r>
          </w:p>
        </w:tc>
        <w:tc>
          <w:tcPr>
            <w:tcW w:w="10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22,602</w:t>
            </w:r>
          </w:p>
        </w:tc>
        <w:tc>
          <w:tcPr>
            <w:tcW w:w="0" w:type="dxa"/>
            <w:vAlign w:val="bottom"/>
          </w:tcPr>
          <w:p>
            <w:pPr>
              <w:spacing w:after="0"/>
              <w:rPr>
                <w:sz w:val="1"/>
                <w:szCs w:val="1"/>
                <w:color w:val="auto"/>
              </w:rPr>
            </w:pPr>
          </w:p>
        </w:tc>
      </w:tr>
      <w:tr>
        <w:trPr>
          <w:trHeight w:val="192"/>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Kevin P. Malcarney</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11,077</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11,077</w:t>
            </w:r>
          </w:p>
        </w:tc>
        <w:tc>
          <w:tcPr>
            <w:tcW w:w="0" w:type="dxa"/>
            <w:vAlign w:val="bottom"/>
          </w:tcPr>
          <w:p>
            <w:pPr>
              <w:spacing w:after="0"/>
              <w:rPr>
                <w:sz w:val="1"/>
                <w:szCs w:val="1"/>
                <w:color w:val="auto"/>
              </w:rPr>
            </w:pPr>
          </w:p>
        </w:tc>
      </w:tr>
      <w:tr>
        <w:trPr>
          <w:trHeight w:val="192"/>
        </w:trPr>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8"/>
        </w:trPr>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Mary Lee Stillwell</w:t>
            </w:r>
          </w:p>
        </w:tc>
        <w:tc>
          <w:tcPr>
            <w:tcW w:w="64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9,940</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51,522</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61,461</w:t>
            </w:r>
          </w:p>
        </w:tc>
        <w:tc>
          <w:tcPr>
            <w:tcW w:w="0" w:type="dxa"/>
            <w:vAlign w:val="bottom"/>
          </w:tcPr>
          <w:p>
            <w:pPr>
              <w:spacing w:after="0"/>
              <w:rPr>
                <w:sz w:val="1"/>
                <w:szCs w:val="1"/>
                <w:color w:val="auto"/>
              </w:rPr>
            </w:pPr>
          </w:p>
        </w:tc>
      </w:tr>
      <w:tr>
        <w:trPr>
          <w:trHeight w:val="190"/>
        </w:trPr>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10,892</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10,892</w:t>
            </w: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13798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(5) Ms. Stillwell was appointed as Chief Accounting Officer on August 31, 2018, and she voluntarily resigned from her employment with the Company in August 2020.</w:t>
      </w:r>
    </w:p>
    <w:p>
      <w:pPr>
        <w:spacing w:after="0" w:line="200" w:lineRule="exact"/>
        <w:rPr>
          <w:sz w:val="20"/>
          <w:szCs w:val="20"/>
          <w:color w:val="auto"/>
        </w:rPr>
      </w:pPr>
    </w:p>
    <w:p>
      <w:pPr>
        <w:spacing w:after="0" w:line="26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Grants of Plan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All Other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Estimated Possible Payouts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Awards: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Under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Number</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4"/>
          </w:tcPr>
          <w:p>
            <w:pPr>
              <w:jc w:val="center"/>
              <w:ind w:right="120"/>
              <w:spacing w:after="0" w:line="150" w:lineRule="exact"/>
              <w:rPr>
                <w:sz w:val="20"/>
                <w:szCs w:val="20"/>
                <w:color w:val="auto"/>
              </w:rPr>
            </w:pPr>
            <w:r>
              <w:rPr>
                <w:rFonts w:ascii="Arial" w:cs="Arial" w:eastAsia="Arial" w:hAnsi="Arial"/>
                <w:sz w:val="13"/>
                <w:szCs w:val="13"/>
                <w:b w:val="1"/>
                <w:bCs w:val="1"/>
                <w:color w:val="auto"/>
                <w:w w:val="89"/>
              </w:rPr>
              <w:t>Non</w:t>
            </w:r>
            <w:r>
              <w:rPr>
                <w:rFonts w:ascii="MS PGothic" w:cs="MS PGothic" w:eastAsia="MS PGothic" w:hAnsi="MS PGothic"/>
                <w:sz w:val="13"/>
                <w:szCs w:val="13"/>
                <w:b w:val="1"/>
                <w:bCs w:val="1"/>
                <w:color w:val="auto"/>
                <w:w w:val="89"/>
              </w:rPr>
              <w:t>‑</w:t>
            </w:r>
            <w:r>
              <w:rPr>
                <w:rFonts w:ascii="Arial" w:cs="Arial" w:eastAsia="Arial" w:hAnsi="Arial"/>
                <w:sz w:val="13"/>
                <w:szCs w:val="13"/>
                <w:b w:val="1"/>
                <w:bCs w:val="1"/>
                <w:color w:val="auto"/>
                <w:w w:val="89"/>
              </w:rPr>
              <w:t>Equity Incentive</w:t>
            </w:r>
          </w:p>
        </w:tc>
        <w:tc>
          <w:tcPr>
            <w:tcW w:w="26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Under Equity Incentive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of Shares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64"/>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Plan Awards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Plan Awards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of 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5"/>
              </w:rPr>
              <w:t>Option</w:t>
            </w:r>
          </w:p>
        </w:tc>
        <w:tc>
          <w:tcPr>
            <w:tcW w:w="0" w:type="dxa"/>
            <w:vAlign w:val="bottom"/>
          </w:tcPr>
          <w:p>
            <w:pPr>
              <w:spacing w:after="0"/>
              <w:rPr>
                <w:sz w:val="1"/>
                <w:szCs w:val="1"/>
                <w:color w:val="auto"/>
              </w:rPr>
            </w:pPr>
          </w:p>
        </w:tc>
      </w:tr>
      <w:tr>
        <w:trPr>
          <w:trHeight w:val="30"/>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Award</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Grant</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2"/>
              </w:rPr>
              <w:t>Approval</w:t>
            </w: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740" w:type="dxa"/>
            <w:vAlign w:val="bottom"/>
            <w:tcBorders>
              <w:top w:val="single" w:sz="8" w:color="auto"/>
            </w:tcBorders>
          </w:tcPr>
          <w:p>
            <w:pPr>
              <w:jc w:val="right"/>
              <w:ind w:right="18"/>
              <w:spacing w:after="0" w:line="124" w:lineRule="exact"/>
              <w:rPr>
                <w:sz w:val="20"/>
                <w:szCs w:val="20"/>
                <w:color w:val="auto"/>
              </w:rPr>
            </w:pPr>
            <w:r>
              <w:rPr>
                <w:rFonts w:ascii="Arial" w:cs="Arial" w:eastAsia="Arial" w:hAnsi="Arial"/>
                <w:sz w:val="13"/>
                <w:szCs w:val="13"/>
                <w:b w:val="1"/>
                <w:bCs w:val="1"/>
                <w:color w:val="auto"/>
              </w:rPr>
              <w:t>Threshold</w:t>
            </w:r>
          </w:p>
        </w:tc>
        <w:tc>
          <w:tcPr>
            <w:tcW w:w="7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5"/>
              </w:rPr>
              <w:t>Target</w:t>
            </w:r>
          </w:p>
        </w:tc>
        <w:tc>
          <w:tcPr>
            <w:tcW w:w="720" w:type="dxa"/>
            <w:vAlign w:val="bottom"/>
            <w:tcBorders>
              <w:top w:val="single" w:sz="8" w:color="auto"/>
            </w:tcBorders>
          </w:tcPr>
          <w:p>
            <w:pPr>
              <w:jc w:val="right"/>
              <w:ind w:right="59"/>
              <w:spacing w:after="0" w:line="124" w:lineRule="exact"/>
              <w:rPr>
                <w:sz w:val="20"/>
                <w:szCs w:val="20"/>
                <w:color w:val="auto"/>
              </w:rPr>
            </w:pPr>
            <w:r>
              <w:rPr>
                <w:rFonts w:ascii="Arial" w:cs="Arial" w:eastAsia="Arial" w:hAnsi="Arial"/>
                <w:sz w:val="13"/>
                <w:szCs w:val="13"/>
                <w:b w:val="1"/>
                <w:bCs w:val="1"/>
                <w:color w:val="auto"/>
                <w:w w:val="96"/>
              </w:rPr>
              <w:t>Maximum</w:t>
            </w:r>
          </w:p>
        </w:tc>
        <w:tc>
          <w:tcPr>
            <w:tcW w:w="120" w:type="dxa"/>
            <w:vAlign w:val="bottom"/>
          </w:tcPr>
          <w:p>
            <w:pPr>
              <w:spacing w:after="0"/>
              <w:rPr>
                <w:sz w:val="10"/>
                <w:szCs w:val="10"/>
                <w:color w:val="auto"/>
              </w:rPr>
            </w:pPr>
          </w:p>
        </w:tc>
        <w:tc>
          <w:tcPr>
            <w:tcW w:w="840" w:type="dxa"/>
            <w:vAlign w:val="bottom"/>
            <w:tcBorders>
              <w:top w:val="single" w:sz="8" w:color="auto"/>
            </w:tcBorders>
          </w:tcPr>
          <w:p>
            <w:pPr>
              <w:jc w:val="right"/>
              <w:ind w:right="77"/>
              <w:spacing w:after="0" w:line="124" w:lineRule="exact"/>
              <w:rPr>
                <w:sz w:val="20"/>
                <w:szCs w:val="20"/>
                <w:color w:val="auto"/>
              </w:rPr>
            </w:pPr>
            <w:r>
              <w:rPr>
                <w:rFonts w:ascii="Arial" w:cs="Arial" w:eastAsia="Arial" w:hAnsi="Arial"/>
                <w:sz w:val="13"/>
                <w:szCs w:val="13"/>
                <w:b w:val="1"/>
                <w:bCs w:val="1"/>
                <w:color w:val="auto"/>
              </w:rPr>
              <w:t>Threshold</w:t>
            </w:r>
          </w:p>
        </w:tc>
        <w:tc>
          <w:tcPr>
            <w:tcW w:w="820" w:type="dxa"/>
            <w:vAlign w:val="bottom"/>
            <w:tcBorders>
              <w:top w:val="single" w:sz="8" w:color="auto"/>
            </w:tcBorders>
          </w:tcPr>
          <w:p>
            <w:pPr>
              <w:jc w:val="right"/>
              <w:ind w:right="257"/>
              <w:spacing w:after="0" w:line="124" w:lineRule="exact"/>
              <w:rPr>
                <w:sz w:val="20"/>
                <w:szCs w:val="20"/>
                <w:color w:val="auto"/>
              </w:rPr>
            </w:pPr>
            <w:r>
              <w:rPr>
                <w:rFonts w:ascii="Arial" w:cs="Arial" w:eastAsia="Arial" w:hAnsi="Arial"/>
                <w:sz w:val="13"/>
                <w:szCs w:val="13"/>
                <w:b w:val="1"/>
                <w:bCs w:val="1"/>
                <w:color w:val="auto"/>
              </w:rPr>
              <w:t>Target</w:t>
            </w:r>
          </w:p>
        </w:tc>
        <w:tc>
          <w:tcPr>
            <w:tcW w:w="840" w:type="dxa"/>
            <w:vAlign w:val="bottom"/>
            <w:tcBorders>
              <w:top w:val="single" w:sz="8" w:color="auto"/>
            </w:tcBorders>
          </w:tcPr>
          <w:p>
            <w:pPr>
              <w:jc w:val="right"/>
              <w:ind w:right="157"/>
              <w:spacing w:after="0" w:line="124" w:lineRule="exact"/>
              <w:rPr>
                <w:sz w:val="20"/>
                <w:szCs w:val="20"/>
                <w:color w:val="auto"/>
              </w:rPr>
            </w:pPr>
            <w:r>
              <w:rPr>
                <w:rFonts w:ascii="Arial" w:cs="Arial" w:eastAsia="Arial" w:hAnsi="Arial"/>
                <w:sz w:val="13"/>
                <w:szCs w:val="13"/>
                <w:b w:val="1"/>
                <w:bCs w:val="1"/>
                <w:color w:val="auto"/>
                <w:w w:val="99"/>
              </w:rPr>
              <w:t>Maximum</w:t>
            </w:r>
          </w:p>
        </w:tc>
        <w:tc>
          <w:tcPr>
            <w:tcW w:w="100" w:type="dxa"/>
            <w:vAlign w:val="bottom"/>
          </w:tcPr>
          <w:p>
            <w:pPr>
              <w:spacing w:after="0"/>
              <w:rPr>
                <w:sz w:val="10"/>
                <w:szCs w:val="10"/>
                <w:color w:val="auto"/>
              </w:rPr>
            </w:pPr>
          </w:p>
        </w:tc>
        <w:tc>
          <w:tcPr>
            <w:tcW w:w="9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9"/>
              </w:rPr>
              <w:t>or Units</w:t>
            </w:r>
          </w:p>
        </w:tc>
        <w:tc>
          <w:tcPr>
            <w:tcW w:w="100" w:type="dxa"/>
            <w:vAlign w:val="bottom"/>
          </w:tcPr>
          <w:p>
            <w:pPr>
              <w:spacing w:after="0"/>
              <w:rPr>
                <w:sz w:val="10"/>
                <w:szCs w:val="10"/>
                <w:color w:val="auto"/>
              </w:rPr>
            </w:pPr>
          </w:p>
        </w:tc>
        <w:tc>
          <w:tcPr>
            <w:tcW w:w="8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207"/>
        </w:trPr>
        <w:tc>
          <w:tcPr>
            <w:tcW w:w="150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Type</w:t>
            </w:r>
          </w:p>
        </w:tc>
        <w:tc>
          <w:tcPr>
            <w:tcW w:w="840" w:type="dxa"/>
            <w:vAlign w:val="bottom"/>
            <w:gridSpan w:val="2"/>
          </w:tcPr>
          <w:p>
            <w:pPr>
              <w:ind w:left="240"/>
              <w:spacing w:after="0"/>
              <w:rPr>
                <w:sz w:val="20"/>
                <w:szCs w:val="20"/>
                <w:color w:val="auto"/>
              </w:rPr>
            </w:pPr>
            <w:r>
              <w:rPr>
                <w:rFonts w:ascii="Arial" w:cs="Arial" w:eastAsia="Arial" w:hAnsi="Arial"/>
                <w:sz w:val="13"/>
                <w:szCs w:val="13"/>
                <w:b w:val="1"/>
                <w:bCs w:val="1"/>
                <w:color w:val="auto"/>
              </w:rPr>
              <w:t>Date</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jc w:val="right"/>
              <w:ind w:right="178"/>
              <w:spacing w:after="0" w:line="207"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8"/>
                <w:szCs w:val="8"/>
                <w:b w:val="1"/>
                <w:bCs w:val="1"/>
                <w:color w:val="auto"/>
              </w:rPr>
              <w:t>(1)</w:t>
            </w:r>
          </w:p>
        </w:tc>
        <w:tc>
          <w:tcPr>
            <w:tcW w:w="780" w:type="dxa"/>
            <w:vAlign w:val="bottom"/>
          </w:tcPr>
          <w:p>
            <w:pPr>
              <w:jc w:val="center"/>
              <w:spacing w:after="0" w:line="207" w:lineRule="exact"/>
              <w:rPr>
                <w:sz w:val="20"/>
                <w:szCs w:val="20"/>
                <w:color w:val="auto"/>
              </w:rPr>
            </w:pPr>
            <w:r>
              <w:rPr>
                <w:rFonts w:ascii="Arial" w:cs="Arial" w:eastAsia="Arial" w:hAnsi="Arial"/>
                <w:sz w:val="24"/>
                <w:szCs w:val="24"/>
                <w:b w:val="1"/>
                <w:bCs w:val="1"/>
                <w:color w:val="auto"/>
                <w:w w:val="81"/>
                <w:vertAlign w:val="subscript"/>
              </w:rPr>
              <w:t>($)</w:t>
            </w:r>
            <w:r>
              <w:rPr>
                <w:rFonts w:ascii="Arial" w:cs="Arial" w:eastAsia="Arial" w:hAnsi="Arial"/>
                <w:sz w:val="8"/>
                <w:szCs w:val="8"/>
                <w:b w:val="1"/>
                <w:bCs w:val="1"/>
                <w:color w:val="auto"/>
                <w:w w:val="81"/>
              </w:rPr>
              <w:t>(2)</w:t>
            </w:r>
          </w:p>
        </w:tc>
        <w:tc>
          <w:tcPr>
            <w:tcW w:w="720" w:type="dxa"/>
            <w:vAlign w:val="bottom"/>
          </w:tcPr>
          <w:p>
            <w:pPr>
              <w:jc w:val="right"/>
              <w:ind w:right="219"/>
              <w:spacing w:after="0" w:line="207"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8"/>
                <w:szCs w:val="8"/>
                <w:b w:val="1"/>
                <w:bCs w:val="1"/>
                <w:color w:val="auto"/>
              </w:rPr>
              <w:t>(3)</w:t>
            </w:r>
          </w:p>
        </w:tc>
        <w:tc>
          <w:tcPr>
            <w:tcW w:w="120" w:type="dxa"/>
            <w:vAlign w:val="bottom"/>
          </w:tcPr>
          <w:p>
            <w:pPr>
              <w:spacing w:after="0"/>
              <w:rPr>
                <w:sz w:val="18"/>
                <w:szCs w:val="18"/>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5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8"/>
                <w:szCs w:val="18"/>
                <w:color w:val="auto"/>
              </w:rPr>
            </w:pPr>
          </w:p>
        </w:tc>
        <w:tc>
          <w:tcPr>
            <w:tcW w:w="840" w:type="dxa"/>
            <w:vAlign w:val="bottom"/>
          </w:tcPr>
          <w:p>
            <w:pPr>
              <w:jc w:val="center"/>
              <w:spacing w:after="0" w:line="207" w:lineRule="exact"/>
              <w:rPr>
                <w:sz w:val="20"/>
                <w:szCs w:val="20"/>
                <w:color w:val="auto"/>
              </w:rPr>
            </w:pPr>
            <w:r>
              <w:rPr>
                <w:rFonts w:ascii="Arial" w:cs="Arial" w:eastAsia="Arial" w:hAnsi="Arial"/>
                <w:sz w:val="24"/>
                <w:szCs w:val="24"/>
                <w:b w:val="1"/>
                <w:bCs w:val="1"/>
                <w:color w:val="auto"/>
                <w:w w:val="81"/>
                <w:vertAlign w:val="subscript"/>
              </w:rPr>
              <w:t>($)</w:t>
            </w:r>
            <w:r>
              <w:rPr>
                <w:rFonts w:ascii="Arial" w:cs="Arial" w:eastAsia="Arial" w:hAnsi="Arial"/>
                <w:sz w:val="8"/>
                <w:szCs w:val="8"/>
                <w:b w:val="1"/>
                <w:bCs w:val="1"/>
                <w:color w:val="auto"/>
                <w:w w:val="81"/>
              </w:rPr>
              <w:t>(4)</w:t>
            </w:r>
          </w:p>
        </w:tc>
        <w:tc>
          <w:tcPr>
            <w:tcW w:w="0" w:type="dxa"/>
            <w:vAlign w:val="bottom"/>
          </w:tcPr>
          <w:p>
            <w:pPr>
              <w:spacing w:after="0"/>
              <w:rPr>
                <w:sz w:val="1"/>
                <w:szCs w:val="1"/>
                <w:color w:val="auto"/>
              </w:rPr>
            </w:pPr>
          </w:p>
        </w:tc>
      </w:tr>
      <w:tr>
        <w:trPr>
          <w:trHeight w:val="163"/>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Christopher S. Sotos</w:t>
            </w:r>
          </w:p>
        </w:tc>
        <w:tc>
          <w:tcPr>
            <w:tcW w:w="10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AIP</w:t>
            </w:r>
          </w:p>
        </w:tc>
        <w:tc>
          <w:tcPr>
            <w:tcW w:w="120" w:type="dxa"/>
            <w:vAlign w:val="bottom"/>
          </w:tcPr>
          <w:p>
            <w:pPr>
              <w:spacing w:after="0"/>
              <w:rPr>
                <w:sz w:val="14"/>
                <w:szCs w:val="14"/>
                <w:color w:val="auto"/>
              </w:rPr>
            </w:pPr>
          </w:p>
        </w:tc>
        <w:tc>
          <w:tcPr>
            <w:tcW w:w="720" w:type="dxa"/>
            <w:vAlign w:val="bottom"/>
            <w:tcBorders>
              <w:top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305,500</w:t>
            </w:r>
          </w:p>
        </w:tc>
        <w:tc>
          <w:tcPr>
            <w:tcW w:w="78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611,000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1,222,000</w:t>
            </w:r>
          </w:p>
        </w:tc>
        <w:tc>
          <w:tcPr>
            <w:tcW w:w="12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RPSU</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6"/>
              </w:rPr>
              <w:t>4/15/2020</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2/18/2020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14,198</w:t>
            </w: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56,792</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85,188</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1,368,119</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RSU</w:t>
            </w:r>
          </w:p>
        </w:tc>
        <w:tc>
          <w:tcPr>
            <w:tcW w:w="720" w:type="dxa"/>
            <w:vAlign w:val="bottom"/>
          </w:tcPr>
          <w:p>
            <w:pPr>
              <w:ind w:left="200"/>
              <w:spacing w:after="0"/>
              <w:rPr>
                <w:sz w:val="20"/>
                <w:szCs w:val="20"/>
                <w:color w:val="auto"/>
              </w:rPr>
            </w:pPr>
            <w:r>
              <w:rPr>
                <w:rFonts w:ascii="Arial" w:cs="Arial" w:eastAsia="Arial" w:hAnsi="Arial"/>
                <w:sz w:val="13"/>
                <w:szCs w:val="13"/>
                <w:color w:val="auto"/>
                <w:w w:val="86"/>
              </w:rPr>
              <w:t>4/15/2020</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2/18/2020</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28,016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532,304</w:t>
            </w:r>
          </w:p>
        </w:tc>
        <w:tc>
          <w:tcPr>
            <w:tcW w:w="0" w:type="dxa"/>
            <w:vAlign w:val="bottom"/>
          </w:tcPr>
          <w:p>
            <w:pPr>
              <w:spacing w:after="0"/>
              <w:rPr>
                <w:sz w:val="1"/>
                <w:szCs w:val="1"/>
                <w:color w:val="auto"/>
              </w:rPr>
            </w:pPr>
          </w:p>
        </w:tc>
      </w:tr>
      <w:tr>
        <w:trPr>
          <w:trHeight w:val="183"/>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Chad Plotkin</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AIP</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114,000</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228,000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456,000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RPSU</w:t>
            </w:r>
          </w:p>
        </w:tc>
        <w:tc>
          <w:tcPr>
            <w:tcW w:w="720" w:type="dxa"/>
            <w:vAlign w:val="bottom"/>
          </w:tcPr>
          <w:p>
            <w:pPr>
              <w:ind w:left="200"/>
              <w:spacing w:after="0"/>
              <w:rPr>
                <w:sz w:val="20"/>
                <w:szCs w:val="20"/>
                <w:color w:val="auto"/>
              </w:rPr>
            </w:pPr>
            <w:r>
              <w:rPr>
                <w:rFonts w:ascii="Arial" w:cs="Arial" w:eastAsia="Arial" w:hAnsi="Arial"/>
                <w:sz w:val="13"/>
                <w:szCs w:val="13"/>
                <w:color w:val="auto"/>
                <w:w w:val="86"/>
              </w:rPr>
              <w:t>4/15/2020</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2/18/2020</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4,181</w:t>
            </w: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16,724</w:t>
            </w:r>
          </w:p>
        </w:tc>
        <w:tc>
          <w:tcPr>
            <w:tcW w:w="840" w:type="dxa"/>
            <w:vAlign w:val="bottom"/>
          </w:tcPr>
          <w:p>
            <w:pPr>
              <w:jc w:val="right"/>
              <w:spacing w:after="0"/>
              <w:rPr>
                <w:sz w:val="20"/>
                <w:szCs w:val="20"/>
                <w:color w:val="auto"/>
              </w:rPr>
            </w:pPr>
            <w:r>
              <w:rPr>
                <w:rFonts w:ascii="Arial" w:cs="Arial" w:eastAsia="Arial" w:hAnsi="Arial"/>
                <w:sz w:val="13"/>
                <w:szCs w:val="13"/>
                <w:color w:val="auto"/>
              </w:rPr>
              <w:t>25,086</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402,881</w:t>
            </w: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RSU</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6"/>
              </w:rPr>
              <w:t>4/15/2020</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2/18/2020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156,750</w:t>
            </w: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3"/>
                <w:szCs w:val="13"/>
                <w:b w:val="1"/>
                <w:bCs w:val="1"/>
                <w:color w:val="auto"/>
              </w:rPr>
              <w:t>Kevin P. Malcarney</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AIP</w:t>
            </w: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61,500</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123,000</w:t>
            </w:r>
          </w:p>
        </w:tc>
        <w:tc>
          <w:tcPr>
            <w:tcW w:w="720" w:type="dxa"/>
            <w:vAlign w:val="bottom"/>
          </w:tcPr>
          <w:p>
            <w:pPr>
              <w:jc w:val="right"/>
              <w:spacing w:after="0"/>
              <w:rPr>
                <w:sz w:val="20"/>
                <w:szCs w:val="20"/>
                <w:color w:val="auto"/>
              </w:rPr>
            </w:pPr>
            <w:r>
              <w:rPr>
                <w:rFonts w:ascii="Arial" w:cs="Arial" w:eastAsia="Arial" w:hAnsi="Arial"/>
                <w:sz w:val="13"/>
                <w:szCs w:val="13"/>
                <w:color w:val="auto"/>
              </w:rPr>
              <w:t>246,000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RPSU</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6"/>
              </w:rPr>
              <w:t>4/15/2020</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2/18/2020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w:t>
            </w: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10,827</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260,822</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RSU</w:t>
            </w:r>
          </w:p>
        </w:tc>
        <w:tc>
          <w:tcPr>
            <w:tcW w:w="720" w:type="dxa"/>
            <w:vAlign w:val="bottom"/>
          </w:tcPr>
          <w:p>
            <w:pPr>
              <w:ind w:left="200"/>
              <w:spacing w:after="0"/>
              <w:rPr>
                <w:sz w:val="20"/>
                <w:szCs w:val="20"/>
                <w:color w:val="auto"/>
              </w:rPr>
            </w:pPr>
            <w:r>
              <w:rPr>
                <w:rFonts w:ascii="Arial" w:cs="Arial" w:eastAsia="Arial" w:hAnsi="Arial"/>
                <w:sz w:val="13"/>
                <w:szCs w:val="13"/>
                <w:color w:val="auto"/>
                <w:w w:val="86"/>
              </w:rPr>
              <w:t>4/15/2020</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2/18/2020</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5,341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101,479</w:t>
            </w:r>
          </w:p>
        </w:tc>
        <w:tc>
          <w:tcPr>
            <w:tcW w:w="0" w:type="dxa"/>
            <w:vAlign w:val="bottom"/>
          </w:tcPr>
          <w:p>
            <w:pPr>
              <w:spacing w:after="0"/>
              <w:rPr>
                <w:sz w:val="1"/>
                <w:szCs w:val="1"/>
                <w:color w:val="auto"/>
              </w:rPr>
            </w:pPr>
          </w:p>
        </w:tc>
      </w:tr>
      <w:tr>
        <w:trPr>
          <w:trHeight w:val="183"/>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Mary Lee Stillwell</w:t>
            </w:r>
            <w:r>
              <w:rPr>
                <w:rFonts w:ascii="Arial" w:cs="Arial" w:eastAsia="Arial" w:hAnsi="Arial"/>
                <w:sz w:val="16"/>
                <w:szCs w:val="16"/>
                <w:b w:val="1"/>
                <w:bCs w:val="1"/>
                <w:color w:val="auto"/>
                <w:vertAlign w:val="superscript"/>
              </w:rPr>
              <w:t>(5)</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AIP</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60,770</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121,540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243,080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RPSU</w:t>
            </w: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RSU</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6"/>
              </w:rPr>
              <w:t>4/15/2020</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2/18/2020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Threshold non-equity incentive plan awards include AIP threshold payments, as presented in the CD&amp;A.</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Target non-equity incentive plan awards include AIP target payments, as presented in the CD&amp;A.</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Maximum non-equity incentive plan awards include AIP maximum payments, as presented in the CD&amp;A.</w:t>
      </w:r>
    </w:p>
    <w:p>
      <w:pPr>
        <w:spacing w:after="0" w:line="1" w:lineRule="exact"/>
        <w:rPr>
          <w:rFonts w:ascii="Arial" w:cs="Arial" w:eastAsia="Arial" w:hAnsi="Arial"/>
          <w:sz w:val="14"/>
          <w:szCs w:val="14"/>
          <w:color w:val="auto"/>
        </w:rPr>
      </w:pPr>
    </w:p>
    <w:p>
      <w:pPr>
        <w:ind w:right="20" w:firstLine="8"/>
        <w:spacing w:after="0" w:line="260" w:lineRule="auto"/>
        <w:tabs>
          <w:tab w:leader="none" w:pos="204"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The fair value of RPSUs is estimated on the date of grant using a Monte Carlo simulation model. For years preceding 2020, the number of RPSUs granted was based on the fair value of RPSUs estimated on the date of grant using a Monte Carlo simulation model. Beginning with awards granted in 2020, the number of RPSUs granted is based on the 10-day average closing price of the Company’s Class C common stock ending on the date of grant. This change in determining the number of the RPSUs granted was implemented after reviewing the compensation practices of Compensation Peer Group companies.</w:t>
      </w: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Stillwell voluntarily resigned from her employment with the Company in August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Option Awards</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1000"/>
              <w:spacing w:after="0"/>
              <w:rPr>
                <w:sz w:val="20"/>
                <w:szCs w:val="20"/>
                <w:color w:val="auto"/>
              </w:rPr>
            </w:pPr>
            <w:r>
              <w:rPr>
                <w:rFonts w:ascii="Arial" w:cs="Arial" w:eastAsia="Arial" w:hAnsi="Arial"/>
                <w:sz w:val="13"/>
                <w:szCs w:val="13"/>
                <w:b w:val="1"/>
                <w:bCs w:val="1"/>
                <w:color w:val="auto"/>
              </w:rPr>
              <w:t>Stock Awards</w:t>
            </w:r>
          </w:p>
        </w:tc>
        <w:tc>
          <w:tcPr>
            <w:tcW w:w="1400" w:type="dxa"/>
            <w:vAlign w:val="bottom"/>
            <w:tcBorders>
              <w:bottom w:val="single" w:sz="8" w:color="auto"/>
            </w:tcBorders>
          </w:tcPr>
          <w:p>
            <w:pPr>
              <w:spacing w:after="0"/>
              <w:rPr>
                <w:sz w:val="15"/>
                <w:szCs w:val="15"/>
                <w:color w:val="auto"/>
              </w:rPr>
            </w:pPr>
          </w:p>
        </w:tc>
      </w:tr>
      <w:tr>
        <w:trPr>
          <w:trHeight w:val="164"/>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Number of</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Number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Number</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Market Value</w:t>
            </w:r>
          </w:p>
        </w:tc>
        <w:tc>
          <w:tcPr>
            <w:tcW w:w="2760" w:type="dxa"/>
            <w:vAlign w:val="bottom"/>
            <w:gridSpan w:val="3"/>
          </w:tcPr>
          <w:p>
            <w:pPr>
              <w:jc w:val="right"/>
              <w:ind w:right="514"/>
              <w:spacing w:after="0"/>
              <w:rPr>
                <w:sz w:val="20"/>
                <w:szCs w:val="20"/>
                <w:color w:val="auto"/>
              </w:rPr>
            </w:pPr>
            <w:r>
              <w:rPr>
                <w:rFonts w:ascii="Arial" w:cs="Arial" w:eastAsia="Arial" w:hAnsi="Arial"/>
                <w:sz w:val="13"/>
                <w:szCs w:val="13"/>
                <w:b w:val="1"/>
                <w:bCs w:val="1"/>
                <w:color w:val="auto"/>
              </w:rPr>
              <w:t>Equity Incentive Plan Awards</w:t>
            </w:r>
          </w:p>
        </w:tc>
      </w:tr>
      <w:tr>
        <w:trPr>
          <w:trHeight w:val="142"/>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83"/>
              </w:rPr>
              <w:t>Securities</w:t>
            </w:r>
          </w:p>
        </w:tc>
        <w:tc>
          <w:tcPr>
            <w:tcW w:w="1260" w:type="dxa"/>
            <w:vAlign w:val="bottom"/>
            <w:gridSpan w:val="2"/>
          </w:tcPr>
          <w:p>
            <w:pPr>
              <w:jc w:val="center"/>
              <w:ind w:right="100"/>
              <w:spacing w:after="0" w:line="142" w:lineRule="exact"/>
              <w:rPr>
                <w:sz w:val="20"/>
                <w:szCs w:val="20"/>
                <w:color w:val="auto"/>
              </w:rPr>
            </w:pPr>
            <w:r>
              <w:rPr>
                <w:rFonts w:ascii="Arial" w:cs="Arial" w:eastAsia="Arial" w:hAnsi="Arial"/>
                <w:sz w:val="13"/>
                <w:szCs w:val="13"/>
                <w:b w:val="1"/>
                <w:bCs w:val="1"/>
                <w:color w:val="auto"/>
                <w:w w:val="83"/>
              </w:rPr>
              <w:t>Securities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84"/>
              </w:rPr>
              <w:t>of Shares</w:t>
            </w:r>
          </w:p>
        </w:tc>
        <w:tc>
          <w:tcPr>
            <w:tcW w:w="120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84"/>
              </w:rPr>
              <w:t>of Shares or</w:t>
            </w:r>
          </w:p>
        </w:tc>
        <w:tc>
          <w:tcPr>
            <w:tcW w:w="136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Number of</w:t>
            </w:r>
          </w:p>
        </w:tc>
        <w:tc>
          <w:tcPr>
            <w:tcW w:w="1400" w:type="dxa"/>
            <w:vAlign w:val="bottom"/>
          </w:tcPr>
          <w:p>
            <w:pPr>
              <w:spacing w:after="0"/>
              <w:rPr>
                <w:sz w:val="12"/>
                <w:szCs w:val="12"/>
                <w:color w:val="auto"/>
              </w:rPr>
            </w:pPr>
          </w:p>
        </w:tc>
      </w:tr>
      <w:tr>
        <w:trPr>
          <w:trHeight w:val="135"/>
        </w:trPr>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Underlying</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or Units of</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Units of</w:t>
            </w:r>
          </w:p>
        </w:tc>
        <w:tc>
          <w:tcPr>
            <w:tcW w:w="13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Unearned</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Market Value</w:t>
            </w: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Unexercised</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Unexercised</w:t>
            </w:r>
          </w:p>
        </w:tc>
        <w:tc>
          <w:tcPr>
            <w:tcW w:w="680" w:type="dxa"/>
            <w:vAlign w:val="bottom"/>
          </w:tcPr>
          <w:p>
            <w:pPr>
              <w:jc w:val="center"/>
              <w:ind w:left="117"/>
              <w:spacing w:after="0"/>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Stock that</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Stock that</w:t>
            </w: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 that</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9"/>
              </w:rPr>
              <w:t>of Unearned</w:t>
            </w:r>
          </w:p>
        </w:tc>
      </w:tr>
      <w:tr>
        <w:trPr>
          <w:trHeight w:val="135"/>
        </w:trPr>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Options</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Options</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w w:val="85"/>
              </w:rPr>
              <w:t>Exercise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0"/>
              </w:rPr>
              <w:t>Option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Have Not</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Have Not</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Have</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Shares that Have</w:t>
            </w:r>
          </w:p>
        </w:tc>
      </w:tr>
      <w:tr>
        <w:trPr>
          <w:trHeight w:val="140"/>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2"/>
                <w:szCs w:val="12"/>
                <w:color w:val="auto"/>
              </w:rPr>
            </w:pPr>
          </w:p>
        </w:tc>
        <w:tc>
          <w:tcPr>
            <w:tcW w:w="680" w:type="dxa"/>
            <w:vAlign w:val="bottom"/>
          </w:tcPr>
          <w:p>
            <w:pPr>
              <w:jc w:val="center"/>
              <w:ind w:left="137"/>
              <w:spacing w:after="0" w:line="140" w:lineRule="exact"/>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left="177"/>
              <w:spacing w:after="0" w:line="140" w:lineRule="exact"/>
              <w:rPr>
                <w:sz w:val="20"/>
                <w:szCs w:val="20"/>
                <w:color w:val="auto"/>
              </w:rPr>
            </w:pPr>
            <w:r>
              <w:rPr>
                <w:rFonts w:ascii="Arial" w:cs="Arial" w:eastAsia="Arial" w:hAnsi="Arial"/>
                <w:sz w:val="13"/>
                <w:szCs w:val="13"/>
                <w:b w:val="1"/>
                <w:bCs w:val="1"/>
                <w:color w:val="auto"/>
                <w:w w:val="91"/>
              </w:rPr>
              <w:t>Expiration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79"/>
              </w:rPr>
              <w:t>Vested</w:t>
            </w:r>
          </w:p>
        </w:tc>
        <w:tc>
          <w:tcPr>
            <w:tcW w:w="12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4"/>
              </w:rPr>
              <w:t>Vested</w:t>
            </w:r>
          </w:p>
        </w:tc>
        <w:tc>
          <w:tcPr>
            <w:tcW w:w="136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5"/>
              </w:rPr>
              <w:t>Not Vested</w:t>
            </w:r>
          </w:p>
        </w:tc>
        <w:tc>
          <w:tcPr>
            <w:tcW w:w="14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5"/>
              </w:rPr>
              <w:t>Not Vested</w:t>
            </w:r>
          </w:p>
        </w:tc>
      </w:tr>
      <w:tr>
        <w:trPr>
          <w:trHeight w:val="203"/>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Exercisable</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Unexercisable</w:t>
            </w:r>
          </w:p>
        </w:tc>
        <w:tc>
          <w:tcPr>
            <w:tcW w:w="680" w:type="dxa"/>
            <w:vAlign w:val="bottom"/>
          </w:tcPr>
          <w:p>
            <w:pPr>
              <w:jc w:val="center"/>
              <w:ind w:left="117"/>
              <w:spacing w:after="0"/>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157"/>
              <w:spacing w:after="0"/>
              <w:rPr>
                <w:sz w:val="20"/>
                <w:szCs w:val="20"/>
                <w:color w:val="auto"/>
              </w:rPr>
            </w:pPr>
            <w:r>
              <w:rPr>
                <w:rFonts w:ascii="Arial" w:cs="Arial" w:eastAsia="Arial" w:hAnsi="Arial"/>
                <w:sz w:val="13"/>
                <w:szCs w:val="13"/>
                <w:b w:val="1"/>
                <w:bCs w:val="1"/>
                <w:color w:val="auto"/>
                <w:w w:val="85"/>
              </w:rPr>
              <w:t>Date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r>
              <w:rPr>
                <w:rFonts w:ascii="Arial" w:cs="Arial" w:eastAsia="Arial" w:hAnsi="Arial"/>
                <w:sz w:val="16"/>
                <w:szCs w:val="16"/>
                <w:b w:val="1"/>
                <w:bCs w:val="1"/>
                <w:color w:val="auto"/>
                <w:w w:val="82"/>
                <w:vertAlign w:val="superscript"/>
              </w:rPr>
              <w:t>(1)</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2"/>
              </w:rPr>
              <w:t>($)</w:t>
            </w:r>
            <w:r>
              <w:rPr>
                <w:rFonts w:ascii="Arial" w:cs="Arial" w:eastAsia="Arial" w:hAnsi="Arial"/>
                <w:sz w:val="16"/>
                <w:szCs w:val="16"/>
                <w:b w:val="1"/>
                <w:bCs w:val="1"/>
                <w:color w:val="auto"/>
                <w:w w:val="82"/>
                <w:vertAlign w:val="superscript"/>
              </w:rPr>
              <w:t>(1)</w:t>
            </w:r>
          </w:p>
        </w:tc>
      </w:tr>
      <w:tr>
        <w:trPr>
          <w:trHeight w:val="169"/>
        </w:trPr>
        <w:tc>
          <w:tcPr>
            <w:tcW w:w="1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Christopher S. Sotos</w:t>
            </w: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3"/>
                <w:szCs w:val="13"/>
                <w:color w:val="auto"/>
              </w:rPr>
              <w:t xml:space="preserve">54,666 </w:t>
            </w:r>
            <w:r>
              <w:rPr>
                <w:rFonts w:ascii="Arial" w:cs="Arial" w:eastAsia="Arial" w:hAnsi="Arial"/>
                <w:sz w:val="16"/>
                <w:szCs w:val="16"/>
                <w:color w:val="auto"/>
                <w:vertAlign w:val="superscript"/>
              </w:rPr>
              <w:t>(2)</w:t>
            </w: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1,745,485</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3"/>
                <w:szCs w:val="13"/>
                <w:color w:val="auto"/>
              </w:rPr>
              <w:t xml:space="preserve">151,062 </w:t>
            </w:r>
            <w:r>
              <w:rPr>
                <w:rFonts w:ascii="Arial" w:cs="Arial" w:eastAsia="Arial" w:hAnsi="Arial"/>
                <w:sz w:val="16"/>
                <w:szCs w:val="16"/>
                <w:color w:val="auto"/>
                <w:vertAlign w:val="superscript"/>
              </w:rPr>
              <w:t>(3)</w:t>
            </w:r>
          </w:p>
        </w:tc>
        <w:tc>
          <w:tcPr>
            <w:tcW w:w="14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4,823,410</w:t>
            </w: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3"/>
                <w:szCs w:val="13"/>
                <w:color w:val="auto"/>
              </w:rPr>
              <w:t>Chad Plotkin</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75" w:lineRule="exact"/>
              <w:rPr>
                <w:sz w:val="20"/>
                <w:szCs w:val="20"/>
                <w:color w:val="auto"/>
              </w:rPr>
            </w:pPr>
            <w:r>
              <w:rPr>
                <w:rFonts w:ascii="Arial" w:cs="Arial" w:eastAsia="Arial" w:hAnsi="Arial"/>
                <w:sz w:val="13"/>
                <w:szCs w:val="13"/>
                <w:color w:val="auto"/>
              </w:rPr>
              <w:t xml:space="preserve">16,319 </w:t>
            </w:r>
            <w:r>
              <w:rPr>
                <w:rFonts w:ascii="Arial" w:cs="Arial" w:eastAsia="Arial" w:hAnsi="Arial"/>
                <w:sz w:val="16"/>
                <w:szCs w:val="16"/>
                <w:color w:val="auto"/>
                <w:vertAlign w:val="superscript"/>
              </w:rPr>
              <w:t>(4)</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521,066</w:t>
            </w:r>
          </w:p>
        </w:tc>
        <w:tc>
          <w:tcPr>
            <w:tcW w:w="10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3"/>
                <w:szCs w:val="13"/>
                <w:color w:val="auto"/>
              </w:rPr>
              <w:t xml:space="preserve">44,813 </w:t>
            </w:r>
            <w:r>
              <w:rPr>
                <w:rFonts w:ascii="Arial" w:cs="Arial" w:eastAsia="Arial" w:hAnsi="Arial"/>
                <w:sz w:val="16"/>
                <w:szCs w:val="16"/>
                <w:color w:val="auto"/>
                <w:vertAlign w:val="superscript"/>
              </w:rPr>
              <w:t>(5)</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1,430,879</w:t>
            </w:r>
          </w:p>
        </w:tc>
      </w:tr>
      <w:tr>
        <w:trPr>
          <w:trHeight w:val="17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Kevin P. Malcarney</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75" w:lineRule="exact"/>
              <w:rPr>
                <w:sz w:val="20"/>
                <w:szCs w:val="20"/>
                <w:color w:val="auto"/>
              </w:rPr>
            </w:pPr>
            <w:r>
              <w:rPr>
                <w:rFonts w:ascii="Arial" w:cs="Arial" w:eastAsia="Arial" w:hAnsi="Arial"/>
                <w:sz w:val="13"/>
                <w:szCs w:val="13"/>
                <w:color w:val="auto"/>
              </w:rPr>
              <w:t xml:space="preserve">12,504 </w:t>
            </w:r>
            <w:r>
              <w:rPr>
                <w:rFonts w:ascii="Arial" w:cs="Arial" w:eastAsia="Arial" w:hAnsi="Arial"/>
                <w:sz w:val="16"/>
                <w:szCs w:val="16"/>
                <w:color w:val="auto"/>
                <w:vertAlign w:val="superscript"/>
              </w:rPr>
              <w:t>(6)</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399,253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Arial" w:cs="Arial" w:eastAsia="Arial" w:hAnsi="Arial"/>
                <w:sz w:val="13"/>
                <w:szCs w:val="13"/>
                <w:color w:val="auto"/>
              </w:rPr>
              <w:t>21,565</w:t>
            </w:r>
            <w:r>
              <w:rPr>
                <w:rFonts w:ascii="Arial" w:cs="Arial" w:eastAsia="Arial" w:hAnsi="Arial"/>
                <w:sz w:val="16"/>
                <w:szCs w:val="16"/>
                <w:color w:val="auto"/>
                <w:vertAlign w:val="superscript"/>
              </w:rPr>
              <w:t>(7)</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688,570</w:t>
            </w:r>
          </w:p>
        </w:tc>
      </w:tr>
      <w:tr>
        <w:trPr>
          <w:trHeight w:val="268"/>
        </w:trPr>
        <w:tc>
          <w:tcPr>
            <w:tcW w:w="1540" w:type="dxa"/>
            <w:vAlign w:val="bottom"/>
            <w:gridSpan w:val="2"/>
          </w:tcPr>
          <w:p>
            <w:pPr>
              <w:ind w:left="20"/>
              <w:spacing w:after="0"/>
              <w:rPr>
                <w:sz w:val="20"/>
                <w:szCs w:val="20"/>
                <w:color w:val="auto"/>
              </w:rPr>
            </w:pPr>
            <w:r>
              <w:rPr>
                <w:rFonts w:ascii="Arial" w:cs="Arial" w:eastAsia="Arial" w:hAnsi="Arial"/>
                <w:sz w:val="13"/>
                <w:szCs w:val="13"/>
                <w:color w:val="auto"/>
              </w:rPr>
              <w:t>Mary Lee Stillwell</w:t>
            </w:r>
            <w:r>
              <w:rPr>
                <w:rFonts w:ascii="Arial" w:cs="Arial" w:eastAsia="Arial" w:hAnsi="Arial"/>
                <w:sz w:val="16"/>
                <w:szCs w:val="16"/>
                <w:color w:val="auto"/>
                <w:vertAlign w:val="superscript"/>
              </w:rPr>
              <w:t>(8)</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23"/>
                <w:szCs w:val="23"/>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13798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Assumes achievement at target award level for 2018, 2019 and 2020 RPSU awards as discussed in the CD&amp;A.</w:t>
      </w:r>
    </w:p>
    <w:p>
      <w:pPr>
        <w:spacing w:after="0" w:line="55" w:lineRule="exact"/>
        <w:rPr>
          <w:rFonts w:ascii="Arial" w:cs="Arial" w:eastAsia="Arial" w:hAnsi="Arial"/>
          <w:sz w:val="14"/>
          <w:szCs w:val="14"/>
          <w:color w:val="auto"/>
        </w:rPr>
      </w:pPr>
    </w:p>
    <w:p>
      <w:pPr>
        <w:ind w:firstLine="8"/>
        <w:spacing w:after="0" w:line="273" w:lineRule="auto"/>
        <w:tabs>
          <w:tab w:leader="none" w:pos="2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amount represents 16,861 RSUs that vested on January 2, 2021, 9,329 RSUs that will vest on April 15, 2021, 9,789 RSUs that will vest on January 2, 2022, 9,329 RSUs that will vest on April 15, 2022, and 9,358 RSUs that will vest on April 15, 2023.</w:t>
      </w:r>
    </w:p>
    <w:p>
      <w:pPr>
        <w:spacing w:after="0" w:line="11" w:lineRule="exact"/>
        <w:rPr>
          <w:rFonts w:ascii="Arial" w:cs="Arial" w:eastAsia="Arial" w:hAnsi="Arial"/>
          <w:sz w:val="14"/>
          <w:szCs w:val="14"/>
          <w:color w:val="auto"/>
        </w:rPr>
      </w:pPr>
    </w:p>
    <w:p>
      <w:pPr>
        <w:ind w:firstLine="8"/>
        <w:spacing w:after="0" w:line="273" w:lineRule="auto"/>
        <w:tabs>
          <w:tab w:leader="none" w:pos="2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amount represents 39,599 RPSUs that vested on January 2, 2021, 54,671 that will vest on January 2, 2022 and 56,792 that will vest on April 15, 2023. On January 2, 2021, the 2018 RPSU award vested at 150% of target based on the Company’s TSR performance ranked against the TSR performance of the Performance Peer Group.</w:t>
      </w:r>
    </w:p>
    <w:p>
      <w:pPr>
        <w:spacing w:after="0" w:line="11" w:lineRule="exact"/>
        <w:rPr>
          <w:rFonts w:ascii="Arial" w:cs="Arial" w:eastAsia="Arial" w:hAnsi="Arial"/>
          <w:sz w:val="14"/>
          <w:szCs w:val="14"/>
          <w:color w:val="auto"/>
        </w:rPr>
      </w:pPr>
    </w:p>
    <w:p>
      <w:pPr>
        <w:ind w:right="20" w:firstLine="8"/>
        <w:spacing w:after="0" w:line="273" w:lineRule="auto"/>
        <w:tabs>
          <w:tab w:leader="none" w:pos="2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amount represents 5,024 RSUs that vested on January 2, 2021, 2,747 RSUs that will vest on April 15, 2021, 3,045 RSUs that will vest on January 2, 2022, 2,747 RSUs that will vest on April 15, 2022 and 2,756 RSUs that will vest April 15, 2023.</w:t>
      </w:r>
    </w:p>
    <w:p>
      <w:pPr>
        <w:spacing w:after="0" w:line="11" w:lineRule="exact"/>
        <w:rPr>
          <w:rFonts w:ascii="Arial" w:cs="Arial" w:eastAsia="Arial" w:hAnsi="Arial"/>
          <w:sz w:val="14"/>
          <w:szCs w:val="14"/>
          <w:color w:val="auto"/>
        </w:rPr>
      </w:pPr>
    </w:p>
    <w:p>
      <w:pPr>
        <w:ind w:right="20" w:firstLine="8"/>
        <w:spacing w:after="0" w:line="273" w:lineRule="auto"/>
        <w:tabs>
          <w:tab w:leader="none" w:pos="2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amount represents 11,088 RPSUs that vested on January 2, 2021, 17,001 that will vest on January 2, 2022 and 16,724 that will vest on April 15, 2023. On January 2, 2021, the 2018 RPSU award vested at 150% of target based on the Company’s TSR performance ranked against the TSR performance of the Performance Peer Group.</w:t>
      </w:r>
    </w:p>
    <w:p>
      <w:pPr>
        <w:spacing w:after="0" w:line="11" w:lineRule="exact"/>
        <w:rPr>
          <w:rFonts w:ascii="Arial" w:cs="Arial" w:eastAsia="Arial" w:hAnsi="Arial"/>
          <w:sz w:val="14"/>
          <w:szCs w:val="14"/>
          <w:color w:val="auto"/>
        </w:rPr>
      </w:pPr>
    </w:p>
    <w:p>
      <w:pPr>
        <w:ind w:right="20" w:firstLine="8"/>
        <w:spacing w:after="0" w:line="273" w:lineRule="auto"/>
        <w:tabs>
          <w:tab w:leader="none" w:pos="2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amount represents 5,240 RSUs that vested on January 2, 2021, 1,778 RSUs that will vest on April 15, 2021, 1,923 RSUs that will vest on January 2, 2022, 1,779 RSUs that will vest on April 15, 2022 and 1,784 RSUs that will vest on April 15, 2023.</w:t>
      </w:r>
    </w:p>
    <w:p>
      <w:pPr>
        <w:spacing w:after="0" w:line="11"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amount represents 10,738 RPSUs that will vest on January 2, 2022 and 10,827 that will vest on April 15, 2023.</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Ms. Stillwell voluntarily resigned from her employment with the Company in August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938"/>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2"/>
              </w:rPr>
              <w:t>Number of Shares</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Value Realized</w:t>
            </w:r>
          </w:p>
        </w:tc>
        <w:tc>
          <w:tcPr>
            <w:tcW w:w="130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Number of Shares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60" w:type="dxa"/>
            <w:vAlign w:val="bottom"/>
            <w:gridSpan w:val="2"/>
            <w:vMerge w:val="continue"/>
          </w:tcPr>
          <w:p>
            <w:pPr>
              <w:spacing w:after="0"/>
              <w:rPr>
                <w:sz w:val="12"/>
                <w:szCs w:val="12"/>
                <w:color w:val="auto"/>
              </w:rPr>
            </w:pPr>
          </w:p>
        </w:tc>
        <w:tc>
          <w:tcPr>
            <w:tcW w:w="1000" w:type="dxa"/>
            <w:vAlign w:val="bottom"/>
          </w:tcPr>
          <w:p>
            <w:pPr>
              <w:jc w:val="center"/>
              <w:ind w:left="119"/>
              <w:spacing w:after="0" w:line="149" w:lineRule="exact"/>
              <w:rPr>
                <w:sz w:val="20"/>
                <w:szCs w:val="20"/>
                <w:color w:val="auto"/>
              </w:rPr>
            </w:pPr>
            <w:r>
              <w:rPr>
                <w:rFonts w:ascii="Arial" w:cs="Arial" w:eastAsia="Arial" w:hAnsi="Arial"/>
                <w:sz w:val="14"/>
                <w:szCs w:val="14"/>
                <w:b w:val="1"/>
                <w:bCs w:val="1"/>
                <w:color w:val="auto"/>
                <w:w w:val="92"/>
              </w:rPr>
              <w:t>Acquired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89"/>
              </w:rPr>
              <w:t>on Exercise</w:t>
            </w:r>
          </w:p>
        </w:tc>
        <w:tc>
          <w:tcPr>
            <w:tcW w:w="1000" w:type="dxa"/>
            <w:vAlign w:val="bottom"/>
          </w:tcPr>
          <w:p>
            <w:pPr>
              <w:jc w:val="center"/>
              <w:ind w:left="119"/>
              <w:spacing w:after="0" w:line="159" w:lineRule="exact"/>
              <w:rPr>
                <w:sz w:val="20"/>
                <w:szCs w:val="20"/>
                <w:color w:val="auto"/>
              </w:rPr>
            </w:pPr>
            <w:r>
              <w:rPr>
                <w:rFonts w:ascii="Arial" w:cs="Arial" w:eastAsia="Arial" w:hAnsi="Arial"/>
                <w:sz w:val="14"/>
                <w:szCs w:val="14"/>
                <w:b w:val="1"/>
                <w:bCs w:val="1"/>
                <w:color w:val="auto"/>
                <w:w w:val="89"/>
              </w:rPr>
              <w:t>on Vesting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215"/>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00" w:type="dxa"/>
            <w:vAlign w:val="bottom"/>
          </w:tcPr>
          <w:p>
            <w:pPr>
              <w:jc w:val="center"/>
              <w:ind w:left="119"/>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(3)</w:t>
            </w:r>
          </w:p>
        </w:tc>
        <w:tc>
          <w:tcPr>
            <w:tcW w:w="0" w:type="dxa"/>
            <w:vAlign w:val="bottom"/>
          </w:tcPr>
          <w:p>
            <w:pPr>
              <w:spacing w:after="0"/>
              <w:rPr>
                <w:sz w:val="1"/>
                <w:szCs w:val="1"/>
                <w:color w:val="auto"/>
              </w:rPr>
            </w:pPr>
          </w:p>
        </w:tc>
      </w:tr>
      <w:tr>
        <w:trPr>
          <w:trHeight w:val="223"/>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102,494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2,051,670</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29,015</w:t>
            </w:r>
          </w:p>
        </w:tc>
        <w:tc>
          <w:tcPr>
            <w:tcW w:w="20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580,829</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282,750</w:t>
            </w:r>
          </w:p>
        </w:tc>
        <w:tc>
          <w:tcPr>
            <w:tcW w:w="0" w:type="dxa"/>
            <w:vAlign w:val="bottom"/>
          </w:tcPr>
          <w:p>
            <w:pPr>
              <w:spacing w:after="0"/>
              <w:rPr>
                <w:sz w:val="1"/>
                <w:szCs w:val="1"/>
                <w:color w:val="auto"/>
              </w:rPr>
            </w:pPr>
          </w:p>
        </w:tc>
      </w:tr>
      <w:tr>
        <w:trPr>
          <w:trHeight w:val="304"/>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Mary Lee Stillwell</w:t>
            </w:r>
            <w:r>
              <w:rPr>
                <w:rFonts w:ascii="Arial" w:cs="Arial" w:eastAsia="Arial" w:hAnsi="Arial"/>
                <w:sz w:val="23"/>
                <w:szCs w:val="23"/>
                <w:color w:val="auto"/>
                <w:vertAlign w:val="superscript"/>
              </w:rPr>
              <w:t>(7)</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14,531</w:t>
            </w:r>
          </w:p>
        </w:tc>
        <w:tc>
          <w:tcPr>
            <w:tcW w:w="2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290,959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3798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shares and DERs that vested pursuant to underlying awards and converted to Class C common stock in 2020.</w:t>
      </w:r>
    </w:p>
    <w:p>
      <w:pPr>
        <w:spacing w:after="0" w:line="13" w:lineRule="exact"/>
        <w:rPr>
          <w:rFonts w:ascii="Arial" w:cs="Arial" w:eastAsia="Arial" w:hAnsi="Arial"/>
          <w:sz w:val="14"/>
          <w:szCs w:val="14"/>
          <w:color w:val="auto"/>
        </w:rPr>
      </w:pPr>
    </w:p>
    <w:p>
      <w:pPr>
        <w:ind w:right="20" w:firstLine="8"/>
        <w:spacing w:after="0" w:line="241" w:lineRule="auto"/>
        <w:tabs>
          <w:tab w:leader="none" w:pos="20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16,840 RSUs and 1,364 DERs that vested on January 2, 2020 pursuant to the stock compensation awards granted on January 2, 2018 and January 2, 2019. Represents 8,776 RSUs, 61,815 RPSUs and 13,699 DERs that vested on January 3, 2020 pursuant to the stock compensation awards granted on January 3, 2017.</w:t>
      </w:r>
    </w:p>
    <w:p>
      <w:pPr>
        <w:ind w:right="20" w:firstLine="8"/>
        <w:spacing w:after="0" w:line="241" w:lineRule="auto"/>
        <w:tabs>
          <w:tab w:leader="none" w:pos="204"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values are based on January 2, 2020 Class C common stock closing share price of $20.05 for awards and DERs that vested on January 2, 2020. The values are based on January 3, 2020 Class C common stock closing share price of $20.01 for awards and DERs that vested on January 3, 2020.</w:t>
      </w:r>
    </w:p>
    <w:p>
      <w:pPr>
        <w:ind w:firstLine="8"/>
        <w:spacing w:after="0" w:line="241" w:lineRule="auto"/>
        <w:tabs>
          <w:tab w:leader="none" w:pos="20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5,017 RSUs and 396 DERs that vested on January 2, 2020 pursuant to the stock compensation awards granted on January 2, 2018 and January 2, 2019. Represents 2,458 RSUs, 17,308 RPSUs and 3,836 DERs that vested on January 3, 2020 pursuant to the stock compensation awards granted on January 3, 2017.</w:t>
      </w:r>
    </w:p>
    <w:p>
      <w:pPr>
        <w:ind w:firstLine="8"/>
        <w:spacing w:after="0" w:line="241" w:lineRule="auto"/>
        <w:tabs>
          <w:tab w:leader="none" w:pos="20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1,916 RSUs and 94 DERs that vested on January 2, 2020 pursuant to the stock compensation award granted on January 2, 2019. Represents 10,967 RSUs and 1,149 DERs that vested on January 3, 2020 pursuant to the stock compensation award granted on May 11, 2018.</w:t>
      </w:r>
    </w:p>
    <w:p>
      <w:pPr>
        <w:ind w:firstLine="8"/>
        <w:spacing w:after="0" w:line="241" w:lineRule="auto"/>
        <w:tabs>
          <w:tab w:leader="none" w:pos="20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4,283 RSUs and 211 DERs that vested on January 2, 2020 pursuant to the stock compensation award granted on January 2, 2019. Represents 9,249 RSUs and 788 DERs that vested on January 3, 2020 pursuant to the stock compensation award granted on August 31, 2018.</w:t>
      </w: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Stillwell voluntarily resigned from her employment with the Company in August 2020.</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entered into employment agreements with any officers other than Mr. Sotos.</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August 8, 2016, the Company entered into an employment agreement with Mr. Sotos pursuant to which Mr. Sotos serves as the Company’s President and CEO for the term that began on May 6, 2016 (the “Effective Date”) and ending on the date that his employment is terminated by either party. The employment agreement entitled Mr. Sotos to an annual base salary of $500,000 for the period beginning on the Effective Date and ended on December 31, 2016. For each annual period thereafter, our Board determines whether to increase Mr. Sotos’ annual base salary (as noted in the above Summary Compensation Table, Mr. Sotos’ 2020 annualized base salary was $611,000). The employment agreement provides that, beginning with the 2016 fiscal year, Mr. Sotos is eligible to receive an annual bonus at a target amount equal to 100% of base salary (i.e., AIP bonus), based on achievement of criteria determined by the Board with input from Mr. Sotos. The maximum award opportunity each year is 200% of the target amount. The employment agreement further provides that Mr. Sotos is eligible to participate in the LTIP, on such terms as are set forth in the plan. Mr. Sotos’ target LTIP award for the 2020 fiscal year was approximately 264% of base salary.</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addition to the compensation and benefits described above, as well as paid vacation and director and officer liability insurance, the employment agreement provides that Mr. Sotos will receive the following:</w:t>
      </w:r>
    </w:p>
    <w:p>
      <w:pPr>
        <w:spacing w:after="0" w:line="131"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Reimbursement for annual tax return preparation expenses and tax advice and financial planning, up to a maximum of $12,000 per year;</w:t>
      </w:r>
    </w:p>
    <w:p>
      <w:pPr>
        <w:spacing w:after="0" w:line="182"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Eligibility to participate in the Company’s retirement plans, health and welfare plans, and disability insurance plans under the same terms, and to the same extent, as other senior management of the Company;</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Reimbursement for the costs of litigation or other disputes incurred in asserting any claims under the employment agreement, unless the court finds in favor of the Company; and</w:t>
      </w:r>
    </w:p>
    <w:p>
      <w:pPr>
        <w:spacing w:after="0" w:line="116"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The employment agreement also entitles him to certain severance payments and benefits in the event his employment terminates under certain circumstances. These severance payments and benefits are described and quantified under the section “Severance and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below. In addition, under the employment agreement, the Company has agreed to indemnify Mr. Sotos against any claims arising as a result of his position with the Company to the maximum extent permitted by law.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jc w:val="both"/>
        <w:ind w:firstLine="648"/>
        <w:spacing w:after="0" w:line="220" w:lineRule="exact"/>
        <w:rPr>
          <w:sz w:val="20"/>
          <w:szCs w:val="20"/>
          <w:color w:val="auto"/>
        </w:rPr>
      </w:pPr>
      <w:r>
        <w:rPr>
          <w:rFonts w:ascii="Arial" w:cs="Arial" w:eastAsia="Arial" w:hAnsi="Arial"/>
          <w:sz w:val="17"/>
          <w:szCs w:val="17"/>
          <w:color w:val="auto"/>
        </w:rPr>
        <w:t>The employment agreement includes non</w:t>
      </w:r>
      <w:r>
        <w:rPr>
          <w:rFonts w:ascii="MS PGothic" w:cs="MS PGothic" w:eastAsia="MS PGothic" w:hAnsi="MS PGothic"/>
          <w:sz w:val="17"/>
          <w:szCs w:val="17"/>
          <w:color w:val="auto"/>
        </w:rPr>
        <w:t>‑</w:t>
      </w:r>
      <w:r>
        <w:rPr>
          <w:rFonts w:ascii="Arial" w:cs="Arial" w:eastAsia="Arial" w:hAnsi="Arial"/>
          <w:sz w:val="17"/>
          <w:szCs w:val="17"/>
          <w:color w:val="auto"/>
        </w:rPr>
        <w:t>competition and non</w:t>
      </w:r>
      <w:r>
        <w:rPr>
          <w:rFonts w:ascii="MS PGothic" w:cs="MS PGothic" w:eastAsia="MS PGothic" w:hAnsi="MS PGothic"/>
          <w:sz w:val="17"/>
          <w:szCs w:val="17"/>
          <w:color w:val="auto"/>
        </w:rPr>
        <w:t>‑</w:t>
      </w:r>
      <w:r>
        <w:rPr>
          <w:rFonts w:ascii="Arial" w:cs="Arial" w:eastAsia="Arial" w:hAnsi="Arial"/>
          <w:sz w:val="17"/>
          <w:szCs w:val="17"/>
          <w:color w:val="auto"/>
        </w:rPr>
        <w:t>solicitation restrictions on Mr. Sotos during the term of his employment and for one year after his termination of employment. The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employment agreement may only be waived with the written consent of the Company and Mr. Sotos.</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Severance and Change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Control</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employment agreement with respect to Mr. Sotos, and as defined in the LTIP with respect to the other NEOs) within the six months immediately prior to, or the 12 months immediately following, a change in control of the Company (as defined in the LTIP) (such period referred to herein as, the “Change in Control Period”),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accelerated vesting applies to any other involuntary termination, although new hire grants of RSUs, such as the grant made to Ms. Stillwell on August 31, 2018, provide pro-rated vesting for certain involuntary terminations of service that occur in connection with certain significant business events. Ms. Stillwell’s outstanding RSUs, including the above-described grants made to her on August 31, 2018, were forfeited as of the time of her resignation.</w:t>
      </w:r>
    </w:p>
    <w:p>
      <w:pPr>
        <w:spacing w:after="0" w:line="20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In addition to the above described treatment of his or her equity awards, Mr. Sotos, pursuant to his employment agreement, and the other NEOs, pursuant to the CIC Plan and in some cases, the AIP, are entitled to certain additional severance payments and benefits in the event of termination of employment under certain circumstances, including following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Sotos’ Benefits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62"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lump sum payment equal to no less than 1.5 times Mr. Sotos’ annual base salary in effect at the time of the Effective Date;</w:t>
      </w:r>
    </w:p>
    <w:p>
      <w:pPr>
        <w:spacing w:after="0" w:line="171" w:lineRule="exact"/>
        <w:rPr>
          <w:rFonts w:ascii="Arial" w:cs="Arial" w:eastAsia="Arial" w:hAnsi="Arial"/>
          <w:sz w:val="18"/>
          <w:szCs w:val="18"/>
          <w:color w:val="auto"/>
        </w:rPr>
      </w:pPr>
    </w:p>
    <w:p>
      <w:pPr>
        <w:ind w:left="980" w:hanging="324"/>
        <w:spacing w:after="0" w:line="223" w:lineRule="exact"/>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w:t>
      </w:r>
      <w:r>
        <w:rPr>
          <w:rFonts w:ascii="MS PGothic" w:cs="MS PGothic" w:eastAsia="MS PGothic" w:hAnsi="MS PGothic"/>
          <w:sz w:val="18"/>
          <w:szCs w:val="18"/>
          <w:color w:val="auto"/>
        </w:rPr>
        <w:t>‑</w:t>
      </w:r>
      <w:r>
        <w:rPr>
          <w:rFonts w:ascii="Arial" w:cs="Arial" w:eastAsia="Arial" w:hAnsi="Arial"/>
          <w:sz w:val="18"/>
          <w:szCs w:val="18"/>
          <w:color w:val="auto"/>
        </w:rPr>
        <w:t>current bonus plan, which amount will be pro</w:t>
      </w:r>
      <w:r>
        <w:rPr>
          <w:rFonts w:ascii="MS PGothic" w:cs="MS PGothic" w:eastAsia="MS PGothic" w:hAnsi="MS PGothic"/>
          <w:sz w:val="18"/>
          <w:szCs w:val="18"/>
          <w:color w:val="auto"/>
        </w:rPr>
        <w:t>‑</w:t>
      </w:r>
      <w:r>
        <w:rPr>
          <w:rFonts w:ascii="Arial" w:cs="Arial" w:eastAsia="Arial" w:hAnsi="Arial"/>
          <w:sz w:val="18"/>
          <w:szCs w:val="18"/>
          <w:color w:val="auto"/>
        </w:rPr>
        <w:t>rated based on the number of days during the year that he was employed by the Company;</w:t>
      </w:r>
    </w:p>
    <w:p>
      <w:pPr>
        <w:spacing w:after="0" w:line="148"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Reimbursement of COBRA premiums for 18 months after the date of termination, except that such coverage will be discontinued if Mr. Sotos becomes eligible for medical benefits from a subsequent employer or otherwise.</w:t>
      </w:r>
    </w:p>
    <w:p>
      <w:pPr>
        <w:spacing w:after="0" w:line="11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Mr. Sotos’ employment is involuntarily terminated by the Company without cause or if he terminates his employment for good reason, within the Change in Control Period, in lieu of the severance benefits set forth above, the Company will provide Mr. Sotos with the following severance benefits:</w:t>
      </w:r>
    </w:p>
    <w:p>
      <w:pPr>
        <w:spacing w:after="0" w:line="151" w:lineRule="exact"/>
        <w:rPr>
          <w:sz w:val="20"/>
          <w:szCs w:val="20"/>
          <w:color w:val="auto"/>
        </w:rPr>
      </w:pPr>
    </w:p>
    <w:p>
      <w:pPr>
        <w:ind w:left="9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lump sum payment of no less than 3 times the sum of (a) Mr. Sotos’ base salary in effect at the Effective Date and (b) Mr. Sotos’ target bonus opportunity for the year of termination;</w:t>
      </w:r>
    </w:p>
    <w:p>
      <w:pPr>
        <w:spacing w:after="0" w:line="116" w:lineRule="exact"/>
        <w:rPr>
          <w:rFonts w:ascii="Arial" w:cs="Arial" w:eastAsia="Arial" w:hAnsi="Arial"/>
          <w:sz w:val="18"/>
          <w:szCs w:val="18"/>
          <w:color w:val="auto"/>
        </w:rPr>
      </w:pPr>
    </w:p>
    <w:p>
      <w:pPr>
        <w:ind w:left="980" w:hanging="324"/>
        <w:spacing w:after="0" w:line="223" w:lineRule="exact"/>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w:t>
      </w:r>
      <w:r>
        <w:rPr>
          <w:rFonts w:ascii="MS PGothic" w:cs="MS PGothic" w:eastAsia="MS PGothic" w:hAnsi="MS PGothic"/>
          <w:sz w:val="18"/>
          <w:szCs w:val="18"/>
          <w:color w:val="auto"/>
        </w:rPr>
        <w:t>‑</w:t>
      </w:r>
      <w:r>
        <w:rPr>
          <w:rFonts w:ascii="Arial" w:cs="Arial" w:eastAsia="Arial" w:hAnsi="Arial"/>
          <w:sz w:val="18"/>
          <w:szCs w:val="18"/>
          <w:color w:val="auto"/>
        </w:rPr>
        <w:t>current bonus plan, which amount will be pro</w:t>
      </w:r>
      <w:r>
        <w:rPr>
          <w:rFonts w:ascii="MS PGothic" w:cs="MS PGothic" w:eastAsia="MS PGothic" w:hAnsi="MS PGothic"/>
          <w:sz w:val="18"/>
          <w:szCs w:val="18"/>
          <w:color w:val="auto"/>
        </w:rPr>
        <w:t>‑</w:t>
      </w:r>
      <w:r>
        <w:rPr>
          <w:rFonts w:ascii="Arial" w:cs="Arial" w:eastAsia="Arial" w:hAnsi="Arial"/>
          <w:sz w:val="18"/>
          <w:szCs w:val="18"/>
          <w:color w:val="auto"/>
        </w:rPr>
        <w:t>rated based on the number of days during the year that he was employed by the Company;</w:t>
      </w:r>
    </w:p>
    <w:p>
      <w:pPr>
        <w:spacing w:after="0" w:line="148"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Reimbursement of COBRA premiums for 18 months after the date of termination, except that such coverage will be discontinued if Mr. Sotos becomes eligible for medical benefits from a subsequent employer or otherwise.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jc w:val="both"/>
        <w:ind w:firstLine="648"/>
        <w:spacing w:after="0" w:line="220" w:lineRule="exact"/>
        <w:rPr>
          <w:sz w:val="20"/>
          <w:szCs w:val="20"/>
          <w:color w:val="auto"/>
        </w:rPr>
      </w:pPr>
      <w:r>
        <w:rPr>
          <w:rFonts w:ascii="Arial" w:cs="Arial" w:eastAsia="Arial" w:hAnsi="Arial"/>
          <w:sz w:val="18"/>
          <w:szCs w:val="18"/>
          <w:color w:val="auto"/>
        </w:rPr>
        <w:t>If Mr. Sotos’ employment is terminated as a result of his death or disability, the Company agrees to pay him an amount equal to the target bonus opportunity for the year of termination, which amount will be pro</w:t>
      </w:r>
      <w:r>
        <w:rPr>
          <w:rFonts w:ascii="MS PGothic" w:cs="MS PGothic" w:eastAsia="MS PGothic" w:hAnsi="MS PGothic"/>
          <w:sz w:val="18"/>
          <w:szCs w:val="18"/>
          <w:color w:val="auto"/>
        </w:rPr>
        <w:t>‑</w:t>
      </w:r>
      <w:r>
        <w:rPr>
          <w:rFonts w:ascii="Arial" w:cs="Arial" w:eastAsia="Arial" w:hAnsi="Arial"/>
          <w:sz w:val="18"/>
          <w:szCs w:val="18"/>
          <w:color w:val="auto"/>
        </w:rPr>
        <w:t>rated based on the number of days during the year that Mr. Sotos’ was employed by the Company. In addition, the Company will pay Mr. Sotos any unpaid bonus amount for the prior fiscal year to the extent not paid prior to the termination date.</w:t>
      </w:r>
    </w:p>
    <w:p>
      <w:pPr>
        <w:spacing w:after="0" w:line="150" w:lineRule="exact"/>
        <w:rPr>
          <w:sz w:val="20"/>
          <w:szCs w:val="20"/>
          <w:color w:val="auto"/>
        </w:rPr>
      </w:pPr>
    </w:p>
    <w:p>
      <w:pPr>
        <w:jc w:val="both"/>
        <w:ind w:right="20" w:firstLine="648"/>
        <w:spacing w:after="0" w:line="220" w:lineRule="exact"/>
        <w:rPr>
          <w:sz w:val="20"/>
          <w:szCs w:val="20"/>
          <w:color w:val="auto"/>
        </w:rPr>
      </w:pPr>
      <w:r>
        <w:rPr>
          <w:rFonts w:ascii="Arial" w:cs="Arial" w:eastAsia="Arial" w:hAnsi="Arial"/>
          <w:sz w:val="18"/>
          <w:szCs w:val="18"/>
          <w:color w:val="auto"/>
        </w:rPr>
        <w:t>If an excise tax under Section 4999 of the Code would be triggered by any payments under Mr. Sotos’ employment agreement or otherwise upon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 Benefits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107" w:lineRule="exact"/>
        <w:rPr>
          <w:sz w:val="20"/>
          <w:szCs w:val="20"/>
          <w:color w:val="auto"/>
        </w:rPr>
      </w:pPr>
    </w:p>
    <w:p>
      <w:pPr>
        <w:jc w:val="both"/>
        <w:ind w:right="120" w:firstLine="648"/>
        <w:spacing w:after="0" w:line="274" w:lineRule="auto"/>
        <w:rPr>
          <w:sz w:val="20"/>
          <w:szCs w:val="20"/>
          <w:color w:val="auto"/>
        </w:rPr>
      </w:pPr>
      <w:r>
        <w:rPr>
          <w:rFonts w:ascii="Arial" w:cs="Arial" w:eastAsia="Arial" w:hAnsi="Arial"/>
          <w:sz w:val="16"/>
          <w:szCs w:val="16"/>
          <w:color w:val="auto"/>
        </w:rPr>
        <w:t>The CIC Plan also provides a change-in-control benefit in the event that, within six months prior to, as well as 12 months following, a change-in-control , an eligible NEO’s employment is either involuntarily terminated by the Company without cause or voluntarily terminated by such NEO for good reason. Mr. Plotkin’s change-in-control benefit consists of an amount equal to 2.99 times the sum of his base salary plus the annual target incentive for the year of termination, payable in a lump sum amount. The change-in-control benefit for other eligible NEOs (other than Mr. Plotkin) consists of an amount equal to two times the sum of their base salary plus the annual target incentive for the year of termination, payable in a lump sum amount. All such NEOs are also eligible for an amount equal to their target bonus for the year of termination, pro-rated for the number of days during the performance period that such NEO was employed by the Company and reimbursement for COBRA benefits continuation cost for a period of 18 months.</w:t>
      </w:r>
    </w:p>
    <w:p>
      <w:pPr>
        <w:spacing w:after="0" w:line="109"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w:t>
      </w:r>
    </w:p>
    <w:p>
      <w:pPr>
        <w:spacing w:after="0" w:line="128" w:lineRule="exact"/>
        <w:rPr>
          <w:sz w:val="20"/>
          <w:szCs w:val="20"/>
          <w:color w:val="auto"/>
        </w:rPr>
      </w:pPr>
    </w:p>
    <w:p>
      <w:pPr>
        <w:jc w:val="both"/>
        <w:ind w:right="120" w:firstLine="648"/>
        <w:spacing w:after="0" w:line="248" w:lineRule="auto"/>
        <w:rPr>
          <w:sz w:val="20"/>
          <w:szCs w:val="20"/>
          <w:color w:val="auto"/>
        </w:rPr>
      </w:pPr>
      <w:r>
        <w:rPr>
          <w:rFonts w:ascii="Arial" w:cs="Arial" w:eastAsia="Arial" w:hAnsi="Arial"/>
          <w:sz w:val="18"/>
          <w:szCs w:val="18"/>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by such NEO to be greater than if such NEO were required to pay such excise tax.</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C</w:t>
      </w:r>
      <w:r>
        <w:rPr>
          <w:rFonts w:ascii="Arial" w:cs="Arial" w:eastAsia="Arial" w:hAnsi="Arial"/>
          <w:sz w:val="18"/>
          <w:szCs w:val="18"/>
          <w:color w:val="auto"/>
        </w:rPr>
        <w:t>hange-in-Control</w:t>
      </w:r>
      <w:r>
        <w:rPr>
          <w:rFonts w:ascii="Arial" w:cs="Arial" w:eastAsia="Arial" w:hAnsi="Arial"/>
          <w:sz w:val="18"/>
          <w:szCs w:val="18"/>
          <w:i w:val="1"/>
          <w:iCs w:val="1"/>
          <w:color w:val="auto"/>
        </w:rPr>
        <w:t xml:space="preserve"> , Etc.</w:t>
      </w:r>
    </w:p>
    <w:p>
      <w:pPr>
        <w:spacing w:after="0" w:line="239" w:lineRule="exact"/>
        <w:rPr>
          <w:sz w:val="20"/>
          <w:szCs w:val="20"/>
          <w:color w:val="auto"/>
        </w:rPr>
      </w:pPr>
    </w:p>
    <w:p>
      <w:pPr>
        <w:ind w:right="20" w:firstLine="648"/>
        <w:spacing w:after="0" w:line="245" w:lineRule="auto"/>
        <w:rPr>
          <w:sz w:val="20"/>
          <w:szCs w:val="20"/>
          <w:color w:val="auto"/>
        </w:rPr>
      </w:pPr>
      <w:r>
        <w:rPr>
          <w:rFonts w:ascii="Arial" w:cs="Arial" w:eastAsia="Arial" w:hAnsi="Arial"/>
          <w:sz w:val="17"/>
          <w:szCs w:val="17"/>
          <w:color w:val="auto"/>
        </w:rPr>
        <w:t>In general, under Mr. Sotos’ employment agreement and the CIC Plan, a “change-in-control ” occurs in the event: (a) any person or entity (with certain exceptions), becomes the direct or indirect beneficial owner of 50% or more of the Company’s voting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two-thirds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and the previous stockholders of the Company fail to own at least 50% of the combined voting power of the resulting entity in substantially the same proportions of their ownership in the Company immediately prior to such transaction, or (d) the stockholders approve a plan or proposal to liquidate or dissolve the Company.</w:t>
      </w:r>
    </w:p>
    <w:p>
      <w:pPr>
        <w:spacing w:after="0" w:line="1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his employment agreement).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jc w:val="both"/>
        <w:ind w:firstLine="648"/>
        <w:spacing w:after="0" w:line="290" w:lineRule="auto"/>
        <w:rPr>
          <w:sz w:val="20"/>
          <w:szCs w:val="20"/>
          <w:color w:val="auto"/>
        </w:rPr>
      </w:pPr>
      <w:r>
        <w:rPr>
          <w:rFonts w:ascii="Arial" w:cs="Arial" w:eastAsia="Arial" w:hAnsi="Arial"/>
          <w:sz w:val="16"/>
          <w:szCs w:val="16"/>
          <w:color w:val="auto"/>
        </w:rPr>
        <w:t>A voluntary termination for “good reason” means the resignation of the NEO in the event of (a) a material reduction in his or her compensation or benefits, (b) a material diminution in his or her title, authority, duties or responsibilities, or (c) the failure of a successor to the Company to agree, in writing, to assume the CIC Plan within 15 days after a merger, consolidation, sale or similar transaction. In Mr. Sotos’ case only, “good reason” also includes (i) any material failure by the Company to comply with his employment agreement, (ii) his removal from the Board, (iii) the failure to elect him to the Board during any regular election, (iv) any reduction in his target annual bonus opportunity and long-term incentive award, or (v) a change in reporting structure of the Company requiring Mr. Sotos to report to anyone other than the Board. The CIC Plan was updated in 2021 to (among other things) (x) clarify that “good reason” events generally will not arise as a result of across-the-board reductions in compensation for the Company’s executives, and (y) designate that “good reason” will apply, in certain circumstances, when an executive’s applicable principal place of employment is relocated.</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Potential Payments Upon Termination or Change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Control</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amount of compensation payable to each NEO in each circumstance is shown in the table below, assuming that termination of employment occurred as of December 31, 2020, and including payments that would have been earned as of such date. The amounts shown below do not include benefits payable under the Company’s 401(k) plan.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460" w:type="dxa"/>
            <w:vAlign w:val="bottom"/>
          </w:tcPr>
          <w:p>
            <w:pPr>
              <w:jc w:val="center"/>
              <w:ind w:left="1328"/>
              <w:spacing w:after="0"/>
              <w:rPr>
                <w:sz w:val="20"/>
                <w:szCs w:val="20"/>
                <w:color w:val="auto"/>
              </w:rPr>
            </w:pPr>
            <w:r>
              <w:rPr>
                <w:rFonts w:ascii="Arial" w:cs="Arial" w:eastAsia="Arial" w:hAnsi="Arial"/>
                <w:sz w:val="14"/>
                <w:szCs w:val="14"/>
                <w:b w:val="1"/>
                <w:bCs w:val="1"/>
                <w:color w:val="auto"/>
                <w:w w:val="98"/>
              </w:rPr>
              <w:t>Involuntary</w:t>
            </w:r>
          </w:p>
        </w:tc>
      </w:tr>
      <w:tr>
        <w:trPr>
          <w:trHeight w:val="162"/>
        </w:trPr>
        <w:tc>
          <w:tcPr>
            <w:tcW w:w="2940" w:type="dxa"/>
            <w:vAlign w:val="bottom"/>
          </w:tcPr>
          <w:p>
            <w:pPr>
              <w:spacing w:after="0"/>
              <w:rPr>
                <w:sz w:val="14"/>
                <w:szCs w:val="14"/>
                <w:color w:val="auto"/>
              </w:rPr>
            </w:pPr>
          </w:p>
        </w:tc>
        <w:tc>
          <w:tcPr>
            <w:tcW w:w="2460" w:type="dxa"/>
            <w:vAlign w:val="bottom"/>
          </w:tcPr>
          <w:p>
            <w:pPr>
              <w:jc w:val="center"/>
              <w:ind w:left="1308"/>
              <w:spacing w:after="0"/>
              <w:rPr>
                <w:sz w:val="20"/>
                <w:szCs w:val="20"/>
                <w:color w:val="auto"/>
              </w:rPr>
            </w:pPr>
            <w:r>
              <w:rPr>
                <w:rFonts w:ascii="Arial" w:cs="Arial" w:eastAsia="Arial" w:hAnsi="Arial"/>
                <w:sz w:val="14"/>
                <w:szCs w:val="14"/>
                <w:b w:val="1"/>
                <w:bCs w:val="1"/>
                <w:color w:val="auto"/>
                <w:w w:val="94"/>
              </w:rPr>
              <w:t>Termination</w:t>
            </w:r>
          </w:p>
        </w:tc>
      </w:tr>
      <w:tr>
        <w:trPr>
          <w:trHeight w:val="200"/>
        </w:trPr>
        <w:tc>
          <w:tcPr>
            <w:tcW w:w="29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2460" w:type="dxa"/>
            <w:vAlign w:val="bottom"/>
          </w:tcPr>
          <w:p>
            <w:pPr>
              <w:jc w:val="center"/>
              <w:ind w:left="1328"/>
              <w:spacing w:after="0"/>
              <w:rPr>
                <w:sz w:val="20"/>
                <w:szCs w:val="20"/>
                <w:color w:val="auto"/>
              </w:rPr>
            </w:pPr>
            <w:r>
              <w:rPr>
                <w:rFonts w:ascii="Arial" w:cs="Arial" w:eastAsia="Arial" w:hAnsi="Arial"/>
                <w:sz w:val="14"/>
                <w:szCs w:val="14"/>
                <w:b w:val="1"/>
                <w:bCs w:val="1"/>
                <w:color w:val="auto"/>
                <w:w w:val="93"/>
              </w:rPr>
              <w:t>Not for Cause ($)</w:t>
            </w: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7"/>
              </w:rPr>
              <w:t>Involuntary Not for</w:t>
            </w:r>
          </w:p>
        </w:tc>
        <w:tc>
          <w:tcPr>
            <w:tcW w:w="1140" w:type="dxa"/>
            <w:vAlign w:val="bottom"/>
          </w:tcPr>
          <w:p>
            <w:pPr>
              <w:spacing w:after="0"/>
              <w:rPr>
                <w:sz w:val="14"/>
                <w:szCs w:val="14"/>
                <w:color w:val="auto"/>
              </w:rPr>
            </w:pPr>
          </w:p>
        </w:tc>
      </w:tr>
      <w:tr>
        <w:trPr>
          <w:trHeight w:val="171"/>
        </w:trPr>
        <w:tc>
          <w:tcPr>
            <w:tcW w:w="1080" w:type="dxa"/>
            <w:vAlign w:val="bottom"/>
          </w:tcPr>
          <w:p>
            <w:pPr>
              <w:jc w:val="center"/>
              <w:ind w:right="228"/>
              <w:spacing w:after="0"/>
              <w:rPr>
                <w:sz w:val="20"/>
                <w:szCs w:val="20"/>
                <w:color w:val="auto"/>
              </w:rPr>
            </w:pPr>
            <w:r>
              <w:rPr>
                <w:rFonts w:ascii="Arial" w:cs="Arial" w:eastAsia="Arial" w:hAnsi="Arial"/>
                <w:sz w:val="14"/>
                <w:szCs w:val="14"/>
                <w:b w:val="1"/>
                <w:bCs w:val="1"/>
                <w:color w:val="auto"/>
                <w:w w:val="95"/>
              </w:rPr>
              <w:t>Voluntary</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Cause or Voluntary</w:t>
            </w:r>
          </w:p>
        </w:tc>
        <w:tc>
          <w:tcPr>
            <w:tcW w:w="1140" w:type="dxa"/>
            <w:vAlign w:val="bottom"/>
          </w:tcPr>
          <w:p>
            <w:pPr>
              <w:spacing w:after="0"/>
              <w:rPr>
                <w:sz w:val="14"/>
                <w:szCs w:val="14"/>
                <w:color w:val="auto"/>
              </w:rPr>
            </w:pPr>
          </w:p>
        </w:tc>
      </w:tr>
      <w:tr>
        <w:trPr>
          <w:trHeight w:val="149"/>
        </w:trPr>
        <w:tc>
          <w:tcPr>
            <w:tcW w:w="108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1140" w:type="dxa"/>
            <w:vAlign w:val="bottom"/>
          </w:tcPr>
          <w:p>
            <w:pPr>
              <w:spacing w:after="0"/>
              <w:rPr>
                <w:sz w:val="12"/>
                <w:szCs w:val="12"/>
                <w:color w:val="auto"/>
              </w:rPr>
            </w:pPr>
          </w:p>
        </w:tc>
      </w:tr>
      <w:tr>
        <w:trPr>
          <w:trHeight w:val="155"/>
        </w:trPr>
        <w:tc>
          <w:tcPr>
            <w:tcW w:w="1080" w:type="dxa"/>
            <w:vAlign w:val="bottom"/>
          </w:tcPr>
          <w:p>
            <w:pPr>
              <w:jc w:val="center"/>
              <w:ind w:right="248"/>
              <w:spacing w:after="0" w:line="155" w:lineRule="exact"/>
              <w:rPr>
                <w:sz w:val="20"/>
                <w:szCs w:val="20"/>
                <w:color w:val="auto"/>
              </w:rPr>
            </w:pPr>
            <w:r>
              <w:rPr>
                <w:rFonts w:ascii="Arial" w:cs="Arial" w:eastAsia="Arial" w:hAnsi="Arial"/>
                <w:sz w:val="14"/>
                <w:szCs w:val="14"/>
                <w:b w:val="1"/>
                <w:bCs w:val="1"/>
                <w:color w:val="auto"/>
                <w:w w:val="94"/>
              </w:rPr>
              <w:t>for Good</w:t>
            </w:r>
          </w:p>
        </w:tc>
        <w:tc>
          <w:tcPr>
            <w:tcW w:w="2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Following</w:t>
            </w:r>
          </w:p>
        </w:tc>
        <w:tc>
          <w:tcPr>
            <w:tcW w:w="1140" w:type="dxa"/>
            <w:vAlign w:val="bottom"/>
          </w:tcPr>
          <w:p>
            <w:pPr>
              <w:jc w:val="center"/>
              <w:ind w:left="288"/>
              <w:spacing w:after="0" w:line="155" w:lineRule="exact"/>
              <w:rPr>
                <w:sz w:val="20"/>
                <w:szCs w:val="20"/>
                <w:color w:val="auto"/>
              </w:rPr>
            </w:pPr>
            <w:r>
              <w:rPr>
                <w:rFonts w:ascii="Arial" w:cs="Arial" w:eastAsia="Arial" w:hAnsi="Arial"/>
                <w:sz w:val="14"/>
                <w:szCs w:val="14"/>
                <w:b w:val="1"/>
                <w:bCs w:val="1"/>
                <w:color w:val="auto"/>
                <w:w w:val="95"/>
              </w:rPr>
              <w:t>Death or</w:t>
            </w:r>
          </w:p>
        </w:tc>
      </w:tr>
      <w:tr>
        <w:trPr>
          <w:trHeight w:val="186"/>
        </w:trPr>
        <w:tc>
          <w:tcPr>
            <w:tcW w:w="1080" w:type="dxa"/>
            <w:vAlign w:val="bottom"/>
          </w:tcPr>
          <w:p>
            <w:pPr>
              <w:jc w:val="center"/>
              <w:ind w:right="248"/>
              <w:spacing w:after="0"/>
              <w:rPr>
                <w:sz w:val="20"/>
                <w:szCs w:val="20"/>
                <w:color w:val="auto"/>
              </w:rPr>
            </w:pPr>
            <w:r>
              <w:rPr>
                <w:rFonts w:ascii="Arial" w:cs="Arial" w:eastAsia="Arial" w:hAnsi="Arial"/>
                <w:sz w:val="14"/>
                <w:szCs w:val="14"/>
                <w:b w:val="1"/>
                <w:bCs w:val="1"/>
                <w:color w:val="auto"/>
                <w:w w:val="89"/>
              </w:rPr>
              <w:t>Reason ($)</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4"/>
              </w:rPr>
              <w:t>a Change in Control ($)</w:t>
            </w: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Disability ($)</w:t>
            </w:r>
          </w:p>
        </w:tc>
      </w:tr>
    </w:tbl>
    <w:p>
      <w:pPr>
        <w:spacing w:after="0" w:line="11" w:lineRule="exact"/>
        <w:rPr>
          <w:sz w:val="20"/>
          <w:szCs w:val="20"/>
          <w:color w:val="auto"/>
        </w:rPr>
      </w:pPr>
    </w:p>
    <w:p>
      <w:pPr>
        <w:sectPr>
          <w:pgSz w:w="11900" w:h="16838" w:orient="portrait"/>
          <w:cols w:equalWidth="0" w:num="2">
            <w:col w:w="5720" w:space="620"/>
            <w:col w:w="4900"/>
          </w:cols>
          <w:pgMar w:left="320" w:top="895" w:right="339" w:bottom="1440" w:gutter="0" w:footer="0" w:header="0"/>
          <w:type w:val="continuous"/>
        </w:sectPr>
      </w:pPr>
    </w:p>
    <w:tbl>
      <w:tblPr>
        <w:tblLayout w:type="fixed"/>
        <w:tblInd w:w="300" w:type="dxa"/>
        <w:tblCellMar>
          <w:top w:w="0" w:type="dxa"/>
          <w:left w:w="0" w:type="dxa"/>
          <w:bottom w:w="0" w:type="dxa"/>
          <w:right w:w="0" w:type="dxa"/>
        </w:tblCellMar>
      </w:tblPr>
      <w:tr>
        <w:trPr>
          <w:trHeight w:val="235"/>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00" w:type="dxa"/>
            <w:vAlign w:val="bottom"/>
            <w:tcBorders>
              <w:top w:val="single" w:sz="8" w:color="CCEEFF"/>
            </w:tcBorders>
            <w:shd w:val="clear" w:color="auto" w:fill="CCEEFF"/>
          </w:tcPr>
          <w:p>
            <w:pPr>
              <w:spacing w:after="0"/>
              <w:rPr>
                <w:sz w:val="20"/>
                <w:szCs w:val="20"/>
                <w:color w:val="auto"/>
              </w:rPr>
            </w:pPr>
          </w:p>
        </w:tc>
        <w:tc>
          <w:tcPr>
            <w:tcW w:w="2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1,378,850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1,378,850</w:t>
            </w:r>
          </w:p>
        </w:tc>
        <w:tc>
          <w:tcPr>
            <w:tcW w:w="12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11,103,266</w:t>
            </w: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7,752,416</w:t>
            </w: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828,390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4,196,809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2,348,499</w:t>
            </w: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2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616,224</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2,181,115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1,288,141</w:t>
            </w:r>
          </w:p>
        </w:tc>
      </w:tr>
      <w:tr>
        <w:trPr>
          <w:trHeight w:val="304"/>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Mary Lee Stillwell</w:t>
            </w:r>
            <w:r>
              <w:rPr>
                <w:rFonts w:ascii="Arial" w:cs="Arial" w:eastAsia="Arial" w:hAnsi="Arial"/>
                <w:sz w:val="23"/>
                <w:szCs w:val="23"/>
                <w:color w:val="auto"/>
                <w:vertAlign w:val="superscript"/>
              </w:rPr>
              <w:t>(1)</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27" w:lineRule="exact"/>
        <w:rPr>
          <w:sz w:val="20"/>
          <w:szCs w:val="20"/>
          <w:color w:val="auto"/>
        </w:rPr>
      </w:pPr>
    </w:p>
    <w:p>
      <w:pPr>
        <w:ind w:left="260" w:right="220" w:hanging="9"/>
        <w:spacing w:after="0" w:line="273" w:lineRule="auto"/>
        <w:tabs>
          <w:tab w:leader="none" w:pos="464" w:val="left"/>
        </w:tabs>
        <w:numPr>
          <w:ilvl w:val="0"/>
          <w:numId w:val="50"/>
        </w:numPr>
        <w:rPr>
          <w:rFonts w:ascii="Arial" w:cs="Arial" w:eastAsia="Arial" w:hAnsi="Arial"/>
          <w:sz w:val="14"/>
          <w:szCs w:val="14"/>
          <w:color w:val="auto"/>
        </w:rPr>
      </w:pPr>
      <w:r>
        <w:rPr>
          <w:rFonts w:ascii="Arial" w:cs="Arial" w:eastAsia="Arial" w:hAnsi="Arial"/>
          <w:sz w:val="14"/>
          <w:szCs w:val="14"/>
          <w:color w:val="auto"/>
        </w:rPr>
        <w:t>Ms. Stillwell voluntarily resigned from her employment with the Company in August 2020. Accordingly, disclosure is limited to the voluntary termination event (without good reason) that actually occurred, such that, no termination benefits were due or owing to Ms. Stillwell in connection with such voluntary termination event.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17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As a result of the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30"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We determined that we could use in our 2020 CEO pay ratio analysis the same median employee that we identified in 2019 given that there has been no change in either our employee population or our employee compensation arrangements that we believe would significantly impact our 2020 pay ratio disclosure. Similarly, there has been no change in our median employee’s circumstances that we reasonably believe would result in a significant change to our 2020 pay ratio disclosure. Our median employee’s annual total compensation for 2020 was determined using the same rules that apply to reporting the compensation of our NEOs (including our CEO) in the “Total” column of the “Summary Compensation Table – 2018 – 2020” above. The following total compensation amounts were determined based on that methodology:</w:t>
      </w:r>
    </w:p>
    <w:p>
      <w:pPr>
        <w:spacing w:after="0" w:line="20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for 2020 was $105,671.</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total compensation of Mr. Sotos for 2020 was $3,248,568.</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 a result, we estimate that Mr. Sotos’ 2020 annual total compensation was approximately 31 times that of our median employee.</w:t>
      </w:r>
    </w:p>
    <w:p>
      <w:pPr>
        <w:spacing w:after="0" w:line="1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LLC Ownership</w:t>
      </w:r>
    </w:p>
    <w:p>
      <w:pPr>
        <w:spacing w:after="0" w:line="216" w:lineRule="exact"/>
        <w:rPr>
          <w:sz w:val="20"/>
          <w:szCs w:val="20"/>
          <w:color w:val="auto"/>
        </w:rPr>
      </w:pPr>
    </w:p>
    <w:p>
      <w:pPr>
        <w:jc w:val="both"/>
        <w:ind w:firstLine="207"/>
        <w:spacing w:after="0" w:line="301" w:lineRule="auto"/>
        <w:rPr>
          <w:sz w:val="20"/>
          <w:szCs w:val="20"/>
          <w:color w:val="auto"/>
        </w:rPr>
      </w:pPr>
      <w:r>
        <w:rPr>
          <w:rFonts w:ascii="Arial" w:cs="Arial" w:eastAsia="Arial" w:hAnsi="Arial"/>
          <w:sz w:val="16"/>
          <w:szCs w:val="16"/>
          <w:color w:val="auto"/>
        </w:rPr>
        <w:t>As of December 31, 2020, GIP, through CEG, owned 42,738,750 of each of the Company's Class B units and Class D units and Clearway, Inc. owned 34,599,645 of the Company's Class A units and 81,558,845 of the Company's Class C units. Clearway, Inc., through its holdings of Class A units and Class C units, has a 57.61% economic interest in the Company. Clearway, Inc. consolidates the results of the Company through its controlling interest as sole managing member. GIP, through CEG's holdings of Class B units and Class D units, has a 42.39% economic interest in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Inc. Ownership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of Executive Officers</w:t>
      </w:r>
    </w:p>
    <w:p>
      <w:pPr>
        <w:spacing w:after="0" w:line="171" w:lineRule="exact"/>
        <w:rPr>
          <w:sz w:val="20"/>
          <w:szCs w:val="20"/>
          <w:color w:val="auto"/>
        </w:rPr>
      </w:pPr>
    </w:p>
    <w:p>
      <w:pPr>
        <w:jc w:val="both"/>
        <w:ind w:firstLine="185"/>
        <w:spacing w:after="0" w:line="291" w:lineRule="auto"/>
        <w:rPr>
          <w:sz w:val="20"/>
          <w:szCs w:val="20"/>
          <w:color w:val="auto"/>
        </w:rPr>
      </w:pPr>
      <w:r>
        <w:rPr>
          <w:rFonts w:ascii="Arial" w:cs="Arial" w:eastAsia="Arial" w:hAnsi="Arial"/>
          <w:sz w:val="16"/>
          <w:szCs w:val="16"/>
          <w:color w:val="auto"/>
        </w:rPr>
        <w:t>The following table sets forth information concerning beneficial ownership of Clearway, Inc.’s Class A and Class C common stock and combined voting power of Class A, Class B, Class C and Class D common stock for: (a) each NEO and (b) all executive officers as a group. The percentage of beneficial ownership is based on 34,599,645 shares of Class A common stock outstanding as of February 19, 2021 and 81,635,540 shares of Class C common stock outstanding as of February 19, 2021, and percentage of combined voting power is based on 78,582,138 votes represented by Clearway, Inc.’s outstanding Class A, Class B, Class C and Class D common stock in the aggregate as of February 19, 2021. The percentage of beneficial ownership and the percentage of combined voting power also include any shares that such person has the right to acquire within 60 days of February 19, 2021. Unless otherwise indicated, each person has sole voting and dispositive power with respect to the shares set forth in the following table.</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address of the beneficial owners is Clearway Energy, Inc., 300 Carnegie Center, Suite 300, Princeton, New Jersey 08540.</w:t>
      </w: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Class A Common Stock</w:t>
            </w:r>
          </w:p>
        </w:tc>
        <w:tc>
          <w:tcPr>
            <w:tcW w:w="260" w:type="dxa"/>
            <w:vAlign w:val="bottom"/>
          </w:tcPr>
          <w:p>
            <w:pPr>
              <w:spacing w:after="0"/>
              <w:rPr>
                <w:sz w:val="12"/>
                <w:szCs w:val="12"/>
                <w:color w:val="auto"/>
              </w:rPr>
            </w:pPr>
          </w:p>
        </w:tc>
        <w:tc>
          <w:tcPr>
            <w:tcW w:w="228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Class C Common Stock</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 of Class A</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 of Class C</w:t>
            </w:r>
          </w:p>
        </w:tc>
        <w:tc>
          <w:tcPr>
            <w:tcW w:w="1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1380" w:type="dxa"/>
            <w:vAlign w:val="bottom"/>
          </w:tcPr>
          <w:p>
            <w:pPr>
              <w:jc w:val="right"/>
              <w:ind w:right="315"/>
              <w:spacing w:after="0" w:line="185"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18"/>
                <w:szCs w:val="18"/>
                <w:b w:val="1"/>
                <w:bCs w:val="1"/>
                <w:color w:val="auto"/>
                <w:vertAlign w:val="superscript"/>
              </w:rPr>
              <w:t>(1)</w:t>
            </w:r>
          </w:p>
        </w:tc>
        <w:tc>
          <w:tcPr>
            <w:tcW w:w="102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6"/>
                <w:szCs w:val="16"/>
                <w:color w:val="auto"/>
              </w:rPr>
            </w:pPr>
          </w:p>
        </w:tc>
        <w:tc>
          <w:tcPr>
            <w:tcW w:w="1160" w:type="dxa"/>
            <w:vAlign w:val="bottom"/>
          </w:tcPr>
          <w:p>
            <w:pPr>
              <w:jc w:val="right"/>
              <w:ind w:right="315"/>
              <w:spacing w:after="0" w:line="185"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18"/>
                <w:szCs w:val="18"/>
                <w:b w:val="1"/>
                <w:bCs w:val="1"/>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6"/>
                <w:szCs w:val="16"/>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Voting Power</w:t>
            </w:r>
            <w:r>
              <w:rPr>
                <w:rFonts w:ascii="Arial" w:cs="Arial" w:eastAsia="Arial" w:hAnsi="Arial"/>
                <w:sz w:val="9"/>
                <w:szCs w:val="9"/>
                <w:b w:val="1"/>
                <w:bCs w:val="1"/>
                <w:color w:val="auto"/>
                <w:w w:val="93"/>
              </w:rPr>
              <w:t>(2)</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1380" w:type="dxa"/>
            <w:vAlign w:val="bottom"/>
            <w:shd w:val="clear" w:color="auto" w:fill="CCEEFF"/>
          </w:tcPr>
          <w:p>
            <w:pPr>
              <w:jc w:val="right"/>
              <w:spacing w:after="0" w:line="223" w:lineRule="exact"/>
              <w:rPr>
                <w:sz w:val="20"/>
                <w:szCs w:val="20"/>
                <w:color w:val="auto"/>
              </w:rPr>
            </w:pPr>
            <w:r>
              <w:rPr>
                <w:rFonts w:ascii="Arial" w:cs="Arial" w:eastAsia="Arial" w:hAnsi="Arial"/>
                <w:sz w:val="18"/>
                <w:szCs w:val="18"/>
                <w:color w:val="auto"/>
              </w:rPr>
              <w:t>23,100</w:t>
            </w:r>
            <w:r>
              <w:rPr>
                <w:rFonts w:ascii="Arial" w:cs="Arial" w:eastAsia="Arial" w:hAnsi="Arial"/>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
              <w:spacing w:after="0" w:line="223" w:lineRule="exact"/>
              <w:rPr>
                <w:sz w:val="20"/>
                <w:szCs w:val="20"/>
                <w:color w:val="auto"/>
              </w:rPr>
            </w:pPr>
            <w:r>
              <w:rPr>
                <w:rFonts w:ascii="Arial" w:cs="Arial" w:eastAsia="Arial" w:hAnsi="Arial"/>
                <w:sz w:val="18"/>
                <w:szCs w:val="18"/>
                <w:color w:val="auto"/>
              </w:rPr>
              <w:t>174,757</w:t>
            </w:r>
            <w:r>
              <w:rPr>
                <w:rFonts w:ascii="Arial" w:cs="Arial" w:eastAsia="Arial" w:hAnsi="Arial"/>
                <w:sz w:val="23"/>
                <w:szCs w:val="23"/>
                <w:color w:val="auto"/>
                <w:vertAlign w:val="superscript"/>
              </w:rPr>
              <w:t>(3)</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1380" w:type="dxa"/>
            <w:vAlign w:val="bottom"/>
          </w:tcPr>
          <w:p>
            <w:pPr>
              <w:jc w:val="right"/>
              <w:spacing w:after="0" w:line="230" w:lineRule="exact"/>
              <w:rPr>
                <w:sz w:val="20"/>
                <w:szCs w:val="20"/>
                <w:color w:val="auto"/>
              </w:rPr>
            </w:pPr>
            <w:r>
              <w:rPr>
                <w:rFonts w:ascii="Arial" w:cs="Arial" w:eastAsia="Arial" w:hAnsi="Arial"/>
                <w:sz w:val="18"/>
                <w:szCs w:val="18"/>
                <w:color w:val="auto"/>
              </w:rPr>
              <w:t>6,697</w:t>
            </w:r>
            <w:r>
              <w:rPr>
                <w:rFonts w:ascii="Arial" w:cs="Arial" w:eastAsia="Arial" w:hAnsi="Arial"/>
                <w:sz w:val="23"/>
                <w:szCs w:val="23"/>
                <w:color w:val="auto"/>
                <w:vertAlign w:val="superscript"/>
              </w:rPr>
              <w:t>(4)</w:t>
            </w:r>
          </w:p>
        </w:tc>
        <w:tc>
          <w:tcPr>
            <w:tcW w:w="10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line="230" w:lineRule="exact"/>
              <w:rPr>
                <w:sz w:val="20"/>
                <w:szCs w:val="20"/>
                <w:color w:val="auto"/>
              </w:rPr>
            </w:pPr>
            <w:r>
              <w:rPr>
                <w:rFonts w:ascii="Arial" w:cs="Arial" w:eastAsia="Arial" w:hAnsi="Arial"/>
                <w:sz w:val="18"/>
                <w:szCs w:val="18"/>
                <w:color w:val="auto"/>
              </w:rPr>
              <w:t>43,309</w:t>
            </w:r>
            <w:r>
              <w:rPr>
                <w:rFonts w:ascii="Arial" w:cs="Arial" w:eastAsia="Arial" w:hAnsi="Arial"/>
                <w:sz w:val="23"/>
                <w:szCs w:val="23"/>
                <w:color w:val="auto"/>
                <w:vertAlign w:val="superscript"/>
              </w:rPr>
              <w:t>(4)</w:t>
            </w:r>
          </w:p>
        </w:tc>
        <w:tc>
          <w:tcPr>
            <w:tcW w:w="1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13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600</w:t>
            </w:r>
            <w:r>
              <w:rPr>
                <w:rFonts w:ascii="Arial" w:cs="Arial" w:eastAsia="Arial" w:hAnsi="Arial"/>
                <w:sz w:val="23"/>
                <w:szCs w:val="23"/>
                <w:color w:val="auto"/>
                <w:vertAlign w:val="superscript"/>
              </w:rPr>
              <w:t>(5)</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
              <w:spacing w:after="0" w:line="230" w:lineRule="exact"/>
              <w:rPr>
                <w:sz w:val="20"/>
                <w:szCs w:val="20"/>
                <w:color w:val="auto"/>
              </w:rPr>
            </w:pPr>
            <w:r>
              <w:rPr>
                <w:rFonts w:ascii="Arial" w:cs="Arial" w:eastAsia="Arial" w:hAnsi="Arial"/>
                <w:sz w:val="18"/>
                <w:szCs w:val="18"/>
                <w:color w:val="auto"/>
              </w:rPr>
              <w:t>32,903</w:t>
            </w:r>
            <w:r>
              <w:rPr>
                <w:rFonts w:ascii="Arial" w:cs="Arial" w:eastAsia="Arial" w:hAnsi="Arial"/>
                <w:sz w:val="23"/>
                <w:szCs w:val="23"/>
                <w:color w:val="auto"/>
                <w:vertAlign w:val="superscript"/>
              </w:rPr>
              <w:t>(5)</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7,882</w:t>
            </w:r>
          </w:p>
        </w:tc>
        <w:tc>
          <w:tcPr>
            <w:tcW w:w="1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74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All executive officers as a</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30,397</w:t>
            </w:r>
            <w:r>
              <w:rPr>
                <w:rFonts w:ascii="Arial" w:cs="Arial" w:eastAsia="Arial" w:hAnsi="Arial"/>
                <w:sz w:val="23"/>
                <w:szCs w:val="23"/>
                <w:color w:val="auto"/>
                <w:vertAlign w:val="superscript"/>
              </w:rPr>
              <w:t>(6)</w:t>
            </w:r>
          </w:p>
        </w:tc>
        <w:tc>
          <w:tcPr>
            <w:tcW w:w="10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258,851</w:t>
            </w:r>
            <w:r>
              <w:rPr>
                <w:rFonts w:ascii="Arial" w:cs="Arial" w:eastAsia="Arial" w:hAnsi="Arial"/>
                <w:sz w:val="23"/>
                <w:szCs w:val="23"/>
                <w:color w:val="auto"/>
                <w:vertAlign w:val="superscript"/>
              </w:rPr>
              <w:t>(6)</w:t>
            </w:r>
          </w:p>
        </w:tc>
        <w:tc>
          <w:tcPr>
            <w:tcW w:w="1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group (four people)</w:t>
            </w:r>
          </w:p>
        </w:tc>
        <w:tc>
          <w:tcPr>
            <w:tcW w:w="1380" w:type="dxa"/>
            <w:vAlign w:val="bottom"/>
            <w:vMerge w:val="continue"/>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3798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 of outstanding Class A common stock, Class C common stock or combined voting power, as applicable.</w:t>
      </w:r>
    </w:p>
    <w:p>
      <w:pPr>
        <w:spacing w:after="0" w:line="42" w:lineRule="exact"/>
        <w:rPr>
          <w:sz w:val="20"/>
          <w:szCs w:val="20"/>
          <w:color w:val="auto"/>
        </w:rPr>
      </w:pPr>
    </w:p>
    <w:p>
      <w:pPr>
        <w:jc w:val="both"/>
        <w:ind w:firstLine="8"/>
        <w:spacing w:after="0" w:line="292" w:lineRule="auto"/>
        <w:tabs>
          <w:tab w:leader="none" w:pos="204"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w:t>
      </w:r>
    </w:p>
    <w:p>
      <w:pPr>
        <w:spacing w:after="0"/>
        <w:rPr>
          <w:rFonts w:ascii="Arial" w:cs="Arial" w:eastAsia="Arial" w:hAnsi="Arial"/>
          <w:sz w:val="12"/>
          <w:szCs w:val="12"/>
          <w:color w:val="auto"/>
        </w:rPr>
      </w:pPr>
      <w:r>
        <w:rPr>
          <w:rFonts w:ascii="Arial" w:cs="Arial" w:eastAsia="Arial" w:hAnsi="Arial"/>
          <w:sz w:val="14"/>
          <w:szCs w:val="14"/>
          <w:color w:val="auto"/>
        </w:rPr>
        <w:t>(b) shares that such person or entity has the right to acquire within 60 days.</w:t>
      </w:r>
    </w:p>
    <w:p>
      <w:pPr>
        <w:spacing w:after="0" w:line="1" w:lineRule="exact"/>
        <w:rPr>
          <w:rFonts w:ascii="Arial" w:cs="Arial" w:eastAsia="Arial" w:hAnsi="Arial"/>
          <w:sz w:val="12"/>
          <w:szCs w:val="12"/>
          <w:color w:val="auto"/>
        </w:rPr>
      </w:pPr>
    </w:p>
    <w:p>
      <w:pPr>
        <w:jc w:val="both"/>
        <w:ind w:right="20" w:firstLine="8"/>
        <w:spacing w:after="0" w:line="260" w:lineRule="auto"/>
        <w:tabs>
          <w:tab w:leader="none" w:pos="204"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Represents the voting power of all of the classes of Clearway, Inc.’s common stock together as a single class. Each holder of Class A or Class B common stock is entitled to one vote for each share held. Each holder of Class C or Class D common stock is entitled to 1/100th of one vote for each share held. Holders of shares of Clearway, Inc.’s Class A, Class B, Class C and Class D common stock vote together as a single class on all matters presented to its stockholders for their vote or approval, except as otherwise provided by applicable law.</w:t>
      </w:r>
    </w:p>
    <w:p>
      <w:pPr>
        <w:jc w:val="both"/>
        <w:ind w:firstLine="8"/>
        <w:spacing w:after="0" w:line="241" w:lineRule="auto"/>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8,908 DERs to be paid in Class C common stock. Excludes 37,805 RSUs and 111,463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 w:lineRule="exact"/>
        <w:rPr>
          <w:rFonts w:ascii="Arial" w:cs="Arial" w:eastAsia="Arial" w:hAnsi="Arial"/>
          <w:sz w:val="14"/>
          <w:szCs w:val="14"/>
          <w:color w:val="auto"/>
        </w:rPr>
      </w:pPr>
    </w:p>
    <w:p>
      <w:pPr>
        <w:jc w:val="both"/>
        <w:ind w:firstLine="8"/>
        <w:spacing w:after="0" w:line="241" w:lineRule="auto"/>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2,724 DERs to be paid in Class C common stock. Excludes 11,295 RSUs and 33,725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 w:lineRule="exact"/>
        <w:rPr>
          <w:rFonts w:ascii="Arial" w:cs="Arial" w:eastAsia="Arial" w:hAnsi="Arial"/>
          <w:sz w:val="14"/>
          <w:szCs w:val="14"/>
          <w:color w:val="auto"/>
        </w:rPr>
      </w:pPr>
    </w:p>
    <w:p>
      <w:pPr>
        <w:ind w:right="20" w:firstLine="8"/>
        <w:spacing w:after="0" w:line="241" w:lineRule="auto"/>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1,734 DERs to be paid in Class C common stock. Excludes 7,264 RSUs and 21,565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the total holdings of all executive officers as a group.</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3" w:name="page84"/>
    <w:bookmarkEnd w:id="83"/>
    <w:p>
      <w:pPr>
        <w:ind w:right="4520"/>
        <w:spacing w:after="0" w:line="440" w:lineRule="auto"/>
        <w:rPr>
          <w:sz w:val="20"/>
          <w:szCs w:val="20"/>
          <w:color w:val="auto"/>
        </w:rPr>
      </w:pPr>
      <w:r>
        <w:rPr>
          <w:rFonts w:ascii="Arial" w:cs="Arial" w:eastAsia="Arial" w:hAnsi="Arial"/>
          <w:sz w:val="18"/>
          <w:szCs w:val="18"/>
          <w:b w:val="1"/>
          <w:bCs w:val="1"/>
          <w:color w:val="auto"/>
        </w:rPr>
        <w:t>Item 13 — Certain Relationships and Related Transactions, and Director Independence Relationship with GIP and Clearway Energy, Inc.</w:t>
      </w:r>
    </w:p>
    <w:p>
      <w:pPr>
        <w:spacing w:after="0" w:line="1" w:lineRule="exact"/>
        <w:rPr>
          <w:sz w:val="20"/>
          <w:szCs w:val="20"/>
          <w:color w:val="auto"/>
        </w:rPr>
      </w:pPr>
    </w:p>
    <w:p>
      <w:pPr>
        <w:ind w:right="80" w:firstLine="180"/>
        <w:spacing w:after="0"/>
        <w:rPr>
          <w:sz w:val="20"/>
          <w:szCs w:val="20"/>
          <w:color w:val="auto"/>
        </w:rPr>
      </w:pPr>
      <w:r>
        <w:rPr>
          <w:rFonts w:ascii="Arial" w:cs="Arial" w:eastAsia="Arial" w:hAnsi="Arial"/>
          <w:sz w:val="18"/>
          <w:szCs w:val="18"/>
          <w:color w:val="auto"/>
        </w:rPr>
        <w:t>GIP, through its ownership of CEG, indirectly owns all of our outstanding Class B common stock and our Class D common stock, which represents, in the aggregate, 54.93% of the voting interest in our stock and receives distributions from Clearway Energy LLC through its ownership of Class B and Class D units of Clearway Energy LLC. Holders of our Class A common stock and Class C common stock hold, in the aggregate, the remaining 45.07% of the voting interest in our stock. Each holder of Class A or Class B common stock is entitled to one vote for each share held. Each holder of Class C or Class D common stock is entitled to 1/100th of one vote for each share held. The holders of our outstanding shares of Class A and Class C common stock are entitled to dividends as declared.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Master Services Agreements</w:t>
      </w:r>
    </w:p>
    <w:p>
      <w:pPr>
        <w:spacing w:after="0" w:line="22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Company, along with Clearway Energy LLC and Clearway Energy Operating LLC, entered into Master Services Agreements with CEG (the “CEG Master Services Agreements”), pursuant to which CEG and certain of its affiliates or third-party service providers provide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provide certain services, including accounting, internal audit, tax and treasury services, to CEG, in exchange for the payment of fees in respect of such services. For the year ended December 31, 2020, the Company paid approximately $2,493,000 under the CEG Master Services Agreements. In addition, certain Thermal and Conventional segments projects reimbursed CEG approximately $2,753,000 during the year ended December 31, 2020 for costs incurred by CEG on behalf of such entities.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Offer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ROFO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31, 2018, we entered into a ROFO Agreement with CEG (the “CEG ROFO Agreement”) and, solely for certain purposes thereof, GIP, pursuant to which CEG granted us and our subsidiaries a right of first offer on any proposed sale or transfer of certain assets owned by CEG. On August 1, 2019, the CEG ROFO Agreement was amended to grant us and our affiliates a right of first offer on any proposed sale, transfer or other disposition of certain assets of CEG (the “CEG ROFO Assets”) until August 31, 2023, as listed in the table below. CEG is not obligated to sell the remaining CEG ROFO Assets to us and, if offered by CEG, we cannot be sure whether these assets will be offered on acceptable terms or that we will choose to consummate such acquisitions.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The assets listed below represent our currently committed investments in projects with CEG, as well as the assets subject to our ROFO Agreement with CEG</w:t>
      </w:r>
      <w:r>
        <w:rPr>
          <w:rFonts w:ascii="Arial" w:cs="Arial" w:eastAsia="Arial" w:hAnsi="Arial"/>
          <w:sz w:val="21"/>
          <w:szCs w:val="21"/>
          <w:color w:val="auto"/>
        </w:rPr>
        <w: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Committed Investments and CEG ROFO Assets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4840" w:type="dxa"/>
            <w:vAlign w:val="bottom"/>
          </w:tcPr>
          <w:p>
            <w:pPr>
              <w:ind w:left="60"/>
              <w:spacing w:after="0"/>
              <w:rPr>
                <w:sz w:val="20"/>
                <w:szCs w:val="20"/>
                <w:color w:val="auto"/>
              </w:rPr>
            </w:pPr>
            <w:r>
              <w:rPr>
                <w:rFonts w:ascii="Arial" w:cs="Arial" w:eastAsia="Arial" w:hAnsi="Arial"/>
                <w:sz w:val="18"/>
                <w:szCs w:val="18"/>
                <w:b w:val="1"/>
                <w:bCs w:val="1"/>
                <w:color w:val="auto"/>
              </w:rPr>
              <w:t>Asset</w:t>
            </w:r>
          </w:p>
        </w:tc>
        <w:tc>
          <w:tcPr>
            <w:tcW w:w="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6"/>
              </w:rPr>
              <w:t>Technology</w:t>
            </w:r>
          </w:p>
        </w:tc>
        <w:tc>
          <w:tcPr>
            <w:tcW w:w="100" w:type="dxa"/>
            <w:vAlign w:val="bottom"/>
          </w:tcPr>
          <w:p>
            <w:pPr>
              <w:spacing w:after="0"/>
              <w:rPr>
                <w:sz w:val="21"/>
                <w:szCs w:val="21"/>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 Capacity</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State</w:t>
            </w:r>
          </w:p>
        </w:tc>
        <w:tc>
          <w:tcPr>
            <w:tcW w:w="1040" w:type="dxa"/>
            <w:vAlign w:val="bottom"/>
            <w:gridSpan w:val="2"/>
          </w:tcPr>
          <w:p>
            <w:pPr>
              <w:ind w:left="280"/>
              <w:spacing w:after="0"/>
              <w:rPr>
                <w:sz w:val="20"/>
                <w:szCs w:val="20"/>
                <w:color w:val="auto"/>
              </w:rPr>
            </w:pPr>
            <w:r>
              <w:rPr>
                <w:rFonts w:ascii="Arial" w:cs="Arial" w:eastAsia="Arial" w:hAnsi="Arial"/>
                <w:sz w:val="16"/>
                <w:szCs w:val="16"/>
                <w:b w:val="1"/>
                <w:bCs w:val="1"/>
                <w:color w:val="auto"/>
              </w:rPr>
              <w:t>COD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Status</w:t>
            </w:r>
          </w:p>
        </w:tc>
      </w:tr>
      <w:tr>
        <w:trPr>
          <w:trHeight w:val="33"/>
        </w:trPr>
        <w:tc>
          <w:tcPr>
            <w:tcW w:w="4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Pinnacle Repowering</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Wind</w:t>
            </w:r>
          </w:p>
        </w:tc>
        <w:tc>
          <w:tcPr>
            <w:tcW w:w="16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WV</w:t>
            </w:r>
          </w:p>
        </w:tc>
        <w:tc>
          <w:tcPr>
            <w:tcW w:w="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48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Mesquite Sky </w:t>
            </w:r>
            <w:r>
              <w:rPr>
                <w:rFonts w:ascii="Arial" w:cs="Arial" w:eastAsia="Arial" w:hAnsi="Arial"/>
                <w:sz w:val="21"/>
                <w:szCs w:val="21"/>
                <w:color w:val="auto"/>
                <w:vertAlign w:val="superscript"/>
              </w:rPr>
              <w:t>(a)</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Wind</w:t>
            </w:r>
          </w:p>
        </w:tc>
        <w:tc>
          <w:tcPr>
            <w:tcW w:w="16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345</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rPr>
              <w:t>TX</w:t>
            </w:r>
          </w:p>
        </w:tc>
        <w:tc>
          <w:tcPr>
            <w:tcW w:w="940" w:type="dxa"/>
            <w:vAlign w:val="bottom"/>
          </w:tcPr>
          <w:p>
            <w:pPr>
              <w:ind w:left="30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48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Black Rock </w:t>
            </w:r>
            <w:r>
              <w:rPr>
                <w:rFonts w:ascii="Arial" w:cs="Arial" w:eastAsia="Arial" w:hAnsi="Arial"/>
                <w:sz w:val="21"/>
                <w:szCs w:val="21"/>
                <w:color w:val="auto"/>
                <w:vertAlign w:val="superscript"/>
              </w:rPr>
              <w:t>(a)</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Wind</w:t>
            </w:r>
          </w:p>
        </w:tc>
        <w:tc>
          <w:tcPr>
            <w:tcW w:w="16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WV</w:t>
            </w:r>
          </w:p>
        </w:tc>
        <w:tc>
          <w:tcPr>
            <w:tcW w:w="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48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Mililani I </w:t>
            </w:r>
            <w:r>
              <w:rPr>
                <w:rFonts w:ascii="Arial" w:cs="Arial" w:eastAsia="Arial" w:hAnsi="Arial"/>
                <w:sz w:val="21"/>
                <w:szCs w:val="21"/>
                <w:color w:val="auto"/>
                <w:vertAlign w:val="superscript"/>
              </w:rPr>
              <w:t>(a)</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Solar</w:t>
            </w:r>
          </w:p>
        </w:tc>
        <w:tc>
          <w:tcPr>
            <w:tcW w:w="16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39</w:t>
            </w: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HI</w:t>
            </w:r>
          </w:p>
        </w:tc>
        <w:tc>
          <w:tcPr>
            <w:tcW w:w="940" w:type="dxa"/>
            <w:vAlign w:val="bottom"/>
          </w:tcPr>
          <w:p>
            <w:pPr>
              <w:ind w:left="30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48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Waiawa </w:t>
            </w:r>
            <w:r>
              <w:rPr>
                <w:rFonts w:ascii="Arial" w:cs="Arial" w:eastAsia="Arial" w:hAnsi="Arial"/>
                <w:sz w:val="21"/>
                <w:szCs w:val="21"/>
                <w:color w:val="auto"/>
                <w:vertAlign w:val="superscript"/>
              </w:rPr>
              <w:t>(a)</w:t>
            </w:r>
          </w:p>
        </w:tc>
        <w:tc>
          <w:tcPr>
            <w:tcW w:w="80" w:type="dxa"/>
            <w:vAlign w:val="bottom"/>
            <w:shd w:val="clear" w:color="auto" w:fill="CCEC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Solar</w:t>
            </w:r>
          </w:p>
        </w:tc>
        <w:tc>
          <w:tcPr>
            <w:tcW w:w="100" w:type="dxa"/>
            <w:vAlign w:val="bottom"/>
            <w:shd w:val="clear" w:color="auto" w:fill="CCEC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HI</w:t>
            </w:r>
          </w:p>
        </w:tc>
        <w:tc>
          <w:tcPr>
            <w:tcW w:w="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48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Daggett </w:t>
            </w:r>
            <w:r>
              <w:rPr>
                <w:rFonts w:ascii="Arial" w:cs="Arial" w:eastAsia="Arial" w:hAnsi="Arial"/>
                <w:sz w:val="21"/>
                <w:szCs w:val="21"/>
                <w:color w:val="auto"/>
                <w:vertAlign w:val="superscript"/>
              </w:rPr>
              <w:t>(a)</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Solar</w:t>
            </w:r>
          </w:p>
        </w:tc>
        <w:tc>
          <w:tcPr>
            <w:tcW w:w="16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482</w:t>
            </w: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rPr>
              <w:t>CA</w:t>
            </w:r>
          </w:p>
        </w:tc>
        <w:tc>
          <w:tcPr>
            <w:tcW w:w="940" w:type="dxa"/>
            <w:vAlign w:val="bottom"/>
          </w:tcPr>
          <w:p>
            <w:pPr>
              <w:ind w:left="30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Wildflower</w:t>
            </w:r>
          </w:p>
        </w:tc>
        <w:tc>
          <w:tcPr>
            <w:tcW w:w="80" w:type="dxa"/>
            <w:vAlign w:val="bottom"/>
            <w:shd w:val="clear" w:color="auto" w:fill="CCEC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Solar</w:t>
            </w:r>
          </w:p>
        </w:tc>
        <w:tc>
          <w:tcPr>
            <w:tcW w:w="100" w:type="dxa"/>
            <w:vAlign w:val="bottom"/>
            <w:shd w:val="clear" w:color="auto" w:fill="CCEC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MS</w:t>
            </w:r>
          </w:p>
        </w:tc>
        <w:tc>
          <w:tcPr>
            <w:tcW w:w="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ROFO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(a) Projects included in a co-investment partnership with Hannon Armstrong Sustainable Infrastructure Capital, Inc.</w:t>
      </w:r>
    </w:p>
    <w:p>
      <w:pPr>
        <w:spacing w:after="0" w:line="244"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Prior to engaging in any negotiation regarding any disposition, sale or other transfer of any of the remaining CEG ROFO Assets, CEG will deliver a written notice to us setting forth the material terms and conditions of the proposed transaction. During the 30</w:t>
      </w:r>
      <w:r>
        <w:rPr>
          <w:rFonts w:ascii="MS PGothic" w:cs="MS PGothic" w:eastAsia="MS PGothic" w:hAnsi="MS PGothic"/>
          <w:sz w:val="16"/>
          <w:szCs w:val="16"/>
          <w:color w:val="auto"/>
        </w:rPr>
        <w:t>‑</w:t>
      </w:r>
      <w:r>
        <w:rPr>
          <w:rFonts w:ascii="Arial" w:cs="Arial" w:eastAsia="Arial" w:hAnsi="Arial"/>
          <w:sz w:val="16"/>
          <w:szCs w:val="16"/>
          <w:color w:val="auto"/>
        </w:rPr>
        <w:t>day period after the delivery of such notice, we will negotiate with CEG in good faith to reach an agreement on the transaction. If we do not reach an agreement within such 30</w:t>
      </w:r>
      <w:r>
        <w:rPr>
          <w:rFonts w:ascii="MS PGothic" w:cs="MS PGothic" w:eastAsia="MS PGothic" w:hAnsi="MS PGothic"/>
          <w:sz w:val="16"/>
          <w:szCs w:val="16"/>
          <w:color w:val="auto"/>
        </w:rPr>
        <w:t>‑</w:t>
      </w:r>
      <w:r>
        <w:rPr>
          <w:rFonts w:ascii="Arial" w:cs="Arial" w:eastAsia="Arial" w:hAnsi="Arial"/>
          <w:sz w:val="16"/>
          <w:szCs w:val="16"/>
          <w:color w:val="auto"/>
        </w:rPr>
        <w:t>day period, CEG will be able within the next 180 calendar days to sell, transfer, dispose or recontract such CEG ROFO Asset to a third party (or to agree in writing to undertake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such transaction with a third party) on terms generally no less favorable to CEG than those offered pursuant to the written notice.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stockholders. Any material transaction with CEG (including the proposed acquisition of any CEG ROFO Asset) will be subject to our related person transaction policy, which will require prior approval of such transaction by our Corporate Governance, Conflicts and Nominating Committee.</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The Company and CEG work collaboratively in considering new assets to be added under the CEG ROFO Agreement or to be acquired by the Company outside of the CEG ROFO Agreement</w:t>
      </w:r>
      <w:r>
        <w:rPr>
          <w:rFonts w:ascii="Arial" w:cs="Arial" w:eastAsia="Arial" w:hAnsi="Arial"/>
          <w:sz w:val="21"/>
          <w:szCs w:val="21"/>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Drop Drown Transactions</w:t>
      </w:r>
    </w:p>
    <w:p>
      <w:pPr>
        <w:spacing w:after="0" w:line="24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January 12, 2021, we acquired 100% of CEG's equity interest and a third party investor's minority interest in Rattlesnake Flat, LLC, which owns the Rattlesnake Wind Project, a 160 net MW wind facility located in Adams County, WA which achieved commercial operations in January 2021, for $132 million in cash consideration and expects its net capital commitment to be $119 million after proceeds from a state sales and use tax refund which are expected to be received in 2021.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21, 2020, subsidiaries of the Company entered into the Lighthouse Partnership Agreements providing for the Company’s co-investment in a 1,204 MW portfolio of renewable energy projects developed by CEG. In addition, the agreements included an amendment of the partnership that owns the 419 MW Mesquite Star wind project, providing the Company with additional project cash flows after the first half of 2031. As described below, the Company had previously acquired an interest in Mesquite Star Pledgor LLC, which was subsequently renamed Lighthouse Renewable Holdco LLC. The 1,204 MW portfolio of renewable energy projects includes:</w:t>
      </w:r>
    </w:p>
    <w:p>
      <w:pPr>
        <w:spacing w:after="0" w:line="26"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Five geographically diversified wind, solar and solar plus storage assets under development totaling 1,012 MW, and</w:t>
      </w:r>
    </w:p>
    <w:p>
      <w:pPr>
        <w:spacing w:after="0" w:line="63" w:lineRule="exact"/>
        <w:rPr>
          <w:rFonts w:ascii="Arial" w:cs="Arial" w:eastAsia="Arial" w:hAnsi="Arial"/>
          <w:sz w:val="18"/>
          <w:szCs w:val="18"/>
          <w:color w:val="auto"/>
        </w:rPr>
      </w:pPr>
    </w:p>
    <w:p>
      <w:pPr>
        <w:jc w:val="both"/>
        <w:ind w:left="1300" w:hanging="320"/>
        <w:spacing w:after="0" w:line="257" w:lineRule="auto"/>
        <w:tabs>
          <w:tab w:leader="none" w:pos="12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192 MW Rosamond Central solar project, located in Kern County, California. On December 21, 2020, the Company acquired 100% of the Class A membership interests of Rosie TargetCo LLC, which consolidates its interest in a tax equity fund that owns the project, for approximately $24 million in cash consideration. Rosie TargetCo LLC is a partnership, whose Class B membership interests are owned by a third party investor. The Company is entitled to a 50% cash equity interest in Rosamond Central through its Class A membership interests.</w:t>
      </w:r>
    </w:p>
    <w:p>
      <w:pPr>
        <w:spacing w:after="0" w:line="2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For the above-mentioned transactions, the Company expects to invest an estimated $215 million in corporate capital by the end of 2022, subject to closing adjustments and the projects achieving certain milestones. The expected net corporate capital includes the $24 million already invested in Rosamond Central in 2020 and the purchase price adjustment received concurrent with the partnership agreement amendment for Mesquite Star.</w:t>
      </w:r>
    </w:p>
    <w:p>
      <w:pPr>
        <w:spacing w:after="0" w:line="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20, 2020, we acquired from Clearway Renew LLC, a subsidiary of CEG, and a third party investor, 100% of the cash equity interests in Langford Holding LLC, which owns the Langford wind project, for total cash consideration of approximately $64 million. The Langford wind project is a 160 MW wind project located in West Texas which was repowered and achieved commercial operations in November 2020.</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November 2, 2020, we acquired from CEG (i) the Class B membership interests in the DGPV Holdco Entities and (ii) an SREC Contract for an aggregate of $44 million in cash consideration.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November 2, 2020, the CEG ROFO Agreement was amended to (i) add the assets comprising the cash equity partnership offer from CEG to the pipeline under the CEG ROFO Agreement, (ii) memorialize as a CEG ROFO Asset the contract related to the monetization of renewable energy credits associated with assets within the DGPV Holdco Entities, which was acquired at the same time; and (iii) extend the third-party negotiation periods for CEG’s residual interest in Kawailoa and Oahu assets as well as the assets comprising the cash equity partnership offer from CEG to November 2, 2021.</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1, 2020, we, through our indirect subsidiary Mesquite Star HoldCo LLC, acquired the Class A membership interests in Mesquite Star Pledgor LLC from Clearway Renew LLC, a subsidiary of CEG, for $74 million in cash consideration inclusive of a purchase price adjustment received in the fourth quarter of 2020 concurrent with the partnership</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jc w:val="both"/>
        <w:spacing w:after="0" w:line="299" w:lineRule="auto"/>
        <w:rPr>
          <w:sz w:val="20"/>
          <w:szCs w:val="20"/>
          <w:color w:val="auto"/>
        </w:rPr>
      </w:pPr>
      <w:r>
        <w:rPr>
          <w:rFonts w:ascii="Arial" w:cs="Arial" w:eastAsia="Arial" w:hAnsi="Arial"/>
          <w:sz w:val="16"/>
          <w:szCs w:val="16"/>
          <w:color w:val="auto"/>
        </w:rPr>
        <w:t>amendment referenced below.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 As described above, Mesquite Star Pledgor LLC was renamed</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Lighthouse Renewable Holdco LLC and the Class B membership interests were sold to a third party investor. The investor and the Company amended the terms of the related partnership and as a result, the Company now consolidates its interest in the Mesquite Star wind project, through its consolidation of Lighthouse Renewable Holdco LLC.</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17, 2020, we entered into binding agreements related to the previously announced drop down offer from CEG to enable us to acquire and invest in a portfolio of renewable energy projects. The following projects are included in the drop down:</w:t>
      </w:r>
    </w:p>
    <w:p>
      <w:pPr>
        <w:spacing w:after="0" w:line="170" w:lineRule="exact"/>
        <w:rPr>
          <w:sz w:val="20"/>
          <w:szCs w:val="20"/>
          <w:color w:val="auto"/>
        </w:rPr>
      </w:pPr>
    </w:p>
    <w:p>
      <w:pPr>
        <w:ind w:left="1300" w:hanging="320"/>
        <w:spacing w:after="0" w:line="277" w:lineRule="auto"/>
        <w:tabs>
          <w:tab w:leader="none" w:pos="12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CEG's interest in Repowering Partnership II LLC (Repowering 1.0), which we acquired on May 11, 2020 for cash consideration of $70 million,</w:t>
      </w:r>
    </w:p>
    <w:p>
      <w:pPr>
        <w:spacing w:after="0" w:line="8" w:lineRule="exact"/>
        <w:rPr>
          <w:rFonts w:ascii="Arial" w:cs="Arial" w:eastAsia="Arial" w:hAnsi="Arial"/>
          <w:sz w:val="18"/>
          <w:szCs w:val="18"/>
          <w:color w:val="auto"/>
        </w:rPr>
      </w:pPr>
    </w:p>
    <w:p>
      <w:pPr>
        <w:ind w:left="1300" w:hanging="320"/>
        <w:spacing w:after="0" w:line="277" w:lineRule="auto"/>
        <w:tabs>
          <w:tab w:leader="none" w:pos="12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of the equity interests in Rattlesnake Flat, LLC, which owns the Rattlesnake Wind Project, a 160 net MW wind facility located in Adams County, WA which we acquired on January 12, 2021 as mentioned above, and</w:t>
      </w:r>
    </w:p>
    <w:p>
      <w:pPr>
        <w:spacing w:after="0" w:line="8" w:lineRule="exact"/>
        <w:rPr>
          <w:rFonts w:ascii="Arial" w:cs="Arial" w:eastAsia="Arial" w:hAnsi="Arial"/>
          <w:sz w:val="18"/>
          <w:szCs w:val="18"/>
          <w:color w:val="auto"/>
        </w:rPr>
      </w:pPr>
    </w:p>
    <w:p>
      <w:pPr>
        <w:jc w:val="both"/>
        <w:ind w:left="1300" w:hanging="320"/>
        <w:spacing w:after="0" w:line="295" w:lineRule="auto"/>
        <w:tabs>
          <w:tab w:leader="none" w:pos="13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February 26, 2021, the Company, through an indirect subsidiary, entered into an amended partnership agreement with CEG to repower the Pinnacle Wind Project, a 55 net MW wind facility located in Mineral County, WV. The amended agreement commits us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Partnership are expected to occur in the second half of 2021.</w:t>
      </w:r>
    </w:p>
    <w:p>
      <w:pPr>
        <w:spacing w:after="0" w:line="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For the above mentioned transactions, the agreements commit us to invest an estimated $256 million in net corporate capital, subject to closing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 with CEG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DGPV Holdco Consolidation</w:t>
      </w:r>
    </w:p>
    <w:p>
      <w:pPr>
        <w:spacing w:after="0" w:line="1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2, 2020, the Company acquired the Class B membership interests in DGPV Holdco 1, DGPV Holdco 2 and DGPV Holdco 3 (the “DGPV Holdco Entities”) from Renew DG Holdings LLC, a subsidiary of CEG, and a Solar Renewable Energy Credit (“SREC”) contract for $44 million in cash consideration. Subsequent to the acquisition of the remaining interests in the DGPV Holdco Entities, the Company transferred its interests to DG-CS Master Borrower LLC, and issued debt that was utilized to repay existing project-level debt outstanding and unwind interest rate swaps for certain of the tax equity arrangements related to the underlying project funds. Effective with the acquisition of the Class B membership interests of the DGPV Holdco Entities, the Company consolidates all of the DGPV Holdco Entities, including DG-CS Master Borrower LLC, and its subsidiaries, which consist of seven tax equity funds that collectively own approximately 172 distributed solar projects with a combined 286 MW of capacity.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RPV Holdco 1 LLC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14, 2020, the Company sold its interests in RPV Holdco 1 LLC to a third party for net proceeds of approximately $75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Repowering Partnership</w:t>
      </w:r>
    </w:p>
    <w:p>
      <w:pPr>
        <w:spacing w:after="0" w:line="1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On August 30, 2018, Wind TE Holdco, an indirect subsidiary of the Company, formed a partnership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w:t>
      </w:r>
    </w:p>
    <w:p>
      <w:pPr>
        <w:spacing w:after="0" w:line="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June 14, 2019, Repowering Partnership LLC was replaced with Repowering Partnership II LLC as the owner of the Elbow Creek and Wildorado Wind projects, as well as Repowering Partnership Holdco LLC. We invested $101.6 million in net corporate capital to fund the repowering of the wind facilities during the fourth quarter of 2019 and the first quarter of 2020. These assets have reached Repowering COD.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Kawailoa Solar Partnership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jc w:val="both"/>
        <w:ind w:firstLine="648"/>
        <w:spacing w:after="0" w:line="248" w:lineRule="auto"/>
        <w:rPr>
          <w:sz w:val="20"/>
          <w:szCs w:val="20"/>
          <w:color w:val="auto"/>
        </w:rPr>
      </w:pPr>
      <w:r>
        <w:rPr>
          <w:rFonts w:ascii="Arial" w:cs="Arial" w:eastAsia="Arial" w:hAnsi="Arial"/>
          <w:sz w:val="18"/>
          <w:szCs w:val="18"/>
          <w:color w:val="auto"/>
        </w:rPr>
        <w:t>On May 1, 2019, the Company entered into a partnership with Clearway Renew LLC, a subsidiary of CEG, to own, finance, operate and maintain the Kawailoa Solar Partnership, which consists of the Kawailoa Solar Project, a 49 MW utility-scale solar generation project located in Oahu, Hawaii. The Company contributed $9 million into the partnership during the year ended December 31,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Oahu Solar Partnership</w:t>
      </w:r>
    </w:p>
    <w:p>
      <w:pPr>
        <w:spacing w:after="0" w:line="1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On March 8, 2019, the Company entered into a partnership with Clearway Renew LLC, a subsidiary of CEG, to own, 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power purchase agreements. The Company contributed $20 million into the partnership during the year ended December 31,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Agreements</w:t>
      </w:r>
    </w:p>
    <w:p>
      <w:pPr>
        <w:spacing w:after="0" w:line="171" w:lineRule="exact"/>
        <w:rPr>
          <w:sz w:val="20"/>
          <w:szCs w:val="20"/>
          <w:color w:val="auto"/>
        </w:rPr>
      </w:pPr>
    </w:p>
    <w:p>
      <w:pPr>
        <w:jc w:val="both"/>
        <w:ind w:firstLine="648"/>
        <w:spacing w:after="0" w:line="209" w:lineRule="exact"/>
        <w:rPr>
          <w:sz w:val="20"/>
          <w:szCs w:val="20"/>
          <w:color w:val="auto"/>
        </w:rPr>
      </w:pPr>
      <w:r>
        <w:rPr>
          <w:rFonts w:ascii="Arial" w:cs="Arial" w:eastAsia="Arial" w:hAnsi="Arial"/>
          <w:sz w:val="18"/>
          <w:szCs w:val="18"/>
          <w:color w:val="auto"/>
        </w:rPr>
        <w:t>CEG provides operations and maintenance (“O&amp;M”) and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operational support to our utility scale solar and wind facilities in accordance with O&amp;M agreements with us. Each of the counterparties to the O&amp;M agreements is an affiliate of CEG. The O&amp;M agreements for which the amount paid to CEG exceeded $120,000 during fiscal year 2020 are described in the table below. Under these O&amp;M agreements, we generally pay an annual or monthly fee, which may be subject to annual adjustment, plus any reimbursable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Project</w:t>
            </w:r>
          </w:p>
        </w:tc>
        <w:tc>
          <w:tcPr>
            <w:tcW w:w="6560" w:type="dxa"/>
            <w:vAlign w:val="bottom"/>
            <w:gridSpan w:val="2"/>
            <w:vMerge w:val="restart"/>
          </w:tcPr>
          <w:p>
            <w:pPr>
              <w:ind w:left="2340"/>
              <w:spacing w:after="0"/>
              <w:rPr>
                <w:sz w:val="20"/>
                <w:szCs w:val="20"/>
                <w:color w:val="auto"/>
              </w:rPr>
            </w:pPr>
            <w:r>
              <w:rPr>
                <w:rFonts w:ascii="Arial" w:cs="Arial" w:eastAsia="Arial" w:hAnsi="Arial"/>
                <w:sz w:val="18"/>
                <w:szCs w:val="18"/>
                <w:b w:val="1"/>
                <w:bCs w:val="1"/>
                <w:color w:val="auto"/>
              </w:rPr>
              <w:t>Agreement Description</w:t>
            </w:r>
          </w:p>
        </w:tc>
        <w:tc>
          <w:tcPr>
            <w:tcW w:w="2260" w:type="dxa"/>
            <w:vAlign w:val="bottom"/>
          </w:tcPr>
          <w:p>
            <w:pPr>
              <w:jc w:val="right"/>
              <w:ind w:right="371"/>
              <w:spacing w:after="0"/>
              <w:rPr>
                <w:sz w:val="20"/>
                <w:szCs w:val="20"/>
                <w:color w:val="auto"/>
              </w:rPr>
            </w:pPr>
            <w:r>
              <w:rPr>
                <w:rFonts w:ascii="Arial" w:cs="Arial" w:eastAsia="Arial" w:hAnsi="Arial"/>
                <w:sz w:val="14"/>
                <w:szCs w:val="14"/>
                <w:b w:val="1"/>
                <w:bCs w:val="1"/>
                <w:color w:val="auto"/>
              </w:rPr>
              <w:t>Approximate Amount</w:t>
            </w:r>
          </w:p>
        </w:tc>
        <w:tc>
          <w:tcPr>
            <w:tcW w:w="0" w:type="dxa"/>
            <w:vAlign w:val="bottom"/>
          </w:tcPr>
          <w:p>
            <w:pPr>
              <w:spacing w:after="0"/>
              <w:rPr>
                <w:sz w:val="1"/>
                <w:szCs w:val="1"/>
                <w:color w:val="auto"/>
              </w:rPr>
            </w:pPr>
          </w:p>
        </w:tc>
      </w:tr>
      <w:tr>
        <w:trPr>
          <w:trHeight w:val="189"/>
        </w:trPr>
        <w:tc>
          <w:tcPr>
            <w:tcW w:w="2420" w:type="dxa"/>
            <w:vAlign w:val="bottom"/>
            <w:gridSpan w:val="2"/>
            <w:vMerge w:val="continue"/>
          </w:tcPr>
          <w:p>
            <w:pPr>
              <w:spacing w:after="0"/>
              <w:rPr>
                <w:sz w:val="16"/>
                <w:szCs w:val="16"/>
                <w:color w:val="auto"/>
              </w:rPr>
            </w:pPr>
          </w:p>
        </w:tc>
        <w:tc>
          <w:tcPr>
            <w:tcW w:w="6560" w:type="dxa"/>
            <w:vAlign w:val="bottom"/>
            <w:gridSpan w:val="2"/>
            <w:vMerge w:val="continue"/>
          </w:tcPr>
          <w:p>
            <w:pPr>
              <w:spacing w:after="0"/>
              <w:rPr>
                <w:sz w:val="16"/>
                <w:szCs w:val="16"/>
                <w:color w:val="auto"/>
              </w:rPr>
            </w:pPr>
          </w:p>
        </w:tc>
        <w:tc>
          <w:tcPr>
            <w:tcW w:w="2260" w:type="dxa"/>
            <w:vAlign w:val="bottom"/>
          </w:tcPr>
          <w:p>
            <w:pPr>
              <w:jc w:val="right"/>
              <w:ind w:right="631"/>
              <w:spacing w:after="0"/>
              <w:rPr>
                <w:sz w:val="20"/>
                <w:szCs w:val="20"/>
                <w:color w:val="auto"/>
              </w:rPr>
            </w:pPr>
            <w:r>
              <w:rPr>
                <w:rFonts w:ascii="Arial" w:cs="Arial" w:eastAsia="Arial" w:hAnsi="Arial"/>
                <w:sz w:val="14"/>
                <w:szCs w:val="14"/>
                <w:b w:val="1"/>
                <w:bCs w:val="1"/>
                <w:color w:val="auto"/>
              </w:rPr>
              <w:t>Paid to CEG</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Solar</w:t>
            </w:r>
          </w:p>
        </w:tc>
        <w:tc>
          <w:tcPr>
            <w:tcW w:w="100" w:type="dxa"/>
            <w:vAlign w:val="bottom"/>
          </w:tcPr>
          <w:p>
            <w:pPr>
              <w:spacing w:after="0"/>
              <w:rPr>
                <w:sz w:val="19"/>
                <w:szCs w:val="19"/>
                <w:color w:val="auto"/>
              </w:rPr>
            </w:pPr>
          </w:p>
        </w:tc>
        <w:tc>
          <w:tcPr>
            <w:tcW w:w="6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Avenal</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January 31, 2011</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Borrego</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August 1, 2012</w:t>
            </w:r>
          </w:p>
        </w:tc>
        <w:tc>
          <w:tcPr>
            <w:tcW w:w="2260" w:type="dxa"/>
            <w:vAlign w:val="bottom"/>
          </w:tcPr>
          <w:p>
            <w:pPr>
              <w:jc w:val="right"/>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Buckthorn Solar</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May 22, 2017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$2,964,000</w:t>
            </w:r>
          </w:p>
        </w:tc>
        <w:tc>
          <w:tcPr>
            <w:tcW w:w="0" w:type="dxa"/>
            <w:vAlign w:val="bottom"/>
          </w:tcPr>
          <w:p>
            <w:pPr>
              <w:spacing w:after="0"/>
              <w:rPr>
                <w:sz w:val="1"/>
                <w:szCs w:val="1"/>
                <w:color w:val="auto"/>
              </w:rPr>
            </w:pPr>
          </w:p>
        </w:tc>
      </w:tr>
      <w:tr>
        <w:trPr>
          <w:trHeight w:val="229"/>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Chestnut Fund LLC</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February 9, 2018</w:t>
            </w:r>
          </w:p>
        </w:tc>
        <w:tc>
          <w:tcPr>
            <w:tcW w:w="2260" w:type="dxa"/>
            <w:vAlign w:val="bottom"/>
          </w:tcPr>
          <w:p>
            <w:pPr>
              <w:jc w:val="right"/>
              <w:spacing w:after="0"/>
              <w:rPr>
                <w:sz w:val="20"/>
                <w:szCs w:val="20"/>
                <w:color w:val="auto"/>
              </w:rPr>
            </w:pPr>
            <w:r>
              <w:rPr>
                <w:rFonts w:ascii="Arial" w:cs="Arial" w:eastAsia="Arial" w:hAnsi="Arial"/>
                <w:sz w:val="18"/>
                <w:szCs w:val="18"/>
                <w:color w:val="auto"/>
              </w:rPr>
              <w:t>$839,000</w:t>
            </w:r>
          </w:p>
        </w:tc>
        <w:tc>
          <w:tcPr>
            <w:tcW w:w="0" w:type="dxa"/>
            <w:vAlign w:val="bottom"/>
          </w:tcPr>
          <w:p>
            <w:pPr>
              <w:spacing w:after="0"/>
              <w:rPr>
                <w:sz w:val="1"/>
                <w:szCs w:val="1"/>
                <w:color w:val="auto"/>
              </w:rPr>
            </w:pPr>
          </w:p>
        </w:tc>
      </w:tr>
      <w:tr>
        <w:trPr>
          <w:trHeight w:val="176"/>
        </w:trPr>
        <w:tc>
          <w:tcPr>
            <w:tcW w:w="24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Clearway &amp; EFS Distributed</w:t>
            </w:r>
          </w:p>
        </w:tc>
        <w:tc>
          <w:tcPr>
            <w:tcW w:w="6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O&amp;M Agreement, dated October 28, 2016</w:t>
            </w:r>
          </w:p>
        </w:tc>
        <w:tc>
          <w:tcPr>
            <w:tcW w:w="2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$209,000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Solar LLC</w:t>
            </w:r>
          </w:p>
        </w:tc>
        <w:tc>
          <w:tcPr>
            <w:tcW w:w="6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CVSR</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September 30, 2011</w:t>
            </w:r>
          </w:p>
        </w:tc>
        <w:tc>
          <w:tcPr>
            <w:tcW w:w="2260" w:type="dxa"/>
            <w:vAlign w:val="bottom"/>
          </w:tcPr>
          <w:p>
            <w:pPr>
              <w:jc w:val="right"/>
              <w:spacing w:after="0"/>
              <w:rPr>
                <w:sz w:val="20"/>
                <w:szCs w:val="20"/>
                <w:color w:val="auto"/>
              </w:rPr>
            </w:pPr>
            <w:r>
              <w:rPr>
                <w:rFonts w:ascii="Arial" w:cs="Arial" w:eastAsia="Arial" w:hAnsi="Arial"/>
                <w:sz w:val="18"/>
                <w:szCs w:val="18"/>
                <w:color w:val="auto"/>
              </w:rPr>
              <w:t>$4,485,000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DGPV Fund 2 LLC</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September 4, 2015</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DGPV Fund 4 LLC</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June 16, 2017</w:t>
            </w:r>
          </w:p>
        </w:tc>
        <w:tc>
          <w:tcPr>
            <w:tcW w:w="2260" w:type="dxa"/>
            <w:vAlign w:val="bottom"/>
          </w:tcPr>
          <w:p>
            <w:pPr>
              <w:jc w:val="right"/>
              <w:spacing w:after="0"/>
              <w:rPr>
                <w:sz w:val="20"/>
                <w:szCs w:val="20"/>
                <w:color w:val="auto"/>
              </w:rPr>
            </w:pPr>
            <w:r>
              <w:rPr>
                <w:rFonts w:ascii="Arial" w:cs="Arial" w:eastAsia="Arial" w:hAnsi="Arial"/>
                <w:sz w:val="18"/>
                <w:szCs w:val="18"/>
                <w:color w:val="auto"/>
              </w:rPr>
              <w:t>$1,019,000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Golden Puma Fund LLC</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March 30, 2017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Kansas South</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June 13, 2017</w:t>
            </w:r>
          </w:p>
        </w:tc>
        <w:tc>
          <w:tcPr>
            <w:tcW w:w="2260" w:type="dxa"/>
            <w:vAlign w:val="bottom"/>
          </w:tcPr>
          <w:p>
            <w:pPr>
              <w:jc w:val="right"/>
              <w:spacing w:after="0"/>
              <w:rPr>
                <w:sz w:val="20"/>
                <w:szCs w:val="20"/>
                <w:color w:val="auto"/>
              </w:rPr>
            </w:pPr>
            <w:r>
              <w:rPr>
                <w:rFonts w:ascii="Arial" w:cs="Arial" w:eastAsia="Arial" w:hAnsi="Arial"/>
                <w:sz w:val="18"/>
                <w:szCs w:val="18"/>
                <w:color w:val="auto"/>
              </w:rPr>
              <w:t>$967,000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Kawailoa Solar LLC</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14, 2017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Lanikuhana Solar LLC</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28, 2017</w:t>
            </w:r>
          </w:p>
        </w:tc>
        <w:tc>
          <w:tcPr>
            <w:tcW w:w="2260" w:type="dxa"/>
            <w:vAlign w:val="bottom"/>
          </w:tcPr>
          <w:p>
            <w:pPr>
              <w:jc w:val="right"/>
              <w:spacing w:after="0"/>
              <w:rPr>
                <w:sz w:val="20"/>
                <w:szCs w:val="20"/>
                <w:color w:val="auto"/>
              </w:rPr>
            </w:pPr>
            <w:r>
              <w:rPr>
                <w:rFonts w:ascii="Arial" w:cs="Arial" w:eastAsia="Arial" w:hAnsi="Arial"/>
                <w:sz w:val="18"/>
                <w:szCs w:val="18"/>
                <w:color w:val="auto"/>
              </w:rPr>
              <w:t>$312,000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Solar Blythe</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November 1, 2017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Solar Community 1 LLC</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February 9, 2018</w:t>
            </w:r>
          </w:p>
        </w:tc>
        <w:tc>
          <w:tcPr>
            <w:tcW w:w="2260" w:type="dxa"/>
            <w:vAlign w:val="bottom"/>
          </w:tcPr>
          <w:p>
            <w:pPr>
              <w:jc w:val="right"/>
              <w:spacing w:after="0"/>
              <w:rPr>
                <w:sz w:val="20"/>
                <w:szCs w:val="20"/>
                <w:color w:val="auto"/>
              </w:rPr>
            </w:pPr>
            <w:r>
              <w:rPr>
                <w:rFonts w:ascii="Arial" w:cs="Arial" w:eastAsia="Arial" w:hAnsi="Arial"/>
                <w:sz w:val="18"/>
                <w:szCs w:val="18"/>
                <w:color w:val="auto"/>
              </w:rPr>
              <w:t>$247,000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SPP Fund II</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October 31, 2017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SPP Fund III</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October 31, 2017</w:t>
            </w:r>
          </w:p>
        </w:tc>
        <w:tc>
          <w:tcPr>
            <w:tcW w:w="2260" w:type="dxa"/>
            <w:vAlign w:val="bottom"/>
          </w:tcPr>
          <w:p>
            <w:pPr>
              <w:jc w:val="right"/>
              <w:spacing w:after="0"/>
              <w:rPr>
                <w:sz w:val="20"/>
                <w:szCs w:val="20"/>
                <w:color w:val="auto"/>
              </w:rPr>
            </w:pPr>
            <w:r>
              <w:rPr>
                <w:rFonts w:ascii="Arial" w:cs="Arial" w:eastAsia="Arial" w:hAnsi="Arial"/>
                <w:sz w:val="18"/>
                <w:szCs w:val="18"/>
                <w:color w:val="auto"/>
              </w:rPr>
              <w:t>$263,000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 High Desert</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June 9, 2017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Waipio PV LLC</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28, 2017</w:t>
            </w:r>
          </w:p>
        </w:tc>
        <w:tc>
          <w:tcPr>
            <w:tcW w:w="2260" w:type="dxa"/>
            <w:vAlign w:val="bottom"/>
          </w:tcPr>
          <w:p>
            <w:pPr>
              <w:jc w:val="right"/>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Wind</w:t>
            </w:r>
          </w:p>
        </w:tc>
        <w:tc>
          <w:tcPr>
            <w:tcW w:w="6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Alta Wind X</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260" w:type="dxa"/>
            <w:vAlign w:val="bottom"/>
          </w:tcPr>
          <w:p>
            <w:pPr>
              <w:jc w:val="right"/>
              <w:spacing w:after="0"/>
              <w:rPr>
                <w:sz w:val="20"/>
                <w:szCs w:val="20"/>
                <w:color w:val="auto"/>
              </w:rPr>
            </w:pPr>
            <w:r>
              <w:rPr>
                <w:rFonts w:ascii="Arial" w:cs="Arial" w:eastAsia="Arial" w:hAnsi="Arial"/>
                <w:sz w:val="18"/>
                <w:szCs w:val="18"/>
                <w:color w:val="auto"/>
              </w:rPr>
              <w:t>$1,955,000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Alta Wind XI</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Alta Wind I</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260" w:type="dxa"/>
            <w:vAlign w:val="bottom"/>
          </w:tcPr>
          <w:p>
            <w:pPr>
              <w:jc w:val="right"/>
              <w:spacing w:after="0"/>
              <w:rPr>
                <w:sz w:val="20"/>
                <w:szCs w:val="20"/>
                <w:color w:val="auto"/>
              </w:rPr>
            </w:pPr>
            <w:r>
              <w:rPr>
                <w:rFonts w:ascii="Arial" w:cs="Arial" w:eastAsia="Arial" w:hAnsi="Arial"/>
                <w:sz w:val="18"/>
                <w:szCs w:val="18"/>
                <w:color w:val="auto"/>
              </w:rPr>
              <w:t>$1,480,000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Alta Wind II</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Alta Wind III</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260" w:type="dxa"/>
            <w:vAlign w:val="bottom"/>
          </w:tcPr>
          <w:p>
            <w:pPr>
              <w:jc w:val="right"/>
              <w:spacing w:after="0"/>
              <w:rPr>
                <w:sz w:val="20"/>
                <w:szCs w:val="20"/>
                <w:color w:val="auto"/>
              </w:rPr>
            </w:pPr>
            <w:r>
              <w:rPr>
                <w:rFonts w:ascii="Arial" w:cs="Arial" w:eastAsia="Arial" w:hAnsi="Arial"/>
                <w:sz w:val="18"/>
                <w:szCs w:val="18"/>
                <w:color w:val="auto"/>
              </w:rPr>
              <w:t>$383,000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Alta Wind IV</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Alta Wind V</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260" w:type="dxa"/>
            <w:vAlign w:val="bottom"/>
          </w:tcPr>
          <w:p>
            <w:pPr>
              <w:jc w:val="right"/>
              <w:spacing w:after="0"/>
              <w:rPr>
                <w:sz w:val="20"/>
                <w:szCs w:val="20"/>
                <w:color w:val="auto"/>
              </w:rPr>
            </w:pPr>
            <w:r>
              <w:rPr>
                <w:rFonts w:ascii="Arial" w:cs="Arial" w:eastAsia="Arial" w:hAnsi="Arial"/>
                <w:sz w:val="18"/>
                <w:szCs w:val="18"/>
                <w:color w:val="auto"/>
              </w:rPr>
              <w:t>$453,000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Buffalo Bear</w:t>
            </w: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May 1,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0" w:type="dxa"/>
            <w:vAlign w:val="bottom"/>
          </w:tcPr>
          <w:p>
            <w:pPr>
              <w:spacing w:after="0"/>
              <w:rPr>
                <w:sz w:val="1"/>
                <w:szCs w:val="1"/>
                <w:color w:val="auto"/>
              </w:rPr>
            </w:pPr>
          </w:p>
        </w:tc>
      </w:tr>
      <w:tr>
        <w:trPr>
          <w:trHeight w:val="87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tcPr>
          <w:p>
            <w:pPr>
              <w:ind w:left="312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Project</w:t>
            </w:r>
          </w:p>
        </w:tc>
        <w:tc>
          <w:tcPr>
            <w:tcW w:w="6560" w:type="dxa"/>
            <w:vAlign w:val="bottom"/>
            <w:gridSpan w:val="2"/>
            <w:vMerge w:val="restart"/>
          </w:tcPr>
          <w:p>
            <w:pPr>
              <w:ind w:left="2340"/>
              <w:spacing w:after="0"/>
              <w:rPr>
                <w:sz w:val="20"/>
                <w:szCs w:val="20"/>
                <w:color w:val="auto"/>
              </w:rPr>
            </w:pPr>
            <w:r>
              <w:rPr>
                <w:rFonts w:ascii="Arial" w:cs="Arial" w:eastAsia="Arial" w:hAnsi="Arial"/>
                <w:sz w:val="18"/>
                <w:szCs w:val="18"/>
                <w:b w:val="1"/>
                <w:bCs w:val="1"/>
                <w:color w:val="auto"/>
              </w:rPr>
              <w:t>Agreement Description</w:t>
            </w:r>
          </w:p>
        </w:tc>
        <w:tc>
          <w:tcPr>
            <w:tcW w:w="2260" w:type="dxa"/>
            <w:vAlign w:val="bottom"/>
          </w:tcPr>
          <w:p>
            <w:pPr>
              <w:jc w:val="right"/>
              <w:ind w:right="372"/>
              <w:spacing w:after="0"/>
              <w:rPr>
                <w:sz w:val="20"/>
                <w:szCs w:val="20"/>
                <w:color w:val="auto"/>
              </w:rPr>
            </w:pPr>
            <w:r>
              <w:rPr>
                <w:rFonts w:ascii="Arial" w:cs="Arial" w:eastAsia="Arial" w:hAnsi="Arial"/>
                <w:sz w:val="14"/>
                <w:szCs w:val="14"/>
                <w:b w:val="1"/>
                <w:bCs w:val="1"/>
                <w:color w:val="auto"/>
              </w:rPr>
              <w:t>Approximate Amount</w:t>
            </w:r>
          </w:p>
        </w:tc>
        <w:tc>
          <w:tcPr>
            <w:tcW w:w="0" w:type="dxa"/>
            <w:vAlign w:val="bottom"/>
          </w:tcPr>
          <w:p>
            <w:pPr>
              <w:spacing w:after="0"/>
              <w:rPr>
                <w:sz w:val="1"/>
                <w:szCs w:val="1"/>
                <w:color w:val="auto"/>
              </w:rPr>
            </w:pPr>
          </w:p>
        </w:tc>
      </w:tr>
      <w:tr>
        <w:trPr>
          <w:trHeight w:val="189"/>
        </w:trPr>
        <w:tc>
          <w:tcPr>
            <w:tcW w:w="2420" w:type="dxa"/>
            <w:vAlign w:val="bottom"/>
            <w:gridSpan w:val="2"/>
            <w:vMerge w:val="continue"/>
          </w:tcPr>
          <w:p>
            <w:pPr>
              <w:spacing w:after="0"/>
              <w:rPr>
                <w:sz w:val="16"/>
                <w:szCs w:val="16"/>
                <w:color w:val="auto"/>
              </w:rPr>
            </w:pPr>
          </w:p>
        </w:tc>
        <w:tc>
          <w:tcPr>
            <w:tcW w:w="6560" w:type="dxa"/>
            <w:vAlign w:val="bottom"/>
            <w:gridSpan w:val="2"/>
            <w:vMerge w:val="continue"/>
          </w:tcPr>
          <w:p>
            <w:pPr>
              <w:spacing w:after="0"/>
              <w:rPr>
                <w:sz w:val="16"/>
                <w:szCs w:val="16"/>
                <w:color w:val="auto"/>
              </w:rPr>
            </w:pPr>
          </w:p>
        </w:tc>
        <w:tc>
          <w:tcPr>
            <w:tcW w:w="2260" w:type="dxa"/>
            <w:vAlign w:val="bottom"/>
          </w:tcPr>
          <w:p>
            <w:pPr>
              <w:jc w:val="right"/>
              <w:ind w:right="632"/>
              <w:spacing w:after="0"/>
              <w:rPr>
                <w:sz w:val="20"/>
                <w:szCs w:val="20"/>
                <w:color w:val="auto"/>
              </w:rPr>
            </w:pPr>
            <w:r>
              <w:rPr>
                <w:rFonts w:ascii="Arial" w:cs="Arial" w:eastAsia="Arial" w:hAnsi="Arial"/>
                <w:sz w:val="14"/>
                <w:szCs w:val="14"/>
                <w:b w:val="1"/>
                <w:bCs w:val="1"/>
                <w:color w:val="auto"/>
              </w:rPr>
              <w:t>Paid to CEG</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Crosswinds</w:t>
            </w:r>
          </w:p>
        </w:tc>
        <w:tc>
          <w:tcPr>
            <w:tcW w:w="120" w:type="dxa"/>
            <w:vAlign w:val="bottom"/>
          </w:tcPr>
          <w:p>
            <w:pPr>
              <w:spacing w:after="0"/>
              <w:rPr>
                <w:sz w:val="19"/>
                <w:szCs w:val="19"/>
                <w:color w:val="auto"/>
              </w:rPr>
            </w:pPr>
          </w:p>
        </w:tc>
        <w:tc>
          <w:tcPr>
            <w:tcW w:w="6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O&amp;M Agreement, dated May 1, 2016</w:t>
            </w:r>
          </w:p>
        </w:tc>
        <w:tc>
          <w:tcPr>
            <w:tcW w:w="8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Elbow Creek</w:t>
            </w: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31, 2018</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Elkhorn Ridge</w:t>
            </w:r>
          </w:p>
        </w:tc>
        <w:tc>
          <w:tcPr>
            <w:tcW w:w="6560" w:type="dxa"/>
            <w:vAlign w:val="bottom"/>
            <w:gridSpan w:val="2"/>
          </w:tcPr>
          <w:p>
            <w:pPr>
              <w:spacing w:after="0"/>
              <w:rPr>
                <w:sz w:val="20"/>
                <w:szCs w:val="20"/>
                <w:color w:val="auto"/>
              </w:rPr>
            </w:pPr>
            <w:r>
              <w:rPr>
                <w:rFonts w:ascii="Arial" w:cs="Arial" w:eastAsia="Arial" w:hAnsi="Arial"/>
                <w:sz w:val="18"/>
                <w:szCs w:val="18"/>
                <w:color w:val="auto"/>
              </w:rPr>
              <w:t>O&amp;M Agreement, dated May 9, 2008</w:t>
            </w:r>
          </w:p>
        </w:tc>
        <w:tc>
          <w:tcPr>
            <w:tcW w:w="2260" w:type="dxa"/>
            <w:vAlign w:val="bottom"/>
          </w:tcPr>
          <w:p>
            <w:pPr>
              <w:jc w:val="right"/>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w:t>
            </w: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20,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$493,000</w:t>
            </w:r>
          </w:p>
        </w:tc>
        <w:tc>
          <w:tcPr>
            <w:tcW w:w="0" w:type="dxa"/>
            <w:vAlign w:val="bottom"/>
          </w:tcPr>
          <w:p>
            <w:pPr>
              <w:spacing w:after="0"/>
              <w:rPr>
                <w:sz w:val="1"/>
                <w:szCs w:val="1"/>
                <w:color w:val="auto"/>
              </w:rPr>
            </w:pPr>
          </w:p>
        </w:tc>
      </w:tr>
      <w:tr>
        <w:trPr>
          <w:trHeight w:val="229"/>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Goat Wind</w:t>
            </w:r>
          </w:p>
        </w:tc>
        <w:tc>
          <w:tcPr>
            <w:tcW w:w="6560" w:type="dxa"/>
            <w:vAlign w:val="bottom"/>
            <w:gridSpan w:val="2"/>
          </w:tcPr>
          <w:p>
            <w:pPr>
              <w:spacing w:after="0"/>
              <w:rPr>
                <w:sz w:val="20"/>
                <w:szCs w:val="20"/>
                <w:color w:val="auto"/>
              </w:rPr>
            </w:pPr>
            <w:r>
              <w:rPr>
                <w:rFonts w:ascii="Arial" w:cs="Arial" w:eastAsia="Arial" w:hAnsi="Arial"/>
                <w:sz w:val="18"/>
                <w:szCs w:val="18"/>
                <w:color w:val="auto"/>
              </w:rPr>
              <w:t>O&amp;M Agreement, dated February 18, 2008</w:t>
            </w:r>
          </w:p>
        </w:tc>
        <w:tc>
          <w:tcPr>
            <w:tcW w:w="2260" w:type="dxa"/>
            <w:vAlign w:val="bottom"/>
          </w:tcPr>
          <w:p>
            <w:pPr>
              <w:jc w:val="right"/>
              <w:spacing w:after="0"/>
              <w:rPr>
                <w:sz w:val="20"/>
                <w:szCs w:val="20"/>
                <w:color w:val="auto"/>
              </w:rPr>
            </w:pPr>
            <w:r>
              <w:rPr>
                <w:rFonts w:ascii="Arial" w:cs="Arial" w:eastAsia="Arial" w:hAnsi="Arial"/>
                <w:sz w:val="18"/>
                <w:szCs w:val="18"/>
                <w:color w:val="auto"/>
              </w:rPr>
              <w:t>$2,192,000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Hardin</w:t>
            </w: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May 1,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$373,000</w:t>
            </w:r>
          </w:p>
        </w:tc>
        <w:tc>
          <w:tcPr>
            <w:tcW w:w="0" w:type="dxa"/>
            <w:vAlign w:val="bottom"/>
          </w:tcPr>
          <w:p>
            <w:pPr>
              <w:spacing w:after="0"/>
              <w:rPr>
                <w:sz w:val="1"/>
                <w:szCs w:val="1"/>
                <w:color w:val="auto"/>
              </w:rPr>
            </w:pPr>
          </w:p>
        </w:tc>
      </w:tr>
      <w:tr>
        <w:trPr>
          <w:trHeight w:val="229"/>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Laredo Ridge</w:t>
            </w:r>
          </w:p>
        </w:tc>
        <w:tc>
          <w:tcPr>
            <w:tcW w:w="6560" w:type="dxa"/>
            <w:vAlign w:val="bottom"/>
            <w:gridSpan w:val="2"/>
          </w:tcPr>
          <w:p>
            <w:pPr>
              <w:spacing w:after="0"/>
              <w:rPr>
                <w:sz w:val="20"/>
                <w:szCs w:val="20"/>
                <w:color w:val="auto"/>
              </w:rPr>
            </w:pPr>
            <w:r>
              <w:rPr>
                <w:rFonts w:ascii="Arial" w:cs="Arial" w:eastAsia="Arial" w:hAnsi="Arial"/>
                <w:sz w:val="18"/>
                <w:szCs w:val="18"/>
                <w:color w:val="auto"/>
              </w:rPr>
              <w:t>O&amp;M Agreement, dated December 24, 2015</w:t>
            </w:r>
          </w:p>
        </w:tc>
        <w:tc>
          <w:tcPr>
            <w:tcW w:w="2260" w:type="dxa"/>
            <w:vAlign w:val="bottom"/>
          </w:tcPr>
          <w:p>
            <w:pPr>
              <w:jc w:val="right"/>
              <w:spacing w:after="0"/>
              <w:rPr>
                <w:sz w:val="20"/>
                <w:szCs w:val="20"/>
                <w:color w:val="auto"/>
              </w:rPr>
            </w:pPr>
            <w:r>
              <w:rPr>
                <w:rFonts w:ascii="Arial" w:cs="Arial" w:eastAsia="Arial" w:hAnsi="Arial"/>
                <w:sz w:val="18"/>
                <w:szCs w:val="18"/>
                <w:color w:val="auto"/>
              </w:rPr>
              <w:t>$1,883,000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Lookout</w:t>
            </w: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11, 2008</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Mesquite Star Special LLC</w:t>
            </w:r>
          </w:p>
        </w:tc>
        <w:tc>
          <w:tcPr>
            <w:tcW w:w="6560" w:type="dxa"/>
            <w:vAlign w:val="bottom"/>
            <w:gridSpan w:val="2"/>
          </w:tcPr>
          <w:p>
            <w:pPr>
              <w:spacing w:after="0"/>
              <w:rPr>
                <w:sz w:val="20"/>
                <w:szCs w:val="20"/>
                <w:color w:val="auto"/>
              </w:rPr>
            </w:pPr>
            <w:r>
              <w:rPr>
                <w:rFonts w:ascii="Arial" w:cs="Arial" w:eastAsia="Arial" w:hAnsi="Arial"/>
                <w:sz w:val="18"/>
                <w:szCs w:val="18"/>
                <w:color w:val="auto"/>
              </w:rPr>
              <w:t>O&amp;M Agreement, dated May 7, 2019</w:t>
            </w:r>
          </w:p>
        </w:tc>
        <w:tc>
          <w:tcPr>
            <w:tcW w:w="2260" w:type="dxa"/>
            <w:vAlign w:val="bottom"/>
          </w:tcPr>
          <w:p>
            <w:pPr>
              <w:jc w:val="right"/>
              <w:spacing w:after="0"/>
              <w:rPr>
                <w:sz w:val="20"/>
                <w:szCs w:val="20"/>
                <w:color w:val="auto"/>
              </w:rPr>
            </w:pPr>
            <w:r>
              <w:rPr>
                <w:rFonts w:ascii="Arial" w:cs="Arial" w:eastAsia="Arial" w:hAnsi="Arial"/>
                <w:sz w:val="18"/>
                <w:szCs w:val="18"/>
                <w:color w:val="auto"/>
              </w:rPr>
              <w:t>$978,000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Odin</w:t>
            </w: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16,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Pinnacle</w:t>
            </w:r>
          </w:p>
        </w:tc>
        <w:tc>
          <w:tcPr>
            <w:tcW w:w="6560" w:type="dxa"/>
            <w:vAlign w:val="bottom"/>
            <w:gridSpan w:val="2"/>
          </w:tcPr>
          <w:p>
            <w:pPr>
              <w:spacing w:after="0"/>
              <w:rPr>
                <w:sz w:val="20"/>
                <w:szCs w:val="20"/>
                <w:color w:val="auto"/>
              </w:rPr>
            </w:pPr>
            <w:r>
              <w:rPr>
                <w:rFonts w:ascii="Arial" w:cs="Arial" w:eastAsia="Arial" w:hAnsi="Arial"/>
                <w:sz w:val="18"/>
                <w:szCs w:val="18"/>
                <w:color w:val="auto"/>
              </w:rPr>
              <w:t>O&amp;M Agreement, dated December 1, 2016</w:t>
            </w:r>
          </w:p>
        </w:tc>
        <w:tc>
          <w:tcPr>
            <w:tcW w:w="2260" w:type="dxa"/>
            <w:vAlign w:val="bottom"/>
          </w:tcPr>
          <w:p>
            <w:pPr>
              <w:jc w:val="right"/>
              <w:spacing w:after="0"/>
              <w:rPr>
                <w:sz w:val="20"/>
                <w:szCs w:val="20"/>
                <w:color w:val="auto"/>
              </w:rPr>
            </w:pPr>
            <w:r>
              <w:rPr>
                <w:rFonts w:ascii="Arial" w:cs="Arial" w:eastAsia="Arial" w:hAnsi="Arial"/>
                <w:sz w:val="18"/>
                <w:szCs w:val="18"/>
                <w:color w:val="auto"/>
              </w:rPr>
              <w:t>$1,252,000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Juan Mesa</w:t>
            </w: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27, 2005</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$2,277,000</w:t>
            </w:r>
          </w:p>
        </w:tc>
        <w:tc>
          <w:tcPr>
            <w:tcW w:w="0" w:type="dxa"/>
            <w:vAlign w:val="bottom"/>
          </w:tcPr>
          <w:p>
            <w:pPr>
              <w:spacing w:after="0"/>
              <w:rPr>
                <w:sz w:val="1"/>
                <w:szCs w:val="1"/>
                <w:color w:val="auto"/>
              </w:rPr>
            </w:pPr>
          </w:p>
        </w:tc>
      </w:tr>
      <w:tr>
        <w:trPr>
          <w:trHeight w:val="229"/>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Sleeping Bear</w:t>
            </w:r>
          </w:p>
        </w:tc>
        <w:tc>
          <w:tcPr>
            <w:tcW w:w="656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2260" w:type="dxa"/>
            <w:vAlign w:val="bottom"/>
          </w:tcPr>
          <w:p>
            <w:pPr>
              <w:jc w:val="right"/>
              <w:spacing w:after="0"/>
              <w:rPr>
                <w:sz w:val="20"/>
                <w:szCs w:val="20"/>
                <w:color w:val="auto"/>
              </w:rPr>
            </w:pPr>
            <w:r>
              <w:rPr>
                <w:rFonts w:ascii="Arial" w:cs="Arial" w:eastAsia="Arial" w:hAnsi="Arial"/>
                <w:sz w:val="18"/>
                <w:szCs w:val="18"/>
                <w:color w:val="auto"/>
              </w:rPr>
              <w:t>$1,369,000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Spanish Fork</w:t>
            </w: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16,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w:t>
            </w:r>
          </w:p>
        </w:tc>
        <w:tc>
          <w:tcPr>
            <w:tcW w:w="0" w:type="dxa"/>
            <w:vAlign w:val="bottom"/>
          </w:tcPr>
          <w:p>
            <w:pPr>
              <w:spacing w:after="0"/>
              <w:rPr>
                <w:sz w:val="1"/>
                <w:szCs w:val="1"/>
                <w:color w:val="auto"/>
              </w:rPr>
            </w:pPr>
          </w:p>
        </w:tc>
      </w:tr>
      <w:tr>
        <w:trPr>
          <w:trHeight w:val="229"/>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South Trent</w:t>
            </w:r>
          </w:p>
        </w:tc>
        <w:tc>
          <w:tcPr>
            <w:tcW w:w="6560" w:type="dxa"/>
            <w:vAlign w:val="bottom"/>
            <w:gridSpan w:val="2"/>
          </w:tcPr>
          <w:p>
            <w:pPr>
              <w:spacing w:after="0"/>
              <w:rPr>
                <w:sz w:val="20"/>
                <w:szCs w:val="20"/>
                <w:color w:val="auto"/>
              </w:rPr>
            </w:pPr>
            <w:r>
              <w:rPr>
                <w:rFonts w:ascii="Arial" w:cs="Arial" w:eastAsia="Arial" w:hAnsi="Arial"/>
                <w:sz w:val="18"/>
                <w:szCs w:val="18"/>
                <w:color w:val="auto"/>
              </w:rPr>
              <w:t>Management O&amp;M Agreement, dated October 1, 2015</w:t>
            </w:r>
          </w:p>
        </w:tc>
        <w:tc>
          <w:tcPr>
            <w:tcW w:w="2260" w:type="dxa"/>
            <w:vAlign w:val="bottom"/>
          </w:tcPr>
          <w:p>
            <w:pPr>
              <w:jc w:val="right"/>
              <w:spacing w:after="0"/>
              <w:rPr>
                <w:sz w:val="20"/>
                <w:szCs w:val="20"/>
                <w:color w:val="auto"/>
              </w:rPr>
            </w:pPr>
            <w:r>
              <w:rPr>
                <w:rFonts w:ascii="Arial" w:cs="Arial" w:eastAsia="Arial" w:hAnsi="Arial"/>
                <w:sz w:val="18"/>
                <w:szCs w:val="18"/>
                <w:color w:val="auto"/>
              </w:rPr>
              <w:t>$1,303,000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Taloga</w:t>
            </w: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July 1, 2016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$2,749,000</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Wildorado</w:t>
            </w:r>
          </w:p>
        </w:tc>
        <w:tc>
          <w:tcPr>
            <w:tcW w:w="6560" w:type="dxa"/>
            <w:vAlign w:val="bottom"/>
            <w:gridSpan w:val="2"/>
          </w:tcPr>
          <w:p>
            <w:pPr>
              <w:spacing w:after="0"/>
              <w:rPr>
                <w:sz w:val="20"/>
                <w:szCs w:val="20"/>
                <w:color w:val="auto"/>
              </w:rPr>
            </w:pPr>
            <w:r>
              <w:rPr>
                <w:rFonts w:ascii="Arial" w:cs="Arial" w:eastAsia="Arial" w:hAnsi="Arial"/>
                <w:sz w:val="18"/>
                <w:szCs w:val="18"/>
                <w:color w:val="auto"/>
              </w:rPr>
              <w:t>O&amp;M Agreement, dated February 11, 2008</w:t>
            </w:r>
          </w:p>
        </w:tc>
        <w:tc>
          <w:tcPr>
            <w:tcW w:w="2260" w:type="dxa"/>
            <w:vAlign w:val="bottom"/>
          </w:tcPr>
          <w:p>
            <w:pPr>
              <w:jc w:val="right"/>
              <w:spacing w:after="0"/>
              <w:rPr>
                <w:sz w:val="20"/>
                <w:szCs w:val="20"/>
                <w:color w:val="auto"/>
              </w:rPr>
            </w:pPr>
            <w:r>
              <w:rPr>
                <w:rFonts w:ascii="Arial" w:cs="Arial" w:eastAsia="Arial" w:hAnsi="Arial"/>
                <w:sz w:val="18"/>
                <w:szCs w:val="18"/>
                <w:color w:val="auto"/>
              </w:rPr>
              <w:t>$2,620,000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and Administrative Services Agreements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CEG provides day-to-day administrative support to certain of our project-level entities in accordance with asset management and administrative services agreements (the “ASAs”). The ASAs for which the amount involved exceeded $120,000 during fiscal year 2020 are described in the table below. Under these agreements, we generally pay an annual or monthly fee, which may be subject to annual adjustment, plus any reimbursable expenses.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180"/>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Project</w:t>
            </w:r>
          </w:p>
        </w:tc>
        <w:tc>
          <w:tcPr>
            <w:tcW w:w="6520" w:type="dxa"/>
            <w:vAlign w:val="bottom"/>
            <w:gridSpan w:val="2"/>
            <w:vMerge w:val="restart"/>
          </w:tcPr>
          <w:p>
            <w:pPr>
              <w:ind w:left="2320"/>
              <w:spacing w:after="0"/>
              <w:rPr>
                <w:sz w:val="20"/>
                <w:szCs w:val="20"/>
                <w:color w:val="auto"/>
              </w:rPr>
            </w:pPr>
            <w:r>
              <w:rPr>
                <w:rFonts w:ascii="Arial" w:cs="Arial" w:eastAsia="Arial" w:hAnsi="Arial"/>
                <w:sz w:val="18"/>
                <w:szCs w:val="18"/>
                <w:b w:val="1"/>
                <w:bCs w:val="1"/>
                <w:color w:val="auto"/>
              </w:rPr>
              <w:t>Agreement Description</w:t>
            </w:r>
          </w:p>
        </w:tc>
        <w:tc>
          <w:tcPr>
            <w:tcW w:w="20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9"/>
        </w:trPr>
        <w:tc>
          <w:tcPr>
            <w:tcW w:w="2660" w:type="dxa"/>
            <w:vAlign w:val="bottom"/>
            <w:gridSpan w:val="2"/>
            <w:vMerge w:val="continue"/>
          </w:tcPr>
          <w:p>
            <w:pPr>
              <w:spacing w:after="0"/>
              <w:rPr>
                <w:sz w:val="19"/>
                <w:szCs w:val="19"/>
                <w:color w:val="auto"/>
              </w:rPr>
            </w:pPr>
          </w:p>
        </w:tc>
        <w:tc>
          <w:tcPr>
            <w:tcW w:w="6520" w:type="dxa"/>
            <w:vAlign w:val="bottom"/>
            <w:gridSpan w:val="2"/>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4"/>
              </w:rPr>
              <w:t>Paid to CEG</w:t>
            </w: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Solar</w:t>
            </w:r>
          </w:p>
        </w:tc>
        <w:tc>
          <w:tcPr>
            <w:tcW w:w="100" w:type="dxa"/>
            <w:vAlign w:val="bottom"/>
          </w:tcPr>
          <w:p>
            <w:pPr>
              <w:spacing w:after="0"/>
              <w:rPr>
                <w:sz w:val="19"/>
                <w:szCs w:val="19"/>
                <w:color w:val="auto"/>
              </w:rPr>
            </w:pPr>
          </w:p>
        </w:tc>
        <w:tc>
          <w:tcPr>
            <w:tcW w:w="6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Alpine</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March 15, 2012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$146,000</w:t>
            </w:r>
          </w:p>
        </w:tc>
        <w:tc>
          <w:tcPr>
            <w:tcW w:w="0" w:type="dxa"/>
            <w:vAlign w:val="bottom"/>
          </w:tcPr>
          <w:p>
            <w:pPr>
              <w:spacing w:after="0"/>
              <w:rPr>
                <w:sz w:val="1"/>
                <w:szCs w:val="1"/>
                <w:color w:val="auto"/>
              </w:rPr>
            </w:pPr>
          </w:p>
        </w:tc>
      </w:tr>
      <w:tr>
        <w:trPr>
          <w:trHeight w:val="230"/>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Buckthorn Solar</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May 22, 2017</w:t>
            </w:r>
          </w:p>
        </w:tc>
        <w:tc>
          <w:tcPr>
            <w:tcW w:w="2020" w:type="dxa"/>
            <w:vAlign w:val="bottom"/>
          </w:tcPr>
          <w:p>
            <w:pPr>
              <w:jc w:val="right"/>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Chestnut Fund LLC</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July 31,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CS4 Fund LLC</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November 29, 2018</w:t>
            </w:r>
          </w:p>
        </w:tc>
        <w:tc>
          <w:tcPr>
            <w:tcW w:w="202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CVSR Holdco</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April 26,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Kawailoa Solar Holdings</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December 14, 2017</w:t>
            </w:r>
          </w:p>
        </w:tc>
        <w:tc>
          <w:tcPr>
            <w:tcW w:w="2020" w:type="dxa"/>
            <w:vAlign w:val="bottom"/>
          </w:tcPr>
          <w:p>
            <w:pPr>
              <w:jc w:val="right"/>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Oahu Solar</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December 28,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Solar Community 1 LLC</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March 29, 2013</w:t>
            </w:r>
          </w:p>
        </w:tc>
        <w:tc>
          <w:tcPr>
            <w:tcW w:w="2020" w:type="dxa"/>
            <w:vAlign w:val="bottom"/>
          </w:tcPr>
          <w:p>
            <w:pPr>
              <w:jc w:val="right"/>
              <w:spacing w:after="0"/>
              <w:rPr>
                <w:sz w:val="20"/>
                <w:szCs w:val="20"/>
                <w:color w:val="auto"/>
              </w:rPr>
            </w:pPr>
            <w:r>
              <w:rPr>
                <w:rFonts w:ascii="Arial" w:cs="Arial" w:eastAsia="Arial" w:hAnsi="Arial"/>
                <w:sz w:val="18"/>
                <w:szCs w:val="18"/>
                <w:color w:val="auto"/>
              </w:rPr>
              <w:t>$636,000</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SPP Fund III</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October 31,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0" w:type="dxa"/>
            <w:vAlign w:val="bottom"/>
          </w:tcPr>
          <w:p>
            <w:pPr>
              <w:spacing w:after="0"/>
              <w:rPr>
                <w:sz w:val="1"/>
                <w:szCs w:val="1"/>
                <w:color w:val="auto"/>
              </w:rPr>
            </w:pPr>
          </w:p>
        </w:tc>
      </w:tr>
      <w:tr>
        <w:trPr>
          <w:trHeight w:val="230"/>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SPP P-IV Master Lessee</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July 12, 2012</w:t>
            </w:r>
          </w:p>
        </w:tc>
        <w:tc>
          <w:tcPr>
            <w:tcW w:w="2020" w:type="dxa"/>
            <w:vAlign w:val="bottom"/>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Utah Solar Holdings LLC</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Master Management Agreement, dated March 27,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60"/>
              <w:spacing w:after="0"/>
              <w:rPr>
                <w:sz w:val="20"/>
                <w:szCs w:val="20"/>
                <w:color w:val="auto"/>
              </w:rPr>
            </w:pPr>
            <w:r>
              <w:rPr>
                <w:rFonts w:ascii="Arial" w:cs="Arial" w:eastAsia="Arial" w:hAnsi="Arial"/>
                <w:sz w:val="18"/>
                <w:szCs w:val="18"/>
                <w:b w:val="1"/>
                <w:bCs w:val="1"/>
                <w:color w:val="auto"/>
              </w:rPr>
              <w:t>Wind</w:t>
            </w:r>
          </w:p>
        </w:tc>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Buffalo Bear</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Amended and Restated Services Agreement, dated September 15, 2011</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Elbow Creek</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Project Administration Agreement, dated January 1, 2018</w:t>
            </w:r>
          </w:p>
        </w:tc>
        <w:tc>
          <w:tcPr>
            <w:tcW w:w="2020" w:type="dxa"/>
            <w:vAlign w:val="bottom"/>
          </w:tcPr>
          <w:p>
            <w:pPr>
              <w:jc w:val="right"/>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Agreement, dated January 1, 2012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Laredo Ridge</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Support Services Agreement, dated May 27, 2010</w:t>
            </w:r>
          </w:p>
        </w:tc>
        <w:tc>
          <w:tcPr>
            <w:tcW w:w="2020" w:type="dxa"/>
            <w:vAlign w:val="bottom"/>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Lookout</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Agreement, dated January 1, 2012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30"/>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Pinnacle</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Amended and Restated Services Agreement, dated September 15, 2011</w:t>
            </w:r>
          </w:p>
        </w:tc>
        <w:tc>
          <w:tcPr>
            <w:tcW w:w="2020" w:type="dxa"/>
            <w:vAlign w:val="bottom"/>
          </w:tcPr>
          <w:p>
            <w:pPr>
              <w:jc w:val="right"/>
              <w:spacing w:after="0"/>
              <w:rPr>
                <w:sz w:val="20"/>
                <w:szCs w:val="20"/>
                <w:color w:val="auto"/>
              </w:rPr>
            </w:pPr>
            <w:r>
              <w:rPr>
                <w:rFonts w:ascii="Arial" w:cs="Arial" w:eastAsia="Arial" w:hAnsi="Arial"/>
                <w:sz w:val="18"/>
                <w:szCs w:val="18"/>
                <w:color w:val="auto"/>
              </w:rPr>
              <w:t>$166,000</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Sleeping Bear</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Agreement, dated January 1, 2012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South Trent</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Project Administration Agreement, dated October 1, 2015</w:t>
            </w:r>
          </w:p>
        </w:tc>
        <w:tc>
          <w:tcPr>
            <w:tcW w:w="2020" w:type="dxa"/>
            <w:vAlign w:val="bottom"/>
          </w:tcPr>
          <w:p>
            <w:pPr>
              <w:jc w:val="right"/>
              <w:spacing w:after="0"/>
              <w:rPr>
                <w:sz w:val="20"/>
                <w:szCs w:val="20"/>
                <w:color w:val="auto"/>
              </w:rPr>
            </w:pPr>
            <w:r>
              <w:rPr>
                <w:rFonts w:ascii="Arial" w:cs="Arial" w:eastAsia="Arial" w:hAnsi="Arial"/>
                <w:sz w:val="18"/>
                <w:szCs w:val="18"/>
                <w:color w:val="auto"/>
              </w:rPr>
              <w:t>$232,000</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Spanish Fork</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Agreement, dated January 1, 2012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Taloga</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Services Agreement, dated November 20, 2012</w:t>
            </w:r>
          </w:p>
        </w:tc>
        <w:tc>
          <w:tcPr>
            <w:tcW w:w="2020" w:type="dxa"/>
            <w:vAlign w:val="bottom"/>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Viento Funding II, Inc.</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 and Administration Agreement, dated July 1, 2013</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0" w:type="dxa"/>
            <w:vAlign w:val="bottom"/>
          </w:tcPr>
          <w:p>
            <w:pPr>
              <w:spacing w:after="0"/>
              <w:rPr>
                <w:sz w:val="1"/>
                <w:szCs w:val="1"/>
                <w:color w:val="auto"/>
              </w:rPr>
            </w:pPr>
          </w:p>
        </w:tc>
      </w:tr>
      <w:tr>
        <w:trPr>
          <w:trHeight w:val="230"/>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Wildorado</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Project Administration Agreement, dated September 25, 2017</w:t>
            </w:r>
          </w:p>
        </w:tc>
        <w:tc>
          <w:tcPr>
            <w:tcW w:w="2020" w:type="dxa"/>
            <w:vAlign w:val="bottom"/>
          </w:tcPr>
          <w:p>
            <w:pPr>
              <w:jc w:val="right"/>
              <w:spacing w:after="0"/>
              <w:rPr>
                <w:sz w:val="20"/>
                <w:szCs w:val="20"/>
                <w:color w:val="auto"/>
              </w:rPr>
            </w:pPr>
            <w:r>
              <w:rPr>
                <w:rFonts w:ascii="Arial" w:cs="Arial" w:eastAsia="Arial" w:hAnsi="Arial"/>
                <w:sz w:val="18"/>
                <w:szCs w:val="18"/>
                <w:color w:val="auto"/>
              </w:rPr>
              <w:t>$246,000</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Wind TE Holdco LLC</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Agreement, dated November 3, 2014</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Reimbursements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2020, we paid approximately $34,951,000 for insurance premium reimbursements to CEG.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Amended and Restated Limited Liability Company Agreement of Clearway Energy LLC</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following is a description of the material terms of Clearway Energy LLC’s Fourth Amended and Restated Limited Liability Company Agreement (the “LLC Agreement”). For the year ended December 31, 2020, Clearway Energy LLC made approximately $120,992,000 in distributions to us and $89,794,000 to CEG (the holder of Class B and Class D units).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Clearway, Inc. serves as the sole managing member of the Company. As such, Clearway, Inc. and effectively Clearway, Inc.’s Board, control the business and affairs of the Company and are responsible for the management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Economic Rights of Members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four classes of Units: Class A units, Class B units, Class C units and Class D units. Class A units and Class C units may be issued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9" w:name="page90"/>
    <w:bookmarkEnd w:id="89"/>
    <w:p>
      <w:pPr>
        <w:jc w:val="both"/>
        <w:spacing w:after="0" w:line="255" w:lineRule="auto"/>
        <w:rPr>
          <w:sz w:val="20"/>
          <w:szCs w:val="20"/>
          <w:color w:val="auto"/>
        </w:rPr>
      </w:pPr>
      <w:r>
        <w:rPr>
          <w:rFonts w:ascii="Arial" w:cs="Arial" w:eastAsia="Arial" w:hAnsi="Arial"/>
          <w:sz w:val="18"/>
          <w:szCs w:val="18"/>
          <w:color w:val="auto"/>
        </w:rPr>
        <w:t>Clearway, Inc.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profits and net losses and distributions by the Company are allocated and made to holders of units in accordance with the respective number of membership units of the Company held. Generally, the Company will make distributions to holders of units for the purpose of funding tax obligations in respect of income of the Company that is allocated to the members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Clearway, Inc.’s Coordination with Clearway Energy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time Clearway, Inc. issues a share of Class A common stock or a share of Class C common stock for cash, the net proceeds therefrom will promptly be transferred to us, and we will either:</w:t>
      </w:r>
    </w:p>
    <w:p>
      <w:pPr>
        <w:spacing w:after="0" w:line="170" w:lineRule="exact"/>
        <w:rPr>
          <w:sz w:val="20"/>
          <w:szCs w:val="20"/>
          <w:color w:val="auto"/>
        </w:rPr>
      </w:pPr>
    </w:p>
    <w:p>
      <w:pPr>
        <w:ind w:left="980" w:hanging="324"/>
        <w:spacing w:after="0" w:line="291" w:lineRule="auto"/>
        <w:tabs>
          <w:tab w:leader="none" w:pos="9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transfer a newly issued Class A unit of the Company to Clearway, Inc. in the case of the issuance of a share of Class A common stock, or a newly issued Class C unit of the Company to Clearway, Inc. in the case of the issuance of a share of Class C common stock; or</w:t>
      </w:r>
    </w:p>
    <w:p>
      <w:pPr>
        <w:spacing w:after="0" w:line="38" w:lineRule="exact"/>
        <w:rPr>
          <w:rFonts w:ascii="Arial" w:cs="Arial" w:eastAsia="Arial" w:hAnsi="Arial"/>
          <w:sz w:val="17"/>
          <w:szCs w:val="17"/>
          <w:color w:val="auto"/>
        </w:rPr>
      </w:pPr>
    </w:p>
    <w:p>
      <w:pPr>
        <w:jc w:val="both"/>
        <w:ind w:left="980" w:hanging="324"/>
        <w:spacing w:after="0" w:line="243" w:lineRule="auto"/>
        <w:tabs>
          <w:tab w:leader="none" w:pos="9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 the net proceeds to purchase a Class B unit of the Company from CEG in the case of the issuance of a share of Class A common stock, which Class B unit will automatically convert into a Class A unit of the Company when transferred to Clearway, Inc., or a Class D unit of the Company from CEG in the case of the issuance of a share of Class C common stock, which Class D unit will automatically convert into a Class C unit of the Company when transferred to Clearway, Inc.</w:t>
      </w:r>
    </w:p>
    <w:p>
      <w:pPr>
        <w:spacing w:after="0" w:line="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If Clearway, Inc. elects to redeem any shares of their Class A common stock or Class C common stock for cash, the Company will, immediately prior to such redemption, redeem an equal number of Class A units or Class C units, as applicable, held by Clearway, Inc. upon the same terms and for the same price, as the shares of Class A common stock so redeemed.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6"/>
          <w:szCs w:val="16"/>
          <w:color w:val="auto"/>
        </w:rPr>
        <w:t>Clearway, Inc. entered into an Amended and Restated Exchange Agreement with NRG (the “Exchange Agreement”), which was assigned to CEG upon the GIP Transaction. Under the Exchange Agreement, CEG (and certain permitted assignees and permitted transferees who acquire Class B units or Class D units of the Company) may from time to time cause us to exchange their Class B units for shares of Clearway, Inc.’s Class A common stock on a one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one basis, subject to adjustments for stock splits, stock dividends and reclassifications, or exchange their Class D units for shares of Clearway, Inc.’s Class C common stock on a one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one basis, subject to equitable adjustments for stock splits, stock dividends and reclassifications.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When CEG or its permitted transferee exchanges a Class B unit of the Company for a share of Clearway, Inc.’s Class A common stock, Clearway, Inc. will automatically redeem and cancel a corresponding share of their Class B common stock and the Class B unit will automatically convert into a Class A unit when issued to Clearway, Inc.; similarly, when CEG or its permitted transferee exchanges a Class D unit of the Company for a share of Clearway, Inc.’s Class C common stock, Clearway, Inc. will automatically redeem and cancel a corresponding share of their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the Company will be correspondingly increased.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Officers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Clearway, Inc. has entered into indemnification agreements with each of our executive officers. The indemnification agreements provide the executive officers with contractual rights to indemnification, expense advancement and reimbursement, to the fullest extent permitted under Delaware law.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Clearway, Inc. entered into an Amended and Restated Registration Rights Agreement with NRG (the “Registration Rights Agreement”), which was assigned to CEG upon the GIP Transaction. Under the Registration Rights Agreement, CEG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jc w:val="both"/>
        <w:spacing w:after="0" w:line="286" w:lineRule="auto"/>
        <w:rPr>
          <w:sz w:val="20"/>
          <w:szCs w:val="20"/>
          <w:color w:val="auto"/>
        </w:rPr>
      </w:pPr>
      <w:r>
        <w:rPr>
          <w:rFonts w:ascii="Arial" w:cs="Arial" w:eastAsia="Arial" w:hAnsi="Arial"/>
          <w:sz w:val="17"/>
          <w:szCs w:val="17"/>
          <w:color w:val="auto"/>
        </w:rPr>
        <w:t>and its affiliates are entitled to demand registration rights, including the right to demand that a shelf registration statement be filed, and “piggyback” registration rights, for shares of Clearway, Inc.’s Class A common stock that are issuable upon exchange of Class B units of the Company that CEG owns and shares of Clearway, Inc.’s Class C common stock that are issuable upon exchange of the Class D units of the Company that CEG owns.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Review, Approval and Ratification of Related Person Transactions; Conflicts of Interest</w:t>
      </w:r>
    </w:p>
    <w:p>
      <w:pPr>
        <w:spacing w:after="0" w:line="171" w:lineRule="exact"/>
        <w:rPr>
          <w:sz w:val="20"/>
          <w:szCs w:val="20"/>
          <w:color w:val="auto"/>
        </w:rPr>
      </w:pPr>
    </w:p>
    <w:p>
      <w:pPr>
        <w:jc w:val="both"/>
        <w:ind w:firstLine="209"/>
        <w:spacing w:after="0" w:line="248" w:lineRule="auto"/>
        <w:rPr>
          <w:sz w:val="20"/>
          <w:szCs w:val="20"/>
          <w:color w:val="auto"/>
        </w:rPr>
      </w:pPr>
      <w:r>
        <w:rPr>
          <w:rFonts w:ascii="Arial" w:cs="Arial" w:eastAsia="Arial" w:hAnsi="Arial"/>
          <w:sz w:val="18"/>
          <w:szCs w:val="18"/>
          <w:color w:val="auto"/>
        </w:rPr>
        <w:t>The Company does not have a separate policy regarding related party transactions, as all of its officers are subject to the written Related Person Policy provides that the Corporate Governance, Conflicts and Nominating Committee of the Board will periodically review all related person transactions that are required to be disclosed under SEC rules and, when appropriate, initially authorize or ratify all such transactions.</w:t>
      </w:r>
    </w:p>
    <w:p>
      <w:pPr>
        <w:spacing w:after="0" w:line="74" w:lineRule="exact"/>
        <w:rPr>
          <w:sz w:val="20"/>
          <w:szCs w:val="20"/>
          <w:color w:val="auto"/>
        </w:rPr>
      </w:pPr>
    </w:p>
    <w:p>
      <w:pPr>
        <w:ind w:right="140" w:firstLine="177"/>
        <w:spacing w:after="0" w:line="244" w:lineRule="auto"/>
        <w:rPr>
          <w:sz w:val="20"/>
          <w:szCs w:val="20"/>
          <w:color w:val="auto"/>
        </w:rPr>
      </w:pPr>
      <w:r>
        <w:rPr>
          <w:rFonts w:ascii="Arial" w:cs="Arial" w:eastAsia="Arial" w:hAnsi="Arial"/>
          <w:sz w:val="18"/>
          <w:szCs w:val="18"/>
          <w:color w:val="auto"/>
        </w:rPr>
        <w:t>The Related Person Policy operates in conjunction with Clearway, Inc.’s Code of Conduct and is applicable to all “Related Person Transactions”, which are all transactions, arrangements or relationships in which:</w:t>
      </w:r>
    </w:p>
    <w:p>
      <w:pPr>
        <w:ind w:left="1160" w:hanging="504"/>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$50,000 in any calendar year;</w:t>
      </w:r>
    </w:p>
    <w:p>
      <w:pPr>
        <w:spacing w:after="0" w:line="155" w:lineRule="exact"/>
        <w:rPr>
          <w:rFonts w:ascii="Arial" w:cs="Arial" w:eastAsia="Arial" w:hAnsi="Arial"/>
          <w:sz w:val="18"/>
          <w:szCs w:val="18"/>
          <w:color w:val="auto"/>
        </w:rPr>
      </w:pPr>
    </w:p>
    <w:p>
      <w:pPr>
        <w:ind w:left="1160" w:hanging="504"/>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Clearway, Inc. is a participant; and</w:t>
      </w:r>
    </w:p>
    <w:p>
      <w:pPr>
        <w:spacing w:after="0" w:line="171" w:lineRule="exact"/>
        <w:rPr>
          <w:rFonts w:ascii="Arial" w:cs="Arial" w:eastAsia="Arial" w:hAnsi="Arial"/>
          <w:sz w:val="18"/>
          <w:szCs w:val="18"/>
          <w:color w:val="auto"/>
        </w:rPr>
      </w:pPr>
    </w:p>
    <w:p>
      <w:pPr>
        <w:ind w:left="660" w:right="3280" w:hanging="4"/>
        <w:spacing w:after="0" w:line="438" w:lineRule="auto"/>
        <w:tabs>
          <w:tab w:leader="none" w:pos="11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Related Person (as that term is defined below) has or will have a direct or indirect interest. A “Related Person” is:</w:t>
      </w:r>
    </w:p>
    <w:p>
      <w:pPr>
        <w:ind w:left="1300" w:hanging="644"/>
        <w:spacing w:after="0" w:line="277" w:lineRule="auto"/>
        <w:tabs>
          <w:tab w:leader="none" w:pos="12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a director of the Company or a nominee for director or an executive officer;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person who is known to Clearway, Inc.to be the beneficial owner of more than 5% of any class of Clearway, Inc.’s voting stock;</w:t>
      </w:r>
    </w:p>
    <w:p>
      <w:pPr>
        <w:spacing w:after="0" w:line="182" w:lineRule="exact"/>
        <w:rPr>
          <w:rFonts w:ascii="Arial" w:cs="Arial" w:eastAsia="Arial" w:hAnsi="Arial"/>
          <w:sz w:val="17"/>
          <w:szCs w:val="17"/>
          <w:color w:val="auto"/>
        </w:rPr>
      </w:pPr>
    </w:p>
    <w:p>
      <w:pPr>
        <w:jc w:val="both"/>
        <w:ind w:left="1300" w:hanging="644"/>
        <w:spacing w:after="0" w:line="219" w:lineRule="exact"/>
        <w:tabs>
          <w:tab w:leader="none" w:pos="12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immediate family member of any of the persons referenced in the preceding two bullets, which means any child, stepchild, parent, stepparent, spouse, sibling, mother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father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son</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daughter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brother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or sister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of the director, nominee for director, executive officer or more than 5% beneficial owner of any class of Clearway, Inc.’s voting stock, and any person (other than a tenant or employee) sharing the household of such director, nominee for director, executive officer or more than 5% beneficial owner of any class of the Company’s voting stock; and</w:t>
      </w:r>
    </w:p>
    <w:p>
      <w:pPr>
        <w:spacing w:after="0" w:line="151"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16" w:lineRule="exact"/>
        <w:rPr>
          <w:sz w:val="20"/>
          <w:szCs w:val="20"/>
          <w:color w:val="auto"/>
        </w:rPr>
      </w:pPr>
    </w:p>
    <w:p>
      <w:pPr>
        <w:jc w:val="both"/>
        <w:ind w:firstLine="260"/>
        <w:spacing w:after="0" w:line="291" w:lineRule="auto"/>
        <w:rPr>
          <w:sz w:val="20"/>
          <w:szCs w:val="20"/>
          <w:color w:val="auto"/>
        </w:rPr>
      </w:pPr>
      <w:r>
        <w:rPr>
          <w:rFonts w:ascii="Arial" w:cs="Arial" w:eastAsia="Arial" w:hAnsi="Arial"/>
          <w:sz w:val="16"/>
          <w:szCs w:val="16"/>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12" w:lineRule="exact"/>
        <w:rPr>
          <w:sz w:val="20"/>
          <w:szCs w:val="20"/>
          <w:color w:val="auto"/>
        </w:rPr>
      </w:pPr>
    </w:p>
    <w:p>
      <w:pPr>
        <w:jc w:val="both"/>
        <w:ind w:firstLine="276"/>
        <w:spacing w:after="0" w:line="277" w:lineRule="auto"/>
        <w:rPr>
          <w:sz w:val="20"/>
          <w:szCs w:val="20"/>
          <w:color w:val="auto"/>
        </w:rPr>
      </w:pPr>
      <w:r>
        <w:rPr>
          <w:rFonts w:ascii="Arial" w:cs="Arial" w:eastAsia="Arial" w:hAnsi="Arial"/>
          <w:sz w:val="18"/>
          <w:szCs w:val="18"/>
          <w:color w:val="auto"/>
        </w:rPr>
        <w:t>If the aggregate amount involved is expected to be less than $500,000, the transaction may be approved or ratified by the Chair of the Corporate Governance, Conflicts and Nominating Committee.</w:t>
      </w:r>
    </w:p>
    <w:p>
      <w:pPr>
        <w:spacing w:after="0" w:line="116" w:lineRule="exact"/>
        <w:rPr>
          <w:sz w:val="20"/>
          <w:szCs w:val="20"/>
          <w:color w:val="auto"/>
        </w:rPr>
      </w:pPr>
    </w:p>
    <w:p>
      <w:pPr>
        <w:jc w:val="both"/>
        <w:ind w:firstLine="174"/>
        <w:spacing w:after="0" w:line="219" w:lineRule="exact"/>
        <w:rPr>
          <w:sz w:val="20"/>
          <w:szCs w:val="20"/>
          <w:color w:val="auto"/>
        </w:rPr>
      </w:pPr>
      <w:r>
        <w:rPr>
          <w:rFonts w:ascii="Arial" w:cs="Arial" w:eastAsia="Arial" w:hAnsi="Arial"/>
          <w:sz w:val="17"/>
          <w:szCs w:val="17"/>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w:t>
      </w:r>
      <w:r>
        <w:rPr>
          <w:rFonts w:ascii="MS PGothic" w:cs="MS PGothic" w:eastAsia="MS PGothic" w:hAnsi="MS PGothic"/>
          <w:sz w:val="17"/>
          <w:szCs w:val="17"/>
          <w:color w:val="auto"/>
        </w:rPr>
        <w:t>‑</w:t>
      </w:r>
      <w:r>
        <w:rPr>
          <w:rFonts w:ascii="Arial" w:cs="Arial" w:eastAsia="Arial" w:hAnsi="Arial"/>
          <w:sz w:val="17"/>
          <w:szCs w:val="17"/>
          <w:color w:val="auto"/>
        </w:rPr>
        <w:t>party under the same or similar circumstances and the extent of the Related Person’s interest in the transaction. This Related Person Policy also provides that certain transactions, based on their nature and/or monetary amount, are deemed to be pre</w:t>
      </w:r>
      <w:r>
        <w:rPr>
          <w:rFonts w:ascii="MS PGothic" w:cs="MS PGothic" w:eastAsia="MS PGothic" w:hAnsi="MS PGothic"/>
          <w:sz w:val="17"/>
          <w:szCs w:val="17"/>
          <w:color w:val="auto"/>
        </w:rPr>
        <w:t>‑</w:t>
      </w:r>
      <w:r>
        <w:rPr>
          <w:rFonts w:ascii="Arial" w:cs="Arial" w:eastAsia="Arial" w:hAnsi="Arial"/>
          <w:sz w:val="17"/>
          <w:szCs w:val="17"/>
          <w:color w:val="auto"/>
        </w:rPr>
        <w:t>approved or ratified by the Corporate Governance, Conflicts and Nominating Committee and do not require separate approval or ratification.</w:t>
      </w:r>
    </w:p>
    <w:p>
      <w:pPr>
        <w:spacing w:after="0" w:line="151" w:lineRule="exact"/>
        <w:rPr>
          <w:sz w:val="20"/>
          <w:szCs w:val="20"/>
          <w:color w:val="auto"/>
        </w:rPr>
      </w:pPr>
    </w:p>
    <w:p>
      <w:pPr>
        <w:jc w:val="both"/>
        <w:ind w:firstLine="273"/>
        <w:spacing w:after="0" w:line="263" w:lineRule="auto"/>
        <w:rPr>
          <w:sz w:val="20"/>
          <w:szCs w:val="20"/>
          <w:color w:val="auto"/>
        </w:rPr>
      </w:pPr>
      <w:r>
        <w:rPr>
          <w:rFonts w:ascii="Arial" w:cs="Arial" w:eastAsia="Arial" w:hAnsi="Arial"/>
          <w:sz w:val="18"/>
          <w:szCs w:val="18"/>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p>
      <w:pPr>
        <w:jc w:val="both"/>
        <w:ind w:firstLine="246"/>
        <w:spacing w:after="0" w:line="263" w:lineRule="auto"/>
        <w:rPr>
          <w:sz w:val="20"/>
          <w:szCs w:val="20"/>
          <w:color w:val="auto"/>
        </w:rPr>
      </w:pPr>
      <w:r>
        <w:rPr>
          <w:rFonts w:ascii="Arial" w:cs="Arial" w:eastAsia="Arial" w:hAnsi="Arial"/>
          <w:sz w:val="18"/>
          <w:szCs w:val="18"/>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29" w:lineRule="exact"/>
        <w:rPr>
          <w:sz w:val="20"/>
          <w:szCs w:val="20"/>
          <w:color w:val="auto"/>
        </w:rPr>
      </w:pPr>
    </w:p>
    <w:p>
      <w:pPr>
        <w:jc w:val="both"/>
        <w:ind w:firstLine="213"/>
        <w:spacing w:after="0" w:line="277" w:lineRule="auto"/>
        <w:rPr>
          <w:sz w:val="20"/>
          <w:szCs w:val="20"/>
          <w:color w:val="auto"/>
        </w:rPr>
      </w:pPr>
      <w:r>
        <w:rPr>
          <w:rFonts w:ascii="Arial" w:cs="Arial" w:eastAsia="Arial" w:hAnsi="Arial"/>
          <w:sz w:val="18"/>
          <w:szCs w:val="18"/>
          <w:color w:val="auto"/>
        </w:rPr>
        <w:t>The following table presents fees for professional services rendered by KPMG LLP, the Company's principal independent registered public accounting firm, for the years ended December 31, 2020 and December 31, 2019.</w:t>
      </w:r>
    </w:p>
    <w:p>
      <w:pPr>
        <w:spacing w:after="0" w:line="195"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Year Ended</w:t>
      </w: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220"/>
              <w:spacing w:after="0" w:line="223" w:lineRule="exact"/>
              <w:rPr>
                <w:sz w:val="20"/>
                <w:szCs w:val="20"/>
                <w:color w:val="auto"/>
              </w:rPr>
            </w:pPr>
            <w:r>
              <w:rPr>
                <w:rFonts w:ascii="Arial" w:cs="Arial" w:eastAsia="Arial" w:hAnsi="Arial"/>
                <w:sz w:val="18"/>
                <w:szCs w:val="18"/>
                <w:b w:val="1"/>
                <w:bCs w:val="1"/>
                <w:color w:val="auto"/>
              </w:rPr>
              <w:t>2020</w:t>
            </w:r>
            <w:r>
              <w:rPr>
                <w:rFonts w:ascii="Arial" w:cs="Arial" w:eastAsia="Arial" w:hAnsi="Arial"/>
                <w:sz w:val="23"/>
                <w:szCs w:val="23"/>
                <w:color w:val="auto"/>
                <w:vertAlign w:val="superscript"/>
              </w:rPr>
              <w:t>(a)</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4,571,030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3,279,000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857,840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4,136,840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(a) Includes amounts related to 2019 audit fees subsequently billed in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75" w:lineRule="exact"/>
        <w:rPr>
          <w:sz w:val="20"/>
          <w:szCs w:val="20"/>
          <w:color w:val="auto"/>
        </w:rPr>
      </w:pPr>
    </w:p>
    <w:p>
      <w:pPr>
        <w:jc w:val="both"/>
        <w:ind w:firstLine="304"/>
        <w:spacing w:after="0" w:line="286" w:lineRule="auto"/>
        <w:rPr>
          <w:sz w:val="20"/>
          <w:szCs w:val="20"/>
          <w:color w:val="auto"/>
        </w:rPr>
      </w:pPr>
      <w:r>
        <w:rPr>
          <w:rFonts w:ascii="Arial" w:cs="Arial" w:eastAsia="Arial" w:hAnsi="Arial"/>
          <w:sz w:val="17"/>
          <w:szCs w:val="17"/>
          <w:color w:val="auto"/>
        </w:rPr>
        <w:t>For 2020 and 2019 audit services, KPMG LLP billed the Company approximately $4,571,030 and $3,279,000, respectively, for the audit of the Company’s consolidated financial statements and the review of the Company’s quarterly consolidated financial statements on Form 10-Q that are customary under the standards of the Public Company Accounting Oversight Board (United States), and in connection with statutory audits.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were no audit-related fees billed to the Company by KPMG LLP for 2020 or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75" w:lineRule="exact"/>
        <w:rPr>
          <w:sz w:val="20"/>
          <w:szCs w:val="20"/>
          <w:color w:val="auto"/>
        </w:rPr>
      </w:pPr>
    </w:p>
    <w:p>
      <w:pPr>
        <w:jc w:val="both"/>
        <w:ind w:firstLine="272"/>
        <w:spacing w:after="0" w:line="277" w:lineRule="auto"/>
        <w:rPr>
          <w:sz w:val="20"/>
          <w:szCs w:val="20"/>
          <w:color w:val="auto"/>
        </w:rPr>
      </w:pPr>
      <w:r>
        <w:rPr>
          <w:rFonts w:ascii="Arial" w:cs="Arial" w:eastAsia="Arial" w:hAnsi="Arial"/>
          <w:sz w:val="18"/>
          <w:szCs w:val="18"/>
          <w:color w:val="auto"/>
        </w:rPr>
        <w:t>There were approximately $261,340 in tax fees billed to the Company by KPMG LLP for 2020, relating mainly to compliance work. There were approximately $857,840 in tax fees billed to the Company by KPMG LLP for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were no other fees billed to the Company by KPMG LLP for 2020 or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w:t>
      </w:r>
    </w:p>
    <w:p>
      <w:pPr>
        <w:spacing w:after="0" w:line="175" w:lineRule="exact"/>
        <w:rPr>
          <w:sz w:val="20"/>
          <w:szCs w:val="20"/>
          <w:color w:val="auto"/>
        </w:rPr>
      </w:pPr>
    </w:p>
    <w:p>
      <w:pPr>
        <w:jc w:val="both"/>
        <w:ind w:firstLine="249"/>
        <w:spacing w:after="0" w:line="286" w:lineRule="auto"/>
        <w:rPr>
          <w:sz w:val="20"/>
          <w:szCs w:val="20"/>
          <w:color w:val="auto"/>
        </w:rPr>
      </w:pPr>
      <w:r>
        <w:rPr>
          <w:rFonts w:ascii="Arial" w:cs="Arial" w:eastAsia="Arial" w:hAnsi="Arial"/>
          <w:sz w:val="17"/>
          <w:szCs w:val="17"/>
          <w:color w:val="auto"/>
        </w:rPr>
        <w:t>The Audit Committee of Clearway Energy, Inc. is responsible for appointing, setting compensation for, and overseeing the work of the independent registered public accounting firm of the Company. The Audit Committee of Clearway Energy, Inc. has established a policy regarding pre-approval of all audit and permissible nonaudit services provided by the independent registered public accounting firm of the Company.</w:t>
      </w:r>
    </w:p>
    <w:p>
      <w:pPr>
        <w:spacing w:after="0" w:line="111" w:lineRule="exact"/>
        <w:rPr>
          <w:sz w:val="20"/>
          <w:szCs w:val="20"/>
          <w:color w:val="auto"/>
        </w:rPr>
      </w:pPr>
    </w:p>
    <w:p>
      <w:pPr>
        <w:jc w:val="both"/>
        <w:ind w:firstLine="257"/>
        <w:spacing w:after="0" w:line="259" w:lineRule="auto"/>
        <w:rPr>
          <w:sz w:val="20"/>
          <w:szCs w:val="20"/>
          <w:color w:val="auto"/>
        </w:rPr>
      </w:pPr>
      <w:r>
        <w:rPr>
          <w:rFonts w:ascii="Arial" w:cs="Arial" w:eastAsia="Arial" w:hAnsi="Arial"/>
          <w:sz w:val="18"/>
          <w:szCs w:val="18"/>
          <w:color w:val="auto"/>
        </w:rPr>
        <w:t>The Audit Committee of Clearway Energy, Inc. will annually review and pre-approve services that are expected to be provided by the independent registered public accounting firm. The term of the pre-approval will be 12 months from the date of the pre-approval, unless the Audit Committee of Clearway Energy, Inc. approves a shorter time period. The Audit Committee may periodically amend and/or supplement the pre-approved services based on subsequent determinations.</w:t>
      </w:r>
    </w:p>
    <w:p>
      <w:pPr>
        <w:spacing w:after="0" w:line="133" w:lineRule="exact"/>
        <w:rPr>
          <w:sz w:val="20"/>
          <w:szCs w:val="20"/>
          <w:color w:val="auto"/>
        </w:rPr>
      </w:pPr>
    </w:p>
    <w:p>
      <w:pPr>
        <w:jc w:val="both"/>
        <w:ind w:firstLine="199"/>
        <w:spacing w:after="0" w:line="259" w:lineRule="auto"/>
        <w:rPr>
          <w:sz w:val="20"/>
          <w:szCs w:val="20"/>
          <w:color w:val="auto"/>
        </w:rPr>
      </w:pPr>
      <w:r>
        <w:rPr>
          <w:rFonts w:ascii="Arial" w:cs="Arial" w:eastAsia="Arial" w:hAnsi="Arial"/>
          <w:sz w:val="18"/>
          <w:szCs w:val="18"/>
          <w:color w:val="auto"/>
        </w:rPr>
        <w:t>Unless the Audit Committee of Clearway Energy, Inc. has pre-approved Audit Services or a specified category of nonaudit services, any engagement to provide such services must be pre-approved by the Audit Committee of Clearway Energy, Inc. if it is to be provided by the independent registered public accounting firm. The Audit Committee of Clearway Energy, Inc. must also pre-approve any proposed services exceeding the pre-approved budgeted fee levels for a specified type of service.</w:t>
      </w:r>
    </w:p>
    <w:p>
      <w:pPr>
        <w:spacing w:after="0" w:line="13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8"/>
          <w:szCs w:val="18"/>
          <w:color w:val="auto"/>
        </w:rPr>
        <w:t>The Audit Committee of Clearway Energy, Inc. has authorized its Chair to pre-approve services in amounts up to $100,000 per engagement. Engagements exceeding $100,000 must be approved by the full Audit Committee of Clearway Energy, Inc. Engagements pre-approved by the Chair are reported to the Audit Committee of Clearway Energy, Inc.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3" w:name="page94"/>
    <w:bookmarkEnd w:id="93"/>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right="40" w:hanging="242"/>
        <w:spacing w:after="0" w:line="277" w:lineRule="auto"/>
        <w:rPr>
          <w:sz w:val="20"/>
          <w:szCs w:val="20"/>
          <w:color w:val="auto"/>
        </w:rPr>
      </w:pPr>
      <w:r>
        <w:rPr>
          <w:rFonts w:ascii="Arial" w:cs="Arial" w:eastAsia="Arial" w:hAnsi="Arial"/>
          <w:sz w:val="18"/>
          <w:szCs w:val="18"/>
          <w:color w:val="auto"/>
        </w:rPr>
        <w:t>The following consolidated financial statements of Clearway Energy LLC and related notes thereto, together with the reports thereon of KPMG LLP, are included herein:</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Operations — Years ended December 31, 2020, 2019 and 2018</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Comprehensive (Loss) Income — Years ended December 31, 2020, 2019 and 2018</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Balance Sheets — As of December 31, 2020 and 2019</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Cash Flows — Years ended December 31, 2020, 2019 and 2018</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Members' Equity — Years ended December 31, 2020, 2019 and 2018</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schedules of Clearway Energy, Inc. are filed as part of Item 15 of this report and should be read in conjunction with the</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Financial Statements:</w:t>
      </w:r>
    </w:p>
    <w:p>
      <w:pPr>
        <w:spacing w:after="0" w:line="157"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Schedule I — Clearway Energy LLC Financial Statements for the years ended December 31, 2020, 2019 and 2018, are included in Clearway Energy LLC's Annual Report on Form 10-K pursuant to the requirements of Rule 5-04(c) of Regulation S-X</w:t>
      </w:r>
    </w:p>
    <w:p>
      <w:pPr>
        <w:spacing w:after="0" w:line="92"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LLC: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7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have audited the accompanying consolidated balance sheets of Clearway Energy LLC and subsidiaries (the Company) as of December 31, 2020 and 2019, the related consolidated statements of operations, comprehensive income (loss), members’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and the related notes and financial statement schedule, (“Schedule I-Condensed Financial Information of Registrant”)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U.S. generally accepted accounting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Revenue from Contracts with Customers as of January 1, 2018 due to the adoption of Topic 606.</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2019 due to the adoption of Topic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over the recoverability of certain long-lived assets</w:t>
      </w:r>
    </w:p>
    <w:p>
      <w:pPr>
        <w:spacing w:after="0" w:line="171"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As discussed in Note 2 to the consolidated financial statements, long-lived assets that are held and used are reviewed for impairment whenever events or changes in circumstances indicate their carrying value may not be recoverable. Recoverability of assets to be held and used is tested by comparing the carrying amount of the assets to the future net cash flows expected to be generated by the asset, through considering project specific assumptions for long-term energy prices, escalated future project operating costs, and expected plant operations. An impairment loss is indicated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5" w:name="page96"/>
    <w:bookmarkEnd w:id="95"/>
    <w:p>
      <w:pPr>
        <w:jc w:val="both"/>
        <w:ind w:left="660"/>
        <w:spacing w:after="0" w:line="277" w:lineRule="auto"/>
        <w:rPr>
          <w:sz w:val="20"/>
          <w:szCs w:val="20"/>
          <w:color w:val="auto"/>
        </w:rPr>
      </w:pPr>
      <w:r>
        <w:rPr>
          <w:rFonts w:ascii="Arial" w:cs="Arial" w:eastAsia="Arial" w:hAnsi="Arial"/>
          <w:sz w:val="18"/>
          <w:szCs w:val="18"/>
          <w:color w:val="auto"/>
        </w:rPr>
        <w:t>if the total future undiscounted cash flows expected from an asset are less than its carrying value. An impairment charge is measured as the difference between the asset’s carrying value and its fair value.</w:t>
      </w:r>
    </w:p>
    <w:p>
      <w:pPr>
        <w:spacing w:after="0" w:line="11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identified the evaluation of the recoverability of certain long-lived assets as a critical audit matter. Especially subjective auditor judgment was required to evaluate the long-term energy prices used in the Company’s future undiscounted cash flows. Specifically, for certain asset groups tested for recoverability, the long-term energy prices in the post contracted periods used in the determination of future undiscounted cash flows were challenging to evaluate as small changes to this assumption could have a significant effect on the Company’s assessment of the recoverability of certain long-lived assets.</w:t>
      </w:r>
    </w:p>
    <w:p>
      <w:pPr>
        <w:spacing w:after="0" w:line="134"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process to evaluate the recoverability of long-lived assets, including selection of long-term forecasted energy prices used in the determination of future undiscounted cash flows. We involved valuation professionals with specialized skills and knowledge, who assisted in evaluating the long-term energy prices determined by the Company. Specifically, the valuation professionals evaluated the long-term energy prices used by the Company by comparing them to energy price curves prepared by reputable third-party vendors that provide energy price forecasts in the applicable power markets.</w:t>
      </w:r>
    </w:p>
    <w:p>
      <w:pPr>
        <w:spacing w:after="0" w:line="200" w:lineRule="exact"/>
        <w:rPr>
          <w:sz w:val="20"/>
          <w:szCs w:val="20"/>
          <w:color w:val="auto"/>
        </w:rPr>
      </w:pPr>
    </w:p>
    <w:p>
      <w:pPr>
        <w:spacing w:after="0" w:line="3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(signed)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188"/>
        </w:trPr>
        <w:tc>
          <w:tcPr>
            <w:tcW w:w="7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782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7820" w:type="dxa"/>
            <w:vAlign w:val="bottom"/>
          </w:tcPr>
          <w:p>
            <w:pPr>
              <w:ind w:left="12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820" w:type="dxa"/>
            <w:vAlign w:val="bottom"/>
          </w:tcPr>
          <w:p>
            <w:pPr>
              <w:ind w:left="12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23"/>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0"/>
        </w:trPr>
        <w:tc>
          <w:tcPr>
            <w:tcW w:w="78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7820" w:type="dxa"/>
            <w:vAlign w:val="bottom"/>
          </w:tcPr>
          <w:p>
            <w:pPr>
              <w:ind w:left="120"/>
              <w:spacing w:after="0"/>
              <w:rPr>
                <w:sz w:val="20"/>
                <w:szCs w:val="20"/>
                <w:color w:val="auto"/>
              </w:rPr>
            </w:pPr>
            <w:r>
              <w:rPr>
                <w:rFonts w:ascii="Arial" w:cs="Arial" w:eastAsia="Arial" w:hAnsi="Arial"/>
                <w:sz w:val="18"/>
                <w:szCs w:val="18"/>
                <w:color w:val="auto"/>
              </w:rPr>
              <w:t>Impairment loss on investment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23"/>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Net Income (Loss) Attributable to Clearway Energy LLC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1"/>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96"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186"/>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r>
      <w:tr>
        <w:trPr>
          <w:trHeight w:val="169"/>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derivatives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Clearway Energy LLC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tcPr>
          <w:p>
            <w:pPr>
              <w:ind w:left="34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133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Accounts receivable — trade</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 affiliates</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7"/>
        </w:trPr>
        <w:tc>
          <w:tcPr>
            <w:tcW w:w="75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Right-of-use assets, net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100"/>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 — affiliate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Accounts payable — trade</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affiliates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 expense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 external</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lease 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06"/>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Contributed capital</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(Accumulated deficit) retained earnings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891" w:right="39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w w:val="95"/>
              </w:rPr>
              <w:t>Year ended December 31,</w:t>
            </w:r>
          </w:p>
        </w:tc>
        <w:tc>
          <w:tcPr>
            <w:tcW w:w="680" w:type="dxa"/>
            <w:vAlign w:val="bottom"/>
            <w:tcBorders>
              <w:bottom w:val="single" w:sz="8" w:color="auto"/>
            </w:tcBorders>
          </w:tcPr>
          <w:p>
            <w:pPr>
              <w:spacing w:after="0"/>
              <w:rPr>
                <w:sz w:val="16"/>
                <w:szCs w:val="16"/>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r>
      <w:tr>
        <w:trPr>
          <w:trHeight w:val="196"/>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8160" w:type="dxa"/>
            <w:vAlign w:val="bottom"/>
          </w:tcPr>
          <w:p>
            <w:pPr>
              <w:ind w:left="1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Distributions from unconsolidated affiliates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Amortization of financing costs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intangibles and out-of-market contracts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Loss on debt extinguishment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Reduction in carrying amount of right-of-use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Gain on sale of unconsolidated affiliate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losses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Changes in derivative instruments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disposal of asset components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140"/>
              <w:spacing w:after="0"/>
              <w:rPr>
                <w:sz w:val="20"/>
                <w:szCs w:val="20"/>
                <w:color w:val="auto"/>
              </w:rPr>
            </w:pPr>
            <w:r>
              <w:rPr>
                <w:rFonts w:ascii="Arial" w:cs="Arial" w:eastAsia="Arial" w:hAnsi="Arial"/>
                <w:sz w:val="16"/>
                <w:szCs w:val="16"/>
                <w:color w:val="auto"/>
              </w:rPr>
              <w:t>Cash used in changes in other working capital</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prepaid and accrued liabilities for tolling agreements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other working capital</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19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Partnership interest acquisition</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Drop Down Assets, net of cash acquired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Buyout of Wind TE Holdco non-controlling interest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Cash receipts from notes receivable</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Return of investment from unconsolidated affiliates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Consolidation of DGPV Holdco 3 LLC</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Net contributions from noncontrolling interests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Buyout of Repowering Partnership II LLC noncontrolling interest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Proceeds from the issuance of class C units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of distributions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Proceeds from the revolving credit facility</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the revolving credit facility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 — external</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827</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long-term debt — affiliate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long-term debt — external</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1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Payments for long-term debt — affiliate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7"/>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2"/>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4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29"/>
        </w:trPr>
        <w:tc>
          <w:tcPr>
            <w:tcW w:w="8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paid, net of amount capitalized</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Reductions to fixed assets for accrued capital expenditures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Non-cash contributions from CEG, NRG, net of distributions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Contributed</w:t>
            </w: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Noncontrolling</w:t>
            </w:r>
          </w:p>
        </w:tc>
        <w:tc>
          <w:tcPr>
            <w:tcW w:w="280" w:type="dxa"/>
            <w:vAlign w:val="bottom"/>
          </w:tcPr>
          <w:p>
            <w:pPr>
              <w:spacing w:after="0"/>
              <w:rPr>
                <w:sz w:val="10"/>
                <w:szCs w:val="10"/>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Deficit) Retained</w:t>
            </w: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14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w w:val="98"/>
              </w:rPr>
              <w:t>Members' Equity</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Unrealized gain on derivatives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w w:val="96"/>
              </w:rPr>
              <w:t>Payments for the March 2017, August 2017 and November 2017 Drop Down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Capital contributions from tax equity investors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Distributions paid to NRG, net of contributions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the issuance of Class C Common Stock</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Distributions paid to NRG on Class B and Class D units</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from NRG, net of distributions, non-cash</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Distributions paid to Clearway Energy, Inc.</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Unrealized gain on derivatives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Buyout of Wind TE Holdco non-controlling interest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from CEG net of distributions, non-cash</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Cumulative effect from change in accounting principle</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paid to CEG on Class B and Class D units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Distributions paid to Clearway Energy, Inc., cash</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paid to Clearway Energy, Inc., non-cash</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Contributions to tax equity non-controlling interests, net of distributions, cash</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to CEG, net of contributions, cash</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Proceeds from the issuance of Class C Common Stock</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Carlsbad Drop Down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6"/>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Unrealized gain on derivatives</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from CEG, non-cash</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Contributions from CEG, cash</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to noncontrolling interests, non-cash</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Contributions from noncontrolling interests, net of distributions, cash</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DGPV Drop Down and Consolidation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Mesquite Star Drop Down and Consolidation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Langford Drop Down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Rosamond Central Drop Down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Lighthouse Partnership Yield Protection Agreement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Buyout of Repowering Partnership II LLC non-controlling interest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proceeds from the sales of units, Clearway Energy, Inc.</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4"/>
                <w:szCs w:val="14"/>
                <w:color w:val="auto"/>
              </w:rPr>
              <w:t>Distributions paid to CEG on Class B and Class D units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paid to Clearway Energy, Inc.</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Clearway Energy LLC, together with its consolidated subsidiaries, or the Company, is an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GIP, referred to hereinafter as the GIP Transaction. As a result of the GIP Transaction, GIP indirectly acquired a 45.2% economic interest in the Company and a 55% voting interest in Clearway, Inc. GIP is an independent fund manager that invests in infrastructure assets in energy and transport sectors. The Company is sponsored by GIP through its portfolio company, CEG.</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one of the largest renewable energy owners in the U.S. with over 4,200 net MW of installed wind and solar generation projects. The Company also owns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Clearway Energy, Inc. consolidates the results of the Company through its controlling interest, with CEG's interest shown as non-controlling interest in the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a result of the Clearway, Inc. Class C common stock issuances during the year ended December 31, 2020, Clearway, Inc. currently owns 57.61% of the economic interests of the Company, with CEG retaining 42.39% of the economic interests of the Company. For further discussion, 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11, </w:t>
      </w:r>
      <w:r>
        <w:rPr>
          <w:rFonts w:ascii="Arial" w:cs="Arial" w:eastAsia="Arial" w:hAnsi="Arial"/>
          <w:sz w:val="18"/>
          <w:szCs w:val="18"/>
          <w:i w:val="1"/>
          <w:iCs w:val="1"/>
          <w:color w:val="auto"/>
        </w:rPr>
        <w:t>Members' Equity.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2" w:name="page103"/>
    <w:bookmarkEnd w:id="102"/>
    <w:p>
      <w:pPr>
        <w:ind w:left="420"/>
        <w:spacing w:after="0"/>
        <w:rPr>
          <w:sz w:val="20"/>
          <w:szCs w:val="20"/>
          <w:color w:val="auto"/>
        </w:rPr>
      </w:pPr>
      <w:r>
        <w:rPr>
          <w:rFonts w:ascii="Arial" w:cs="Arial" w:eastAsia="Arial" w:hAnsi="Arial"/>
          <w:sz w:val="18"/>
          <w:szCs w:val="18"/>
          <w:color w:val="auto"/>
        </w:rPr>
        <w:t>The following table represents the structure of the Company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168910</wp:posOffset>
            </wp:positionV>
            <wp:extent cx="5863590" cy="43973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231"/>
        <w:spacing w:after="0" w:line="263" w:lineRule="auto"/>
        <w:rPr>
          <w:sz w:val="20"/>
          <w:szCs w:val="20"/>
          <w:color w:val="auto"/>
        </w:rPr>
      </w:pPr>
      <w:r>
        <w:rPr>
          <w:rFonts w:ascii="Arial" w:cs="Arial" w:eastAsia="Arial" w:hAnsi="Arial"/>
          <w:sz w:val="18"/>
          <w:szCs w:val="18"/>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30" w:lineRule="exact"/>
        <w:rPr>
          <w:sz w:val="20"/>
          <w:szCs w:val="20"/>
          <w:color w:val="auto"/>
        </w:rPr>
      </w:pPr>
    </w:p>
    <w:p>
      <w:pPr>
        <w:jc w:val="both"/>
        <w:ind w:firstLine="203"/>
        <w:spacing w:after="0" w:line="296" w:lineRule="auto"/>
        <w:rPr>
          <w:sz w:val="20"/>
          <w:szCs w:val="20"/>
          <w:color w:val="auto"/>
        </w:rPr>
      </w:pPr>
      <w:r>
        <w:rPr>
          <w:rFonts w:ascii="Arial" w:cs="Arial" w:eastAsia="Arial" w:hAnsi="Arial"/>
          <w:sz w:val="16"/>
          <w:szCs w:val="16"/>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or ASC 810, to determine when an entity that is insufficiently capitalized or not controlled through its voting interests, referred to as a variable interest entity, or VIE, should be consolidated.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firstLine="234"/>
        <w:spacing w:after="0" w:line="277"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$149 million and $125 million as of December 31, 2020 and 2019, respectively.</w:t>
      </w:r>
    </w:p>
    <w:p>
      <w:pPr>
        <w:spacing w:after="0" w:line="116" w:lineRule="exact"/>
        <w:rPr>
          <w:sz w:val="20"/>
          <w:szCs w:val="20"/>
          <w:color w:val="auto"/>
        </w:rPr>
      </w:pPr>
    </w:p>
    <w:p>
      <w:pPr>
        <w:jc w:val="both"/>
        <w:ind w:right="20" w:firstLine="181"/>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4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Borders>
              <w:bottom w:val="single" w:sz="8" w:color="auto"/>
            </w:tcBorders>
          </w:tcPr>
          <w:p>
            <w:pPr>
              <w:spacing w:after="0"/>
              <w:rPr>
                <w:sz w:val="20"/>
                <w:szCs w:val="20"/>
                <w:color w:val="auto"/>
              </w:rPr>
            </w:pPr>
          </w:p>
        </w:tc>
      </w:tr>
      <w:tr>
        <w:trPr>
          <w:trHeight w:val="223"/>
        </w:trPr>
        <w:tc>
          <w:tcPr>
            <w:tcW w:w="75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r>
      <w:tr>
        <w:trPr>
          <w:trHeight w:val="181"/>
        </w:trPr>
        <w:tc>
          <w:tcPr>
            <w:tcW w:w="7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r>
      <w:tr>
        <w:trPr>
          <w:trHeight w:val="231"/>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w:t>
            </w:r>
          </w:p>
        </w:tc>
      </w:tr>
      <w:tr>
        <w:trPr>
          <w:trHeight w:val="229"/>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262</w:t>
            </w: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statements of cash flows</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192"/>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December 31, 2020, these restricted funds comprised of $73 million designated to fund operating expenses, approximately $24 million designated for current debt service payments, and $45 million restricted for reserves including debt service, performance obligations and other reserves, as well as capital expenditures. The remaining $55 million is held in distributions reserve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 and Allowance for Doubtful Accounts</w:t>
      </w:r>
    </w:p>
    <w:p>
      <w:pPr>
        <w:spacing w:after="0" w:line="171" w:lineRule="exact"/>
        <w:rPr>
          <w:sz w:val="20"/>
          <w:szCs w:val="20"/>
          <w:color w:val="auto"/>
        </w:rPr>
      </w:pPr>
    </w:p>
    <w:p>
      <w:pPr>
        <w:jc w:val="both"/>
        <w:ind w:firstLine="272"/>
        <w:spacing w:after="0" w:line="263" w:lineRule="auto"/>
        <w:rPr>
          <w:sz w:val="20"/>
          <w:szCs w:val="20"/>
          <w:color w:val="auto"/>
        </w:rPr>
      </w:pPr>
      <w:r>
        <w:rPr>
          <w:rFonts w:ascii="Arial" w:cs="Arial" w:eastAsia="Arial" w:hAnsi="Arial"/>
          <w:sz w:val="18"/>
          <w:szCs w:val="18"/>
          <w:color w:val="auto"/>
        </w:rPr>
        <w:t>Accounts receivable — trade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2020 and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ind w:firstLine="259"/>
        <w:spacing w:after="0" w:line="254" w:lineRule="auto"/>
        <w:rPr>
          <w:sz w:val="20"/>
          <w:szCs w:val="20"/>
          <w:color w:val="auto"/>
        </w:rPr>
      </w:pPr>
      <w:r>
        <w:rPr>
          <w:rFonts w:ascii="Arial" w:cs="Arial" w:eastAsia="Arial" w:hAnsi="Arial"/>
          <w:sz w:val="18"/>
          <w:szCs w:val="18"/>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to the Consolidated Financial Statements.</w:t>
      </w:r>
    </w:p>
    <w:p>
      <w:pPr>
        <w:spacing w:after="0" w:line="141" w:lineRule="exact"/>
        <w:rPr>
          <w:sz w:val="20"/>
          <w:szCs w:val="20"/>
          <w:color w:val="auto"/>
        </w:rPr>
      </w:pPr>
    </w:p>
    <w:p>
      <w:pPr>
        <w:ind w:right="160" w:firstLine="180"/>
        <w:spacing w:after="0" w:line="263" w:lineRule="auto"/>
        <w:rPr>
          <w:sz w:val="20"/>
          <w:szCs w:val="20"/>
          <w:color w:val="auto"/>
        </w:rPr>
      </w:pPr>
      <w:r>
        <w:rPr>
          <w:rFonts w:ascii="Arial" w:cs="Arial" w:eastAsia="Arial" w:hAnsi="Arial"/>
          <w:sz w:val="18"/>
          <w:szCs w:val="18"/>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130" w:lineRule="exact"/>
        <w:rPr>
          <w:sz w:val="20"/>
          <w:szCs w:val="20"/>
          <w:color w:val="auto"/>
        </w:rPr>
      </w:pPr>
    </w:p>
    <w:p>
      <w:pPr>
        <w:jc w:val="both"/>
        <w:ind w:firstLine="251"/>
        <w:spacing w:after="0" w:line="273" w:lineRule="auto"/>
        <w:rPr>
          <w:sz w:val="20"/>
          <w:szCs w:val="20"/>
          <w:color w:val="auto"/>
        </w:rPr>
      </w:pPr>
      <w:r>
        <w:rPr>
          <w:rFonts w:ascii="Arial" w:cs="Arial" w:eastAsia="Arial" w:hAnsi="Arial"/>
          <w:sz w:val="17"/>
          <w:szCs w:val="17"/>
          <w:color w:val="auto"/>
        </w:rPr>
        <w:t>Development costs include project development costs, which are expensed in the preliminary stages of a project and 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71" w:lineRule="exact"/>
        <w:rPr>
          <w:sz w:val="20"/>
          <w:szCs w:val="20"/>
          <w:color w:val="auto"/>
        </w:rPr>
      </w:pPr>
    </w:p>
    <w:p>
      <w:pPr>
        <w:jc w:val="both"/>
        <w:ind w:firstLine="221"/>
        <w:spacing w:after="0" w:line="273" w:lineRule="auto"/>
        <w:rPr>
          <w:sz w:val="20"/>
          <w:szCs w:val="20"/>
          <w:color w:val="auto"/>
        </w:rPr>
      </w:pPr>
      <w:r>
        <w:rPr>
          <w:rFonts w:ascii="Arial" w:cs="Arial" w:eastAsia="Arial" w:hAnsi="Arial"/>
          <w:sz w:val="17"/>
          <w:szCs w:val="17"/>
          <w:color w:val="auto"/>
        </w:rPr>
        <w:t xml:space="preserve">Long-lived assets that are held and used are reviewed for impairment whenever events or changes in circumstances indicate their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7"/>
          <w:szCs w:val="17"/>
          <w:i w:val="1"/>
          <w:iCs w:val="1"/>
          <w:color w:val="auto"/>
        </w:rPr>
        <w:t>Asset Impairments,</w:t>
      </w:r>
      <w:r>
        <w:rPr>
          <w:rFonts w:ascii="Arial" w:cs="Arial" w:eastAsia="Arial" w:hAnsi="Arial"/>
          <w:sz w:val="17"/>
          <w:szCs w:val="17"/>
          <w:color w:val="auto"/>
        </w:rPr>
        <w:t xml:space="preserve"> to the Consolidated Financial Statements.</w:t>
      </w:r>
    </w:p>
    <w:p>
      <w:pPr>
        <w:spacing w:after="0" w:line="124" w:lineRule="exact"/>
        <w:rPr>
          <w:sz w:val="20"/>
          <w:szCs w:val="20"/>
          <w:color w:val="auto"/>
        </w:rPr>
      </w:pPr>
    </w:p>
    <w:p>
      <w:pPr>
        <w:jc w:val="both"/>
        <w:ind w:firstLine="280"/>
        <w:spacing w:after="0" w:line="263" w:lineRule="auto"/>
        <w:rPr>
          <w:sz w:val="20"/>
          <w:szCs w:val="20"/>
          <w:color w:val="auto"/>
        </w:rPr>
      </w:pPr>
      <w:r>
        <w:rPr>
          <w:rFonts w:ascii="Arial" w:cs="Arial" w:eastAsia="Arial" w:hAnsi="Arial"/>
          <w:sz w:val="18"/>
          <w:szCs w:val="18"/>
          <w:color w:val="auto"/>
        </w:rPr>
        <w:t xml:space="preserve">Investments accounted for by the equity method are reviewed for impairment in accordance with ASC 323,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r>
        <w:rPr>
          <w:rFonts w:ascii="Arial" w:cs="Arial" w:eastAsia="Arial" w:hAnsi="Arial"/>
          <w:sz w:val="18"/>
          <w:szCs w:val="18"/>
          <w:color w:val="auto"/>
        </w:rPr>
        <w:t>, which requires that a loss in value of an investment that is an other-than-temporary decline should be recognized. The Company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losses in the value of equity method investments based upon a comparison of fair value to carrying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209"/>
        <w:spacing w:after="0" w:line="259" w:lineRule="auto"/>
        <w:rPr>
          <w:sz w:val="20"/>
          <w:szCs w:val="20"/>
          <w:color w:val="auto"/>
        </w:rPr>
      </w:pPr>
      <w:r>
        <w:rPr>
          <w:rFonts w:ascii="Arial" w:cs="Arial" w:eastAsia="Arial" w:hAnsi="Arial"/>
          <w:sz w:val="18"/>
          <w:szCs w:val="18"/>
          <w:color w:val="auto"/>
        </w:rPr>
        <w:t xml:space="preserve">Intangible assets represent contractual rights held by the Company. The Company recognizes specifically identifiable intangible assets including power purchase agreements, leasehold rights,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257"/>
        <w:spacing w:after="0" w:line="308" w:lineRule="auto"/>
        <w:rPr>
          <w:sz w:val="20"/>
          <w:szCs w:val="20"/>
          <w:color w:val="auto"/>
        </w:rPr>
      </w:pPr>
      <w:r>
        <w:rPr>
          <w:rFonts w:ascii="Arial" w:cs="Arial" w:eastAsia="Arial" w:hAnsi="Arial"/>
          <w:sz w:val="17"/>
          <w:szCs w:val="17"/>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Thermal Revenues</w:t>
      </w:r>
    </w:p>
    <w:p>
      <w:pPr>
        <w:spacing w:after="0" w:line="198" w:lineRule="exact"/>
        <w:rPr>
          <w:sz w:val="20"/>
          <w:szCs w:val="20"/>
          <w:color w:val="auto"/>
        </w:rPr>
      </w:pPr>
    </w:p>
    <w:p>
      <w:pPr>
        <w:jc w:val="both"/>
        <w:ind w:firstLine="212"/>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p>
      <w:pPr>
        <w:jc w:val="both"/>
        <w:ind w:firstLine="189"/>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jc w:val="both"/>
        <w:ind w:firstLine="193"/>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23" w:lineRule="exact"/>
        <w:rPr>
          <w:sz w:val="20"/>
          <w:szCs w:val="20"/>
          <w:color w:val="auto"/>
        </w:rPr>
      </w:pPr>
    </w:p>
    <w:p>
      <w:pPr>
        <w:jc w:val="both"/>
        <w:ind w:firstLine="193"/>
        <w:spacing w:after="0" w:line="311" w:lineRule="auto"/>
        <w:rPr>
          <w:sz w:val="20"/>
          <w:szCs w:val="20"/>
          <w:color w:val="auto"/>
        </w:rPr>
      </w:pPr>
      <w:r>
        <w:rPr>
          <w:rFonts w:ascii="Arial" w:cs="Arial" w:eastAsia="Arial" w:hAnsi="Arial"/>
          <w:sz w:val="16"/>
          <w:szCs w:val="16"/>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2020, 2019 and 2018 was $589 million, $537 million and $583 million, respectively. See Note 15,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additional information related to the Company's PPAs accounted for as leases.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Energy Credits, or RECs</w:t>
      </w:r>
    </w:p>
    <w:p>
      <w:pPr>
        <w:spacing w:after="0" w:line="212" w:lineRule="exact"/>
        <w:rPr>
          <w:sz w:val="20"/>
          <w:szCs w:val="20"/>
          <w:color w:val="auto"/>
        </w:rPr>
      </w:pPr>
    </w:p>
    <w:p>
      <w:pPr>
        <w:jc w:val="both"/>
        <w:ind w:firstLine="287"/>
        <w:spacing w:after="0" w:line="263"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130" w:lineRule="exact"/>
        <w:rPr>
          <w:sz w:val="20"/>
          <w:szCs w:val="20"/>
          <w:color w:val="auto"/>
        </w:rPr>
      </w:pPr>
    </w:p>
    <w:p>
      <w:pPr>
        <w:jc w:val="both"/>
        <w:ind w:firstLine="214"/>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Revenues</w:t>
      </w:r>
    </w:p>
    <w:p>
      <w:pPr>
        <w:spacing w:after="0" w:line="212"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2020, along with the reportable segment for each category:</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120" w:type="dxa"/>
            <w:vAlign w:val="bottom"/>
            <w:gridSpan w:val="6"/>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2"/>
                <w:szCs w:val="12"/>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2"/>
                <w:szCs w:val="12"/>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400" w:type="dxa"/>
            <w:vAlign w:val="bottom"/>
          </w:tcPr>
          <w:p>
            <w:pPr>
              <w:spacing w:after="0"/>
              <w:rPr>
                <w:sz w:val="12"/>
                <w:szCs w:val="12"/>
                <w:color w:val="auto"/>
              </w:rPr>
            </w:pP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15"/>
        </w:trPr>
        <w:tc>
          <w:tcPr>
            <w:tcW w:w="6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gridSpan w:val="3"/>
          </w:tcPr>
          <w:p>
            <w:pPr>
              <w:jc w:val="center"/>
              <w:spacing w:after="0" w:line="115" w:lineRule="exact"/>
              <w:rPr>
                <w:sz w:val="20"/>
                <w:szCs w:val="20"/>
                <w:color w:val="auto"/>
              </w:rPr>
            </w:pPr>
            <w:r>
              <w:rPr>
                <w:rFonts w:ascii="Arial" w:cs="Arial" w:eastAsia="Arial" w:hAnsi="Arial"/>
                <w:sz w:val="13"/>
                <w:szCs w:val="13"/>
                <w:b w:val="1"/>
                <w:bCs w:val="1"/>
                <w:color w:val="auto"/>
              </w:rPr>
              <w:t>Generation</w:t>
            </w:r>
          </w:p>
        </w:tc>
        <w:tc>
          <w:tcPr>
            <w:tcW w:w="2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4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gridSpan w:val="2"/>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84"/>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02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operating revenue</w:t>
            </w:r>
          </w:p>
        </w:tc>
        <w:tc>
          <w:tcPr>
            <w:tcW w:w="120" w:type="dxa"/>
            <w:vAlign w:val="bottom"/>
          </w:tcPr>
          <w:p>
            <w:pPr>
              <w:spacing w:after="0"/>
              <w:rPr>
                <w:sz w:val="17"/>
                <w:szCs w:val="17"/>
                <w:color w:val="auto"/>
              </w:rPr>
            </w:pPr>
          </w:p>
        </w:tc>
        <w:tc>
          <w:tcPr>
            <w:tcW w:w="1020" w:type="dxa"/>
            <w:vAlign w:val="bottom"/>
            <w:gridSpan w:val="5"/>
          </w:tcPr>
          <w:p>
            <w:pPr>
              <w:jc w:val="right"/>
              <w:ind w:right="80"/>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revenue</w:t>
            </w:r>
          </w:p>
        </w:tc>
        <w:tc>
          <w:tcPr>
            <w:tcW w:w="12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Contract amortization</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3798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160" w:hanging="152"/>
        <w:spacing w:after="0"/>
        <w:tabs>
          <w:tab w:leader="none" w:pos="160" w:val="left"/>
        </w:tabs>
        <w:numPr>
          <w:ilvl w:val="0"/>
          <w:numId w:val="58"/>
        </w:numPr>
        <w:rPr>
          <w:rFonts w:ascii="Arial" w:cs="Arial" w:eastAsia="Arial" w:hAnsi="Arial"/>
          <w:sz w:val="18"/>
          <w:szCs w:val="18"/>
          <w:color w:val="auto"/>
          <w:vertAlign w:val="superscript"/>
        </w:rPr>
      </w:pPr>
      <w:r>
        <w:rPr>
          <w:rFonts w:ascii="Arial" w:cs="Arial" w:eastAsia="Arial" w:hAnsi="Arial"/>
          <w:sz w:val="13"/>
          <w:szCs w:val="13"/>
          <w:color w:val="auto"/>
        </w:rPr>
        <w:t xml:space="preserve">See Note 17, </w:t>
      </w:r>
      <w:r>
        <w:rPr>
          <w:rFonts w:ascii="Arial" w:cs="Arial" w:eastAsia="Arial" w:hAnsi="Arial"/>
          <w:sz w:val="13"/>
          <w:szCs w:val="13"/>
          <w:i w:val="1"/>
          <w:iCs w:val="1"/>
          <w:color w:val="auto"/>
        </w:rPr>
        <w:t>Leases</w:t>
      </w:r>
      <w:r>
        <w:rPr>
          <w:rFonts w:ascii="Arial" w:cs="Arial" w:eastAsia="Arial" w:hAnsi="Arial"/>
          <w:sz w:val="13"/>
          <w:szCs w:val="13"/>
          <w:color w:val="auto"/>
        </w:rPr>
        <w:t xml:space="preserve"> for the amounts of energy and capacity revenue that relate to leases and are accounted for under ASC 842.</w:t>
      </w:r>
    </w:p>
    <w:p>
      <w:pPr>
        <w:spacing w:after="0" w:line="140" w:lineRule="exact"/>
        <w:rPr>
          <w:sz w:val="20"/>
          <w:szCs w:val="20"/>
          <w:color w:val="auto"/>
        </w:rPr>
      </w:pPr>
    </w:p>
    <w:p>
      <w:pPr>
        <w:ind w:firstLine="224"/>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2019, along with the reportable segment for each category: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100" w:type="dxa"/>
            <w:vAlign w:val="bottom"/>
            <w:gridSpan w:val="6"/>
          </w:tcPr>
          <w:p>
            <w:pPr>
              <w:jc w:val="center"/>
              <w:ind w:right="220"/>
              <w:spacing w:after="0" w:line="148" w:lineRule="exact"/>
              <w:rPr>
                <w:sz w:val="20"/>
                <w:szCs w:val="20"/>
                <w:color w:val="auto"/>
              </w:rPr>
            </w:pPr>
            <w:r>
              <w:rPr>
                <w:rFonts w:ascii="Arial" w:cs="Arial" w:eastAsia="Arial" w:hAnsi="Arial"/>
                <w:sz w:val="14"/>
                <w:szCs w:val="14"/>
                <w:b w:val="1"/>
                <w:bCs w:val="1"/>
                <w:color w:val="auto"/>
                <w:w w:val="94"/>
              </w:rPr>
              <w:t>Conventional</w:t>
            </w:r>
          </w:p>
        </w:tc>
        <w:tc>
          <w:tcPr>
            <w:tcW w:w="2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40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5"/>
        </w:trPr>
        <w:tc>
          <w:tcPr>
            <w:tcW w:w="6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3"/>
          </w:tcPr>
          <w:p>
            <w:pPr>
              <w:jc w:val="center"/>
              <w:spacing w:after="0" w:line="115" w:lineRule="exact"/>
              <w:rPr>
                <w:sz w:val="20"/>
                <w:szCs w:val="20"/>
                <w:color w:val="auto"/>
              </w:rPr>
            </w:pPr>
            <w:r>
              <w:rPr>
                <w:rFonts w:ascii="Arial" w:cs="Arial" w:eastAsia="Arial" w:hAnsi="Arial"/>
                <w:sz w:val="13"/>
                <w:szCs w:val="13"/>
                <w:b w:val="1"/>
                <w:bCs w:val="1"/>
                <w:color w:val="auto"/>
                <w:w w:val="99"/>
              </w:rPr>
              <w:t>Generation</w:t>
            </w:r>
          </w:p>
        </w:tc>
        <w:tc>
          <w:tcPr>
            <w:tcW w:w="2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20"/>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8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2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Mark-to-market for economic hedges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Less: Lease revenue</w:t>
            </w:r>
          </w:p>
        </w:tc>
        <w:tc>
          <w:tcPr>
            <w:tcW w:w="12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Contract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2"/>
        </w:trPr>
        <w:tc>
          <w:tcPr>
            <w:tcW w:w="6460" w:type="dxa"/>
            <w:vAlign w:val="bottom"/>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8"/>
          <w:szCs w:val="18"/>
          <w:color w:val="auto"/>
          <w:vertAlign w:val="superscript"/>
        </w:rPr>
      </w:pPr>
      <w:r>
        <w:rPr>
          <w:rFonts w:ascii="Arial" w:cs="Arial" w:eastAsia="Arial" w:hAnsi="Arial"/>
          <w:sz w:val="13"/>
          <w:szCs w:val="13"/>
          <w:color w:val="auto"/>
        </w:rPr>
        <w:t xml:space="preserve">See Note 17, </w:t>
      </w:r>
      <w:r>
        <w:rPr>
          <w:rFonts w:ascii="Arial" w:cs="Arial" w:eastAsia="Arial" w:hAnsi="Arial"/>
          <w:sz w:val="13"/>
          <w:szCs w:val="13"/>
          <w:i w:val="1"/>
          <w:iCs w:val="1"/>
          <w:color w:val="auto"/>
        </w:rPr>
        <w:t>Leases</w:t>
      </w:r>
      <w:r>
        <w:rPr>
          <w:rFonts w:ascii="Arial" w:cs="Arial" w:eastAsia="Arial" w:hAnsi="Arial"/>
          <w:sz w:val="13"/>
          <w:szCs w:val="13"/>
          <w:color w:val="auto"/>
        </w:rPr>
        <w:t xml:space="preserve"> for the amounts of energy and capacity revenue that relate to leases and are accounted for under ASC 840</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2018, along with the reportable segment for each category: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100" w:type="dxa"/>
            <w:vAlign w:val="bottom"/>
            <w:gridSpan w:val="6"/>
          </w:tcPr>
          <w:p>
            <w:pPr>
              <w:jc w:val="center"/>
              <w:ind w:right="220"/>
              <w:spacing w:after="0" w:line="148" w:lineRule="exact"/>
              <w:rPr>
                <w:sz w:val="20"/>
                <w:szCs w:val="20"/>
                <w:color w:val="auto"/>
              </w:rPr>
            </w:pPr>
            <w:r>
              <w:rPr>
                <w:rFonts w:ascii="Arial" w:cs="Arial" w:eastAsia="Arial" w:hAnsi="Arial"/>
                <w:sz w:val="14"/>
                <w:szCs w:val="14"/>
                <w:b w:val="1"/>
                <w:bCs w:val="1"/>
                <w:color w:val="auto"/>
                <w:w w:val="94"/>
              </w:rPr>
              <w:t>Conventional</w:t>
            </w:r>
          </w:p>
        </w:tc>
        <w:tc>
          <w:tcPr>
            <w:tcW w:w="2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40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9"/>
              </w:rPr>
              <w:t>Generation</w:t>
            </w:r>
          </w:p>
        </w:tc>
        <w:tc>
          <w:tcPr>
            <w:tcW w:w="2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5"/>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6"/>
                <w:szCs w:val="16"/>
                <w:color w:val="auto"/>
              </w:rPr>
              <w:t>Other revenues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6"/>
                <w:szCs w:val="16"/>
                <w:color w:val="auto"/>
              </w:rPr>
              <w:t>Total operating revenue</w:t>
            </w:r>
          </w:p>
        </w:tc>
        <w:tc>
          <w:tcPr>
            <w:tcW w:w="120" w:type="dxa"/>
            <w:vAlign w:val="bottom"/>
          </w:tcPr>
          <w:p>
            <w:pPr>
              <w:spacing w:after="0"/>
              <w:rPr>
                <w:sz w:val="17"/>
                <w:szCs w:val="17"/>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Lease revenue</w:t>
            </w:r>
          </w:p>
        </w:tc>
        <w:tc>
          <w:tcPr>
            <w:tcW w:w="12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Contract amortization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revenue from contracts with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Amortization</w:t>
      </w:r>
    </w:p>
    <w:p>
      <w:pPr>
        <w:spacing w:after="0" w:line="144"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reflects the net amount of contract assets and liabilities included on the Company’s balance sheet as of December 31, 2020:</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560" w:type="dxa"/>
            <w:vAlign w:val="bottom"/>
          </w:tcPr>
          <w:p>
            <w:pPr>
              <w:jc w:val="right"/>
              <w:ind w:right="241"/>
              <w:spacing w:after="0"/>
              <w:rPr>
                <w:sz w:val="20"/>
                <w:szCs w:val="20"/>
                <w:color w:val="auto"/>
              </w:rPr>
            </w:pPr>
            <w:r>
              <w:rPr>
                <w:rFonts w:ascii="Arial" w:cs="Arial" w:eastAsia="Arial" w:hAnsi="Arial"/>
                <w:sz w:val="14"/>
                <w:szCs w:val="14"/>
                <w:b w:val="1"/>
                <w:bCs w:val="1"/>
                <w:color w:val="auto"/>
                <w:w w:val="96"/>
              </w:rPr>
              <w:t>December 31, 2020</w:t>
            </w:r>
          </w:p>
        </w:tc>
        <w:tc>
          <w:tcPr>
            <w:tcW w:w="240" w:type="dxa"/>
            <w:vAlign w:val="bottom"/>
          </w:tcPr>
          <w:p>
            <w:pPr>
              <w:spacing w:after="0"/>
              <w:rPr>
                <w:sz w:val="14"/>
                <w:szCs w:val="14"/>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2019</w:t>
            </w: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 net - Contracts with customers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r>
      <w:tr>
        <w:trPr>
          <w:trHeight w:val="213"/>
        </w:trPr>
        <w:tc>
          <w:tcPr>
            <w:tcW w:w="20" w:type="dxa"/>
            <w:vAlign w:val="bottom"/>
            <w:tcBorders>
              <w:bottom w:val="single" w:sz="8" w:color="CCEEFF"/>
            </w:tcBorders>
          </w:tcPr>
          <w:p>
            <w:pPr>
              <w:spacing w:after="0"/>
              <w:rPr>
                <w:sz w:val="18"/>
                <w:szCs w:val="18"/>
                <w:color w:val="auto"/>
              </w:rPr>
            </w:pPr>
          </w:p>
        </w:tc>
        <w:tc>
          <w:tcPr>
            <w:tcW w:w="65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Accounts receivable, net - Leases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86</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accounts receivable,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7"/>
          <w:szCs w:val="17"/>
          <w:color w:val="auto"/>
        </w:rPr>
        <w:t xml:space="preserve">The Company accounts for derivative financial instruments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11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Recognized in earnings as an offset to the changes in the fair value of the related hedged assets, liabilities and firm commitments;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Deferred and recorded as a component of accumulated OCI until the hedged transactions occur and are recognized in earnings.</w:t>
      </w:r>
    </w:p>
    <w:p>
      <w:pPr>
        <w:spacing w:after="0" w:line="171" w:lineRule="exact"/>
        <w:rPr>
          <w:sz w:val="20"/>
          <w:szCs w:val="20"/>
          <w:color w:val="auto"/>
        </w:rPr>
      </w:pPr>
    </w:p>
    <w:p>
      <w:pPr>
        <w:jc w:val="both"/>
        <w:ind w:firstLine="215"/>
        <w:spacing w:after="0" w:line="269" w:lineRule="auto"/>
        <w:rPr>
          <w:sz w:val="20"/>
          <w:szCs w:val="20"/>
          <w:color w:val="auto"/>
        </w:rPr>
      </w:pPr>
      <w:r>
        <w:rPr>
          <w:rFonts w:ascii="Arial" w:cs="Arial" w:eastAsia="Arial" w:hAnsi="Arial"/>
          <w:sz w:val="17"/>
          <w:szCs w:val="17"/>
          <w:color w:val="auto"/>
        </w:rPr>
        <w:t>The Company's primary derivative instruments are interest rate instruments used to mitigate variability in earnings due to fluctuations in interest rates, power purchase or sale contracts used to mitigate variability in earnings due to fluctuations in market prices and fuels purchase contracts used to control customer reimbursable fuel cost.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131" w:lineRule="exact"/>
        <w:rPr>
          <w:sz w:val="20"/>
          <w:szCs w:val="20"/>
          <w:color w:val="auto"/>
        </w:rPr>
      </w:pPr>
    </w:p>
    <w:p>
      <w:pPr>
        <w:jc w:val="both"/>
        <w:ind w:firstLine="227"/>
        <w:spacing w:after="0" w:line="259" w:lineRule="auto"/>
        <w:rPr>
          <w:sz w:val="20"/>
          <w:szCs w:val="20"/>
          <w:color w:val="auto"/>
        </w:rPr>
      </w:pPr>
      <w:r>
        <w:rPr>
          <w:rFonts w:ascii="Arial" w:cs="Arial" w:eastAsia="Arial" w:hAnsi="Arial"/>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ind w:firstLine="219"/>
        <w:spacing w:after="0" w:line="273" w:lineRule="auto"/>
        <w:rPr>
          <w:sz w:val="20"/>
          <w:szCs w:val="20"/>
          <w:color w:val="auto"/>
        </w:rPr>
      </w:pPr>
      <w:r>
        <w:rPr>
          <w:rFonts w:ascii="Arial" w:cs="Arial" w:eastAsia="Arial" w:hAnsi="Arial"/>
          <w:sz w:val="17"/>
          <w:szCs w:val="17"/>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Arial" w:cs="Arial" w:eastAsia="Arial" w:hAnsi="Arial"/>
          <w:sz w:val="17"/>
          <w:szCs w:val="17"/>
          <w:i w:val="1"/>
          <w:iCs w:val="1"/>
          <w:color w:val="auto"/>
        </w:rPr>
        <w:t>Risks related to the Company's Business,</w:t>
      </w:r>
      <w:r>
        <w:rPr>
          <w:rFonts w:ascii="Arial" w:cs="Arial" w:eastAsia="Arial" w:hAnsi="Arial"/>
          <w:sz w:val="17"/>
          <w:szCs w:val="17"/>
          <w:color w:val="auto"/>
        </w:rPr>
        <w:t xml:space="preserve"> for a discussion on the Company’s dependence on major customers</w:t>
      </w:r>
      <w:r>
        <w:rPr>
          <w:rFonts w:ascii="Arial" w:cs="Arial" w:eastAsia="Arial" w:hAnsi="Arial"/>
          <w:sz w:val="17"/>
          <w:szCs w:val="17"/>
          <w:color w:val="1F497D"/>
        </w:rPr>
        <w:t>.</w:t>
      </w:r>
      <w:r>
        <w:rPr>
          <w:rFonts w:ascii="Arial" w:cs="Arial" w:eastAsia="Arial" w:hAnsi="Arial"/>
          <w:sz w:val="17"/>
          <w:szCs w:val="17"/>
          <w:color w:val="auto"/>
        </w:rPr>
        <w:t xml:space="preserve">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derivative concentrations and Note 12,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for concentration of counterparties.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198"/>
        <w:spacing w:after="0" w:line="286" w:lineRule="auto"/>
        <w:rPr>
          <w:sz w:val="20"/>
          <w:szCs w:val="20"/>
          <w:color w:val="auto"/>
        </w:rPr>
      </w:pPr>
      <w:r>
        <w:rPr>
          <w:rFonts w:ascii="Arial" w:cs="Arial" w:eastAsia="Arial" w:hAnsi="Arial"/>
          <w:sz w:val="17"/>
          <w:szCs w:val="17"/>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fair value of financial instruments.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227"/>
        <w:spacing w:after="0" w:line="257" w:lineRule="auto"/>
        <w:rPr>
          <w:sz w:val="20"/>
          <w:szCs w:val="20"/>
          <w:color w:val="auto"/>
        </w:rPr>
      </w:pPr>
      <w:r>
        <w:rPr>
          <w:rFonts w:ascii="Arial" w:cs="Arial" w:eastAsia="Arial" w:hAnsi="Arial"/>
          <w:sz w:val="18"/>
          <w:szCs w:val="18"/>
          <w:color w:val="auto"/>
        </w:rPr>
        <w:t xml:space="preserve">Asset retirement obligations, or AROs, are accounted for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08" w:name="page109"/>
    <w:bookmarkEnd w:id="108"/>
    <w:p>
      <w:pPr>
        <w:jc w:val="both"/>
        <w:ind w:firstLine="182"/>
        <w:spacing w:after="0" w:line="279" w:lineRule="auto"/>
        <w:rPr>
          <w:sz w:val="20"/>
          <w:szCs w:val="20"/>
          <w:color w:val="auto"/>
        </w:rPr>
      </w:pPr>
      <w:r>
        <w:rPr>
          <w:rFonts w:ascii="Arial" w:cs="Arial" w:eastAsia="Arial" w:hAnsi="Arial"/>
          <w:sz w:val="17"/>
          <w:szCs w:val="17"/>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represents the balance of ARO obligations as of December 31, 2020 and 2019, along with the additions and accretion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ARO obligations for the year ended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560" w:type="dxa"/>
            <w:vAlign w:val="bottom"/>
          </w:tcPr>
          <w:p>
            <w:pPr>
              <w:ind w:left="140"/>
              <w:spacing w:after="0"/>
              <w:rPr>
                <w:sz w:val="20"/>
                <w:szCs w:val="20"/>
                <w:color w:val="auto"/>
              </w:rPr>
            </w:pPr>
            <w:r>
              <w:rPr>
                <w:rFonts w:ascii="Arial" w:cs="Arial" w:eastAsia="Arial" w:hAnsi="Arial"/>
                <w:sz w:val="18"/>
                <w:szCs w:val="18"/>
                <w:color w:val="auto"/>
              </w:rPr>
              <w:t>Revisions in estimates for current obligations</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9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Accretion — expense</w:t>
            </w: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79" w:lineRule="exact"/>
        <w:rPr>
          <w:sz w:val="20"/>
          <w:szCs w:val="20"/>
          <w:color w:val="auto"/>
        </w:rPr>
      </w:pPr>
    </w:p>
    <w:p>
      <w:pPr>
        <w:jc w:val="both"/>
        <w:ind w:firstLine="190"/>
        <w:spacing w:after="0" w:line="271" w:lineRule="auto"/>
        <w:rPr>
          <w:sz w:val="20"/>
          <w:szCs w:val="20"/>
          <w:color w:val="auto"/>
        </w:rPr>
      </w:pPr>
      <w:r>
        <w:rPr>
          <w:rFonts w:ascii="Arial" w:cs="Arial" w:eastAsia="Arial" w:hAnsi="Arial"/>
          <w:sz w:val="17"/>
          <w:szCs w:val="17"/>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Accounted for by the Equity Method</w:t>
      </w:r>
    </w:p>
    <w:p>
      <w:pPr>
        <w:spacing w:after="0" w:line="171" w:lineRule="exact"/>
        <w:rPr>
          <w:sz w:val="20"/>
          <w:szCs w:val="20"/>
          <w:color w:val="auto"/>
        </w:rPr>
      </w:pPr>
    </w:p>
    <w:p>
      <w:pPr>
        <w:jc w:val="both"/>
        <w:ind w:firstLine="215"/>
        <w:spacing w:after="0" w:line="254" w:lineRule="auto"/>
        <w:rPr>
          <w:sz w:val="20"/>
          <w:szCs w:val="20"/>
          <w:color w:val="auto"/>
        </w:rPr>
      </w:pPr>
      <w:r>
        <w:rPr>
          <w:rFonts w:ascii="Arial" w:cs="Arial" w:eastAsia="Arial" w:hAnsi="Arial"/>
          <w:sz w:val="18"/>
          <w:szCs w:val="18"/>
          <w:color w:val="auto"/>
        </w:rPr>
        <w:t>The Company has investments in various energy projects accounted for by the equity method, several of which are VIEs, where the Company is not a primary beneficiary, as described in Note 5, Investments Accounted for by the Equity Method and Variable Interest Entities.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171" w:lineRule="exact"/>
        <w:rPr>
          <w:sz w:val="20"/>
          <w:szCs w:val="20"/>
          <w:color w:val="auto"/>
        </w:rPr>
      </w:pPr>
    </w:p>
    <w:p>
      <w:pPr>
        <w:jc w:val="both"/>
        <w:ind w:firstLine="267"/>
        <w:spacing w:after="0" w:line="296" w:lineRule="auto"/>
        <w:rPr>
          <w:sz w:val="20"/>
          <w:szCs w:val="20"/>
          <w:color w:val="auto"/>
        </w:rPr>
      </w:pPr>
      <w:r>
        <w:rPr>
          <w:rFonts w:ascii="Arial" w:cs="Arial" w:eastAsia="Arial" w:hAnsi="Arial"/>
          <w:sz w:val="16"/>
          <w:szCs w:val="16"/>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6"/>
          <w:szCs w:val="16"/>
          <w:i w:val="1"/>
          <w:iCs w:val="1"/>
          <w:color w:val="auto"/>
        </w:rPr>
        <w:t>Sale-Leaseback Transactions</w:t>
      </w:r>
      <w:r>
        <w:rPr>
          <w:rFonts w:ascii="Arial" w:cs="Arial" w:eastAsia="Arial" w:hAnsi="Arial"/>
          <w:sz w:val="16"/>
          <w:szCs w:val="16"/>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07" w:lineRule="exact"/>
        <w:rPr>
          <w:sz w:val="20"/>
          <w:szCs w:val="20"/>
          <w:color w:val="auto"/>
        </w:rPr>
      </w:pPr>
    </w:p>
    <w:p>
      <w:pPr>
        <w:jc w:val="both"/>
        <w:ind w:firstLine="201"/>
        <w:spacing w:after="0" w:line="255" w:lineRule="auto"/>
        <w:rPr>
          <w:sz w:val="20"/>
          <w:szCs w:val="20"/>
          <w:color w:val="auto"/>
        </w:rPr>
      </w:pPr>
      <w:r>
        <w:rPr>
          <w:rFonts w:ascii="Arial" w:cs="Arial" w:eastAsia="Arial" w:hAnsi="Arial"/>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224"/>
        <w:spacing w:after="0" w:line="289" w:lineRule="auto"/>
        <w:rPr>
          <w:sz w:val="20"/>
          <w:szCs w:val="20"/>
          <w:color w:val="auto"/>
        </w:rPr>
      </w:pPr>
      <w:r>
        <w:rPr>
          <w:rFonts w:ascii="Arial" w:cs="Arial" w:eastAsia="Arial" w:hAnsi="Arial"/>
          <w:sz w:val="16"/>
          <w:szCs w:val="16"/>
          <w:color w:val="auto"/>
        </w:rPr>
        <w:t xml:space="preserve">The Company accounts for its business combinations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business acquisitions that relate to entities under common control, ASC 805 requires retrospective combination of the entities for all annual periods presented as if the combination has been in effect from the beginning of the earliest financial statement period presented or from the date the entities were under common control (if later than the beginning of the earliest financial statement period). The difference between the cash paid and historical value of the entities' equity is recorded as a distribution/contribution from/to CEG with the offset to noncontrolling interest. Transaction costs are expensed as incurred.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03"/>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33" w:lineRule="exact"/>
        <w:rPr>
          <w:sz w:val="20"/>
          <w:szCs w:val="20"/>
          <w:color w:val="auto"/>
        </w:rPr>
      </w:pPr>
    </w:p>
    <w:p>
      <w:pPr>
        <w:jc w:val="both"/>
        <w:ind w:firstLine="312"/>
        <w:spacing w:after="0" w:line="257"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uncollectible accounts, AROs,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71" w:lineRule="exact"/>
        <w:rPr>
          <w:sz w:val="20"/>
          <w:szCs w:val="20"/>
          <w:color w:val="auto"/>
        </w:rPr>
      </w:pPr>
    </w:p>
    <w:p>
      <w:pPr>
        <w:jc w:val="both"/>
        <w:ind w:firstLine="290"/>
        <w:spacing w:after="0" w:line="286"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solar energy systems, under operating leases or PPAs, that are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 during the reference rate reform period. As of December 31, 2020, the Company has not elected any optional expedients provided in the standard.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0" w:name="page111"/>
    <w:bookmarkEnd w:id="110"/>
    <w:p>
      <w:pPr>
        <w:jc w:val="both"/>
        <w:ind w:firstLine="405"/>
        <w:spacing w:after="0" w:line="255" w:lineRule="auto"/>
        <w:rPr>
          <w:sz w:val="20"/>
          <w:szCs w:val="20"/>
          <w:color w:val="auto"/>
        </w:rPr>
      </w:pPr>
      <w:r>
        <w:rPr>
          <w:rFonts w:ascii="Arial" w:cs="Arial" w:eastAsia="Arial" w:hAnsi="Arial"/>
          <w:sz w:val="18"/>
          <w:szCs w:val="18"/>
          <w:color w:val="auto"/>
        </w:rPr>
        <w:t>Effective January 1, 2019, the Company adopted ASU No. 2016-02, Leases (Topic 842), or Topic 842 using the modified retrospective transition method. The Company elected available practical expedients permitted under the transition guidance within the new standard, which among other items, allowed the Company to carry forward its historical lease classification and not reassess existing leases under the new definition of a lease in ASC 842. In addition, the Company also elected to account for lease and non-lease components as a single lease component. The adoption of the standard resulted in the recording of operating lease liabilities of $165 million and related ROU assets of $159 million. There was no impact to the Company’s consolidated statement of operations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The guidance is effective January 1, 2021, with early adoption permitted. The Company does not expect the effect of the new guidance to be material on its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Rattlesnake Drop Down — </w:t>
      </w:r>
      <w:r>
        <w:rPr>
          <w:rFonts w:ascii="Arial" w:cs="Arial" w:eastAsia="Arial" w:hAnsi="Arial"/>
          <w:sz w:val="18"/>
          <w:szCs w:val="18"/>
          <w:color w:val="auto"/>
        </w:rPr>
        <w:t>On January 12, 2021, the Company acquired 100% of CEG's equity interest and a third party investor's minority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Rattlesnake Flat, LLC, which owns the Rattlesnake Wind Project, a 160 net MW wind facility located in Adams County, WA for $132 million in cash consideration.</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 Energy, Inc. for $202 million. Agua Caliente is a 290 MW solar project located in Dateland, Arizona in which Clearway previously owned a 16% equity interest. The project has a 25-year PPA with PG&amp;E, with approximately 19 years remaining under the agreement. Following the close of the transaction, the Company owns a 51% equity interest in Agua Caliente. The Company will remove its equity method investment and consolidate its interest in Agua Caliente from the date of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1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Langford Drop Down — </w:t>
      </w:r>
      <w:r>
        <w:rPr>
          <w:rFonts w:ascii="Arial" w:cs="Arial" w:eastAsia="Arial" w:hAnsi="Arial"/>
          <w:sz w:val="17"/>
          <w:szCs w:val="17"/>
          <w:color w:val="auto"/>
        </w:rPr>
        <w:t>On November 20, 2020, the Company acquired 100% of the Class B membership interest in Langford Holding LLC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CEG for $55 million as well as a minority interest from a third party investor for $9 million. Langford Holding LLC indirectly consolidates its interest in the Langford wind project as further described in Note 5,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 xml:space="preserve"> The Langford project is a 160 MW wind project located in West Texas which achieved repowering commercial operations in November 2020. The Langford operations are included in the Company's Renewables segment and the acquisition was funded with cash on hand. The acquisition was determined to be an asset acquisition and not a business combination, therefore the Company consolidated the financial information for Langford on a prospective basis. The membership interests acquired by the Company relate to interests under common control by GIP and were recorded at historical cost, which reflects GIP's basis recorded at fair value. The difference between the cash paid of $64 million and the historical value of the Company's acquired interests of $21 million was recorded as an adjustment to contributed capital.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1" w:name="page112"/>
    <w:bookmarkEnd w:id="111"/>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November 20,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b w:val="1"/>
                <w:bCs w:val="1"/>
                <w:color w:val="auto"/>
              </w:rPr>
              <w:t>Langford</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83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6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6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48"/>
        </w:trPr>
        <w:tc>
          <w:tcPr>
            <w:tcW w:w="8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less noncontrolling interests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b w:val="1"/>
          <w:bCs w:val="1"/>
          <w:i w:val="1"/>
          <w:iCs w:val="1"/>
          <w:color w:val="auto"/>
        </w:rPr>
        <w:t xml:space="preserve">Rosamond Central Drop Down — </w:t>
      </w:r>
      <w:r>
        <w:rPr>
          <w:rFonts w:ascii="Arial" w:cs="Arial" w:eastAsia="Arial" w:hAnsi="Arial"/>
          <w:sz w:val="16"/>
          <w:szCs w:val="16"/>
          <w:color w:val="auto"/>
        </w:rPr>
        <w:t>On December 21, 2020, Rosamond Solar Investment LLC, a subsidiary of the Company, acquired 100%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Class A membership interests of Rosie TargetCo LLC from Renew Development HoldCo LLC, a subsidiary of CEG, for $23 million in cash consideration and an additional $1 million adjustment concurrent with the tax equity investor's final funding which was paid in January 2021. Rosie Target Co LLC is the primary beneficiary and consolidates its interest in a tax equity fund that owns the 192 MW Rosamond Central solar project, located in Kern County, California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The Rosamond Central operations are included in the Company's Renewables segment. The acquisition was determined to be an asset acquisition and not a business combination, and therefore, the Company consolidated the financial information for Rosamond Central on a prospective basis. The membership interests acquired by the Company relate to interests under common control by GIP and were recorded at historical cost. The difference between the cash paid of $24 million and the historical value of the Company's acquired interests of $28 million was recorded as an adjustment to contributed capital.</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21,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Rosamond Central</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50"/>
        </w:trPr>
        <w:tc>
          <w:tcPr>
            <w:tcW w:w="8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4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Net assets less noncontrolling interests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
        </w:trPr>
        <w:tc>
          <w:tcPr>
            <w:tcW w:w="8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i w:val="1"/>
          <w:iCs w:val="1"/>
          <w:color w:val="auto"/>
        </w:rPr>
        <w:t xml:space="preserve">Mesquite Star Drop Down — </w:t>
      </w:r>
      <w:r>
        <w:rPr>
          <w:rFonts w:ascii="Arial" w:cs="Arial" w:eastAsia="Arial" w:hAnsi="Arial"/>
          <w:sz w:val="16"/>
          <w:szCs w:val="16"/>
          <w:color w:val="auto"/>
        </w:rPr>
        <w:t>On September 1, 2020, the Company, through its indirect subsidiary Lighthouse Renewable Class A LLC, acquired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membership interests in Lighthouse Renewable Holdco LLC (formerly Mesquite Star Pledgor LLC) from Clearway Renew LLC, a subsidiary of CEG, for $74 million in cash consideration inclusive of a purchase price adjustment received in the fourth quarter of 2020 concurrent with the partnership amendment referenced below. Lighthouse Renewable Holdco LLC indirectly owns 100% of the Class B membership interests in Mesquite Star Tax Equity Holdco LLC, a tax equity partnership that it consolidates as the primary beneficiary, and owns the Mesquite Star wind project, a 419 MW utility scale wind project located in Fisher County, Texas. A majority of the project’s output is backed by contracts with investment grade counterparties with a 12 year weighted average contract life. The Mesquite Star operations are reflected in the Company's Renewables segment and the acquisition was funded with cash on hand. The Company initially recorded its interest in Lighthouse Renewable Class A LLC as an equity method investment. The membership interests acquired by the Company relate to interests under common control by GIP and were recorded at historical cost. The difference between the $74 million cash paid and the historical value of the Company's acquired interests of $83 million was recorded as an adjustment to contributed capital.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2" w:name="page113"/>
    <w:bookmarkEnd w:id="112"/>
    <w:p>
      <w:pPr>
        <w:jc w:val="both"/>
        <w:ind w:firstLine="405"/>
        <w:spacing w:after="0" w:line="293" w:lineRule="auto"/>
        <w:rPr>
          <w:sz w:val="20"/>
          <w:szCs w:val="20"/>
          <w:color w:val="auto"/>
        </w:rPr>
      </w:pPr>
      <w:r>
        <w:rPr>
          <w:rFonts w:ascii="Arial" w:cs="Arial" w:eastAsia="Arial" w:hAnsi="Arial"/>
          <w:sz w:val="16"/>
          <w:szCs w:val="16"/>
          <w:color w:val="auto"/>
        </w:rPr>
        <w:t xml:space="preserve">On December 21, 2020, Clearway Renew LLC sold the Class B membership interest in Lighthouse Renewable Holdco LLC to a third party investor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The investor and the Company amended the terms of the related partnership and as a result, the Company now consolidates its interest in the Mesquite Star wind project, through its consolidation of Lighthouse Renewable Holdco LLC. The membership interests acquired by the Company relate to interests under common control by GIP and were recorded at historical cost. The difference between the carrying value of the Company's equity method investment of $58 million and the historical value of the net assets consolidated for Mesquite Star of $63 million was recorded as an adjustment to contributed capital.</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balances that were consolidated effective on December 21,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Mesquite Star</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64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50"/>
        </w:trPr>
        <w:tc>
          <w:tcPr>
            <w:tcW w:w="7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6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and redeemable noncontrolling interests</w:t>
            </w:r>
          </w:p>
        </w:tc>
        <w:tc>
          <w:tcPr>
            <w:tcW w:w="6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48"/>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less noncontrolling interests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i w:val="1"/>
          <w:iCs w:val="1"/>
          <w:color w:val="auto"/>
        </w:rPr>
        <w:t xml:space="preserve">DG Residual Interest and SREC Contract Drop Down — </w:t>
      </w:r>
      <w:r>
        <w:rPr>
          <w:rFonts w:ascii="Arial" w:cs="Arial" w:eastAsia="Arial" w:hAnsi="Arial"/>
          <w:sz w:val="16"/>
          <w:szCs w:val="16"/>
          <w:color w:val="auto"/>
        </w:rPr>
        <w:t>On November 2, 2020, the Company acquired the Class B membership interests in DGPV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Holdco 1, DGPV Holdco 2 and DGPV Holdco 3, or DGPV Holdco Entities, from Renew DG Holdings LLC, a subsidiary of CEG, for approximately $20 million in cash consideration and an SREC contract for approximately $24 million in cash consideration. The Company previously held the Class A membership interests in the DGPV Holdco Entities and accounted for its interests in DGPV Holdco 1 and DGPV Holdco 2 as equity method investments, while DGPV Holdco 3 was consolidated by the Company effective May 29, 2020 as further described in Note 5, </w:t>
      </w:r>
      <w:r>
        <w:rPr>
          <w:rFonts w:ascii="Arial" w:cs="Arial" w:eastAsia="Arial" w:hAnsi="Arial"/>
          <w:sz w:val="16"/>
          <w:szCs w:val="16"/>
          <w:i w:val="1"/>
          <w:iCs w:val="1"/>
          <w:color w:val="auto"/>
        </w:rPr>
        <w:t>Investments Accounted for by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Variable Interest Entities</w:t>
      </w:r>
      <w:r>
        <w:rPr>
          <w:rFonts w:ascii="Arial" w:cs="Arial" w:eastAsia="Arial" w:hAnsi="Arial"/>
          <w:sz w:val="16"/>
          <w:szCs w:val="16"/>
          <w:color w:val="auto"/>
        </w:rPr>
        <w:t>. Subsequent to the acquisition of the remaining interests in the DGPV Holdco Entities, the Company transferred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interests to DG-CS Master Borrower LLC, and issued debt that was utilized to repay existing project-level debt outstanding and unwind interest rate swaps for certain of the tax equity arrangements related to the underlying project funds, as further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The acquired SREC contract is a contract to receive incremental cash flows related to renewable energy credits from certain underlying solar projects. The membership interests acquired by the Company relate to interests under common control by GIP and were recorded at historical cost, which reflects GIP's basis recorded at fair value. The difference between the cash paid for the residual interest of the DGPV Holdco Entities and the historical value of the net assets consolidated less the carrying value of the equity method investments was recorded as an adjustment to contributed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3" w:name="page114"/>
    <w:bookmarkEnd w:id="113"/>
    <w:p>
      <w:pPr>
        <w:ind w:left="420"/>
        <w:spacing w:after="0"/>
        <w:rPr>
          <w:sz w:val="20"/>
          <w:szCs w:val="20"/>
          <w:color w:val="auto"/>
        </w:rPr>
      </w:pPr>
      <w:r>
        <w:rPr>
          <w:rFonts w:ascii="Arial" w:cs="Arial" w:eastAsia="Arial" w:hAnsi="Arial"/>
          <w:sz w:val="18"/>
          <w:szCs w:val="18"/>
          <w:color w:val="auto"/>
        </w:rPr>
        <w:t>The following table shows the balances that were consolidated: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940" w:type="dxa"/>
            <w:vAlign w:val="bottom"/>
          </w:tcPr>
          <w:p>
            <w:pPr>
              <w:jc w:val="right"/>
              <w:ind w:right="139"/>
              <w:spacing w:after="0"/>
              <w:rPr>
                <w:sz w:val="20"/>
                <w:szCs w:val="20"/>
                <w:color w:val="auto"/>
              </w:rPr>
            </w:pPr>
            <w:r>
              <w:rPr>
                <w:rFonts w:ascii="Arial" w:cs="Arial" w:eastAsia="Arial" w:hAnsi="Arial"/>
                <w:sz w:val="14"/>
                <w:szCs w:val="14"/>
                <w:b w:val="1"/>
                <w:bCs w:val="1"/>
                <w:color w:val="auto"/>
              </w:rPr>
              <w:t>November 2, 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jc w:val="right"/>
              <w:ind w:right="653"/>
              <w:spacing w:after="0"/>
              <w:rPr>
                <w:sz w:val="20"/>
                <w:szCs w:val="20"/>
                <w:color w:val="auto"/>
              </w:rPr>
            </w:pPr>
            <w:r>
              <w:rPr>
                <w:rFonts w:ascii="Arial" w:cs="Arial" w:eastAsia="Arial" w:hAnsi="Arial"/>
                <w:sz w:val="14"/>
                <w:szCs w:val="14"/>
                <w:b w:val="1"/>
                <w:bCs w:val="1"/>
                <w:color w:val="auto"/>
              </w:rPr>
              <w:t>May 29, 2020</w:t>
            </w:r>
          </w:p>
        </w:tc>
      </w:tr>
      <w:tr>
        <w:trPr>
          <w:trHeight w:val="20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4"/>
                <w:szCs w:val="14"/>
                <w:b w:val="1"/>
                <w:bCs w:val="1"/>
                <w:color w:val="auto"/>
              </w:rPr>
              <w:t xml:space="preserve">DGPV Holdco 1 and 2 </w:t>
            </w:r>
            <w:r>
              <w:rPr>
                <w:rFonts w:ascii="Arial" w:cs="Arial" w:eastAsia="Arial" w:hAnsi="Arial"/>
                <w:sz w:val="18"/>
                <w:szCs w:val="18"/>
                <w:b w:val="1"/>
                <w:bCs w:val="1"/>
                <w:color w:val="auto"/>
                <w:vertAlign w:val="superscript"/>
              </w:rPr>
              <w:t>(a)</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493"/>
              <w:spacing w:after="0" w:line="201" w:lineRule="exact"/>
              <w:rPr>
                <w:sz w:val="20"/>
                <w:szCs w:val="20"/>
                <w:color w:val="auto"/>
              </w:rPr>
            </w:pPr>
            <w:r>
              <w:rPr>
                <w:rFonts w:ascii="Arial" w:cs="Arial" w:eastAsia="Arial" w:hAnsi="Arial"/>
                <w:sz w:val="14"/>
                <w:szCs w:val="14"/>
                <w:b w:val="1"/>
                <w:bCs w:val="1"/>
                <w:color w:val="auto"/>
              </w:rPr>
              <w:t xml:space="preserve">DGPV Holdco 3 </w:t>
            </w:r>
            <w:r>
              <w:rPr>
                <w:rFonts w:ascii="Arial" w:cs="Arial" w:eastAsia="Arial" w:hAnsi="Arial"/>
                <w:sz w:val="18"/>
                <w:szCs w:val="18"/>
                <w:b w:val="1"/>
                <w:bCs w:val="1"/>
                <w:color w:val="auto"/>
                <w:vertAlign w:val="superscript"/>
              </w:rPr>
              <w:t>(b)</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940" w:type="dxa"/>
            <w:vAlign w:val="bottom"/>
            <w:shd w:val="clear" w:color="auto" w:fill="CCEEFF"/>
          </w:tcPr>
          <w:p>
            <w:pPr>
              <w:jc w:val="right"/>
              <w:ind w:right="173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50"/>
        </w:trPr>
        <w:tc>
          <w:tcPr>
            <w:tcW w:w="6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1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and redeemable noncontrolling interests</w:t>
            </w:r>
          </w:p>
        </w:tc>
        <w:tc>
          <w:tcPr>
            <w:tcW w:w="1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less noncontrolling interests</w:t>
            </w:r>
          </w:p>
        </w:tc>
        <w:tc>
          <w:tcPr>
            <w:tcW w:w="1940" w:type="dxa"/>
            <w:vAlign w:val="bottom"/>
            <w:tcBorders>
              <w:bottom w:val="single" w:sz="8" w:color="auto"/>
            </w:tcBorders>
            <w:shd w:val="clear" w:color="auto" w:fill="CCEEFF"/>
          </w:tcPr>
          <w:p>
            <w:pPr>
              <w:jc w:val="right"/>
              <w:ind w:right="17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21"/>
          <w:szCs w:val="21"/>
          <w:color w:val="auto"/>
          <w:vertAlign w:val="superscript"/>
        </w:rPr>
      </w:pPr>
      <w:r>
        <w:rPr>
          <w:rFonts w:ascii="Arial" w:cs="Arial" w:eastAsia="Arial" w:hAnsi="Arial"/>
          <w:sz w:val="13"/>
          <w:szCs w:val="13"/>
          <w:color w:val="auto"/>
        </w:rPr>
        <w:t>Includes DGPV 1, LLC, DGPV 2, LLC, CA Fund, LLC, DGPV 4 Borrower LLC and Puma Class B LLC</w:t>
      </w:r>
    </w:p>
    <w:p>
      <w:pPr>
        <w:spacing w:after="0" w:line="45" w:lineRule="exact"/>
        <w:rPr>
          <w:rFonts w:ascii="Arial" w:cs="Arial" w:eastAsia="Arial" w:hAnsi="Arial"/>
          <w:sz w:val="21"/>
          <w:szCs w:val="21"/>
          <w:color w:val="auto"/>
          <w:vertAlign w:val="superscript"/>
        </w:rPr>
      </w:pPr>
    </w:p>
    <w:p>
      <w:pPr>
        <w:ind w:left="180" w:hanging="172"/>
        <w:spacing w:after="0" w:line="186" w:lineRule="auto"/>
        <w:tabs>
          <w:tab w:leader="none" w:pos="18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Includes Renew Solar CS4 Fund LLC and Chestnut Fund LLC</w:t>
      </w:r>
    </w:p>
    <w:p>
      <w:pPr>
        <w:spacing w:after="0" w:line="14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property, plant and equipment determined at GIP's acquisition date was determined primarily based on an income method using discounted cash flows and validated using a cost approach based on the replacement cost of the assets less economic depreciation. This methodology was utilized as the forecasted cash flows incorporate specific attributes of each asset including age, useful life, equipment condition and technology. The fair value of intangible assets was determined utilizing a variation of the income approach determined by discounting incremental cash flows associated with the contracts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1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b w:val="1"/>
          <w:bCs w:val="1"/>
          <w:i w:val="1"/>
          <w:iCs w:val="1"/>
          <w:color w:val="auto"/>
        </w:rPr>
        <w:t xml:space="preserve">Duquesne University District Energy System Acquisition </w:t>
      </w:r>
      <w:r>
        <w:rPr>
          <w:rFonts w:ascii="Arial" w:cs="Arial" w:eastAsia="Arial" w:hAnsi="Arial"/>
          <w:sz w:val="17"/>
          <w:szCs w:val="17"/>
          <w:color w:val="auto"/>
        </w:rPr>
        <w:t>— On May 1, 2019, the Company, through its indirect subsidiary ECP Uptown Campus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acquired the Duquesne University district energy system, totaling 87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Duquesne University District Energy System operations are reflected in the Company's Thermal segment. The total investment for the project was approximately $107 million.</w:t>
      </w:r>
    </w:p>
    <w:p>
      <w:pPr>
        <w:spacing w:after="0" w:line="11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Carlsbad Drop Down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December 6, 2019, the Company acquired 100% of GIP's membership interests in CBAD Holdings, LLC,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indirectly owns Carlsbad Energy Center LLC, a 527 MW natural gas fired power project located in Carlsbad, California, or the Carlsbad Drop Down Asset. The project has a 20-year power purchase and tolling agreement with San Diego Gas and Electric Company, which expires in 2038. The purchase price for the Carlsbad Drop Down was $184 million in cash, plus assumption of $803 million in project level financing including non-recourse senior notes, as further described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The acquisition was funded with proceeds from the Clearway Energy, Inc. equity issuance, as described in Note 11, </w:t>
      </w:r>
      <w:r>
        <w:rPr>
          <w:rFonts w:ascii="Arial" w:cs="Arial" w:eastAsia="Arial" w:hAnsi="Arial"/>
          <w:sz w:val="17"/>
          <w:szCs w:val="17"/>
          <w:i w:val="1"/>
          <w:iCs w:val="1"/>
          <w:color w:val="auto"/>
        </w:rPr>
        <w:t>Members' Equity</w:t>
      </w:r>
      <w:r>
        <w:rPr>
          <w:rFonts w:ascii="Arial" w:cs="Arial" w:eastAsia="Arial" w:hAnsi="Arial"/>
          <w:sz w:val="17"/>
          <w:szCs w:val="17"/>
          <w:color w:val="auto"/>
        </w:rPr>
        <w:t xml:space="preserve">, as well as borrowings from the Company's revolving credit facility. The Carlsbad acquisition is the result of the Company having elected its option to purchase Carlsbad pursuant to the ROFO agreement, as amended, by and among the Company, CEG and GIP. The Carlsbad operations are reflected in the Company's Conventional segment. The assets and liabilities transferred to the Company relate to interests under common control by GIP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the historical value of the entities' equity was recorded as a distribution to GIP and decreased the balance of contributed capital. The acquisition was determined to be an asset acquisition and not a business combination, therefore the Company consolidated the financial information for Carlsbad on a prospective basis.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6,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4" w:name="page115"/>
    <w:bookmarkEnd w:id="114"/>
    <w:tbl>
      <w:tblPr>
        <w:tblLayout w:type="fixed"/>
        <w:tblInd w:w="4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420" w:type="dxa"/>
            <w:vAlign w:val="bottom"/>
          </w:tcPr>
          <w:p>
            <w:pPr>
              <w:spacing w:after="0"/>
              <w:rPr>
                <w:sz w:val="20"/>
                <w:szCs w:val="20"/>
                <w:color w:val="auto"/>
              </w:rPr>
            </w:pPr>
          </w:p>
        </w:tc>
        <w:tc>
          <w:tcPr>
            <w:tcW w:w="2400" w:type="dxa"/>
            <w:vAlign w:val="bottom"/>
          </w:tcPr>
          <w:p>
            <w:pPr>
              <w:jc w:val="right"/>
              <w:ind w:right="632"/>
              <w:spacing w:after="0"/>
              <w:rPr>
                <w:sz w:val="20"/>
                <w:szCs w:val="20"/>
                <w:color w:val="auto"/>
              </w:rPr>
            </w:pPr>
            <w:r>
              <w:rPr>
                <w:rFonts w:ascii="Arial" w:cs="Arial" w:eastAsia="Arial" w:hAnsi="Arial"/>
                <w:sz w:val="14"/>
                <w:szCs w:val="14"/>
                <w:b w:val="1"/>
                <w:bCs w:val="1"/>
                <w:color w:val="auto"/>
              </w:rPr>
              <w:t>CBAD Holdings, LLC</w:t>
            </w: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4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50"/>
        </w:trPr>
        <w:tc>
          <w:tcPr>
            <w:tcW w:w="8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29"/>
        </w:trPr>
        <w:tc>
          <w:tcPr>
            <w:tcW w:w="83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(a)</w:t>
            </w:r>
          </w:p>
        </w:tc>
        <w:tc>
          <w:tcPr>
            <w:tcW w:w="4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30"/>
        </w:trPr>
        <w:tc>
          <w:tcPr>
            <w:tcW w:w="8360" w:type="dxa"/>
            <w:vAlign w:val="bottom"/>
            <w:tcBorders>
              <w:bottom w:val="single" w:sz="8" w:color="CCEEFF"/>
            </w:tcBorders>
          </w:tcPr>
          <w:p>
            <w:pPr>
              <w:ind w:left="120"/>
              <w:spacing w:after="0" w:line="230" w:lineRule="exact"/>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3"/>
                <w:szCs w:val="23"/>
                <w:color w:val="auto"/>
                <w:vertAlign w:val="superscript"/>
              </w:rPr>
              <w:t>(b)</w:t>
            </w:r>
          </w:p>
        </w:tc>
        <w:tc>
          <w:tcPr>
            <w:tcW w:w="4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23"/>
        </w:trPr>
        <w:tc>
          <w:tcPr>
            <w:tcW w:w="8360" w:type="dxa"/>
            <w:vAlign w:val="bottom"/>
          </w:tcPr>
          <w:p>
            <w:pPr>
              <w:ind w:left="12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Excludes net debt issuance costs of $12 million.</w:t>
      </w:r>
    </w:p>
    <w:p>
      <w:pPr>
        <w:spacing w:after="0" w:line="57" w:lineRule="exact"/>
        <w:rPr>
          <w:rFonts w:ascii="Arial" w:cs="Arial" w:eastAsia="Arial" w:hAnsi="Arial"/>
          <w:sz w:val="18"/>
          <w:szCs w:val="18"/>
          <w:color w:val="auto"/>
          <w:vertAlign w:val="superscript"/>
        </w:rPr>
      </w:pPr>
    </w:p>
    <w:p>
      <w:pPr>
        <w:ind w:left="140" w:hanging="132"/>
        <w:spacing w:after="0" w:line="224" w:lineRule="auto"/>
        <w:tabs>
          <w:tab w:leader="none" w:pos="140" w:val="left"/>
        </w:tabs>
        <w:numPr>
          <w:ilvl w:val="0"/>
          <w:numId w:val="62"/>
        </w:numPr>
        <w:rPr>
          <w:rFonts w:ascii="Arial" w:cs="Arial" w:eastAsia="Arial" w:hAnsi="Arial"/>
          <w:sz w:val="16"/>
          <w:szCs w:val="16"/>
          <w:color w:val="auto"/>
          <w:vertAlign w:val="superscript"/>
        </w:rPr>
      </w:pPr>
      <w:r>
        <w:rPr>
          <w:rFonts w:ascii="Arial" w:cs="Arial" w:eastAsia="Arial" w:hAnsi="Arial"/>
          <w:sz w:val="12"/>
          <w:szCs w:val="12"/>
          <w:color w:val="auto"/>
        </w:rPr>
        <w:t>Other current liabilities and non-current liabilities include a contingent liability of $5 million assumed by the Company during the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220"/>
        <w:spacing w:after="0" w:line="289" w:lineRule="auto"/>
        <w:rPr>
          <w:sz w:val="20"/>
          <w:szCs w:val="20"/>
          <w:color w:val="auto"/>
        </w:rPr>
      </w:pPr>
      <w:r>
        <w:rPr>
          <w:rFonts w:ascii="Arial" w:cs="Arial" w:eastAsia="Arial" w:hAnsi="Arial"/>
          <w:sz w:val="16"/>
          <w:szCs w:val="16"/>
          <w:b w:val="1"/>
          <w:bCs w:val="1"/>
          <w:i w:val="1"/>
          <w:iCs w:val="1"/>
          <w:color w:val="auto"/>
        </w:rPr>
        <w:t xml:space="preserve">UPMC Thermal Project Asset Acquisition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June 19, 2018, upon reaching substantial completion, the Company acquired from NRG the UPMC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Thermal Project for cash consideration of $84 million. In addition, the Company had a payable of $4 million to NRG as of December 31, 2018, $3 million of which was paid in January 2019 upon final completion of the project pursuant to the EPC agreement, and $1 million was paid in January 2020. The project added 73 MWt of thermal equivalent capacity and 7.5 MW of emergency backup electrical capacity to the Company's portfolio. The UPMC Thermal project operations are reflected in the Company's Thermal segment. The acquisition was funded with the proceeds from the sale of the Series E and Series F Notes. The assets transferred to the Company relate to interests under common control by NRG and were recorded at book value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purchase price and book value of the assets was recorded as a distribution to NRG and decreased the balance of contributed capital. The acquisition was determined to be an asset acquisition and not a business combination, therefore the Company consolidated the financial information for UPMC Thermal project on a prospective basis.</w:t>
      </w:r>
    </w:p>
    <w:p>
      <w:pPr>
        <w:spacing w:after="0" w:line="112" w:lineRule="exact"/>
        <w:rPr>
          <w:sz w:val="20"/>
          <w:szCs w:val="20"/>
          <w:color w:val="auto"/>
        </w:rPr>
      </w:pPr>
    </w:p>
    <w:p>
      <w:pPr>
        <w:jc w:val="both"/>
        <w:ind w:firstLine="185"/>
        <w:spacing w:after="0" w:line="289" w:lineRule="auto"/>
        <w:rPr>
          <w:sz w:val="20"/>
          <w:szCs w:val="20"/>
          <w:color w:val="auto"/>
        </w:rPr>
      </w:pPr>
      <w:r>
        <w:rPr>
          <w:rFonts w:ascii="Arial" w:cs="Arial" w:eastAsia="Arial" w:hAnsi="Arial"/>
          <w:sz w:val="17"/>
          <w:szCs w:val="17"/>
          <w:b w:val="1"/>
          <w:bCs w:val="1"/>
          <w:i w:val="1"/>
          <w:iCs w:val="1"/>
          <w:color w:val="auto"/>
        </w:rPr>
        <w:t xml:space="preserve">Central CA Fuel Cell 1,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April 18, 2018, the Company acquired the Central CA Fuel Cell 1, LLC project in Tulare, California from FuelCell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Finance, Inc. for cash consideration of $11 million. The project added 2.8 MW of thermal capacity to the Company's portfolio, with a 20-year PPA contract with the City of Tulare. The operations of Central CA Fuel Cell are reflected in the Company's Thermal segment.</w:t>
      </w:r>
    </w:p>
    <w:p>
      <w:pPr>
        <w:spacing w:after="0" w:line="104" w:lineRule="exact"/>
        <w:rPr>
          <w:sz w:val="20"/>
          <w:szCs w:val="20"/>
          <w:color w:val="auto"/>
        </w:rPr>
      </w:pPr>
    </w:p>
    <w:p>
      <w:pPr>
        <w:jc w:val="both"/>
        <w:ind w:firstLine="234"/>
        <w:spacing w:after="0" w:line="269" w:lineRule="auto"/>
        <w:rPr>
          <w:sz w:val="20"/>
          <w:szCs w:val="20"/>
          <w:color w:val="auto"/>
        </w:rPr>
      </w:pPr>
      <w:r>
        <w:rPr>
          <w:rFonts w:ascii="Arial" w:cs="Arial" w:eastAsia="Arial" w:hAnsi="Arial"/>
          <w:sz w:val="17"/>
          <w:szCs w:val="17"/>
          <w:b w:val="1"/>
          <w:bCs w:val="1"/>
          <w:i w:val="1"/>
          <w:iCs w:val="1"/>
          <w:color w:val="auto"/>
        </w:rPr>
        <w:t xml:space="preserve">Buckthorn Solar Drop Down Asset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30, 2018, the Company acquired 100% of NRG's interests in Buckthorn Renewables, LLC,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owns a 154 MW construction-stage utility-scale solar generation project located in Texas, or the Buckthorn Solar Drop Down Asset, for cash consideration of $42 million. The Company also assumed non-recourse debt of $183 million and non-controlling interest of $19 million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w:t>
      </w:r>
      <w:r>
        <w:rPr>
          <w:rFonts w:ascii="Arial" w:cs="Arial" w:eastAsia="Arial" w:hAnsi="Arial"/>
          <w:sz w:val="17"/>
          <w:szCs w:val="17"/>
          <w:color w:val="auto"/>
        </w:rPr>
        <w:t>s. The difference between the cash paid and historical value of the entities' equity was recorded as a distribution to NRG and decreased the balance of contributed capital. Since the transaction constituted a transfer of net asset under common control, the guidance required retrospective combination of the entities for all periods presented as if the combination had been in effect since the inception of common control. The project sells power under a 25-year PPA to the City of Georgetown, Texas, which commenced in July 2018. The operations of the Buckthorn project are reflected in the Company's Renewables segment.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171" w:lineRule="exact"/>
        <w:rPr>
          <w:sz w:val="20"/>
          <w:szCs w:val="20"/>
          <w:color w:val="auto"/>
        </w:rPr>
      </w:pPr>
    </w:p>
    <w:p>
      <w:pPr>
        <w:ind w:right="420" w:firstLine="405"/>
        <w:spacing w:after="0" w:line="263"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to a third party for net proceeds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$75 million. The Company previously accounted for its interest in RPV Holdco 1 LLC as an equity method investment. The sale of the investment resulted in a gain of approximately $49 million.</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Clearway Thermal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100% of its interests in Energy Center Dover LLC and Energy Center Smyrna LLC to DB Energy Assets, LLC for cash proceeds of approximately $15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Dispositions</w:t>
      </w:r>
    </w:p>
    <w:p>
      <w:pPr>
        <w:spacing w:after="0" w:line="167"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i w:val="1"/>
          <w:iCs w:val="1"/>
          <w:color w:val="auto"/>
        </w:rPr>
        <w:t xml:space="preserve">Sale of HSD Solar Holdings, LLC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8, 2019, the Company, through HSD Solar Holdings, LLC, or HSD, sold 100%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in certain distributed generation solar facilities totaling 6 MW to the offtaker under the PPA, for cash consideration of $20 million, as a result of the offtaker exercising its right to purchase the project pursuant to the PPA. In conjunction with the sale, the Company repaid in full the non-recourse lease financing associated with the HSD projects. The repaid amount was net of cash released at closing and totaled $23 million.</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2019</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Depreciable Lives</w:t>
            </w:r>
          </w:p>
        </w:tc>
      </w:tr>
      <w:tr>
        <w:trPr>
          <w:trHeight w:val="187"/>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2 - 45 Years</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20" w:firstLine="8"/>
        <w:spacing w:after="0" w:line="223" w:lineRule="auto"/>
        <w:tabs>
          <w:tab w:leader="none" w:pos="181"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As of December 31, 2020 and 2019, construction in progress includes $14 million and $10 million of capital expenditures that relate to prepaid long-term service agreements in the Conventional segment, respectively.</w:t>
      </w:r>
    </w:p>
    <w:p>
      <w:pPr>
        <w:spacing w:after="0" w:line="140" w:lineRule="exact"/>
        <w:rPr>
          <w:sz w:val="20"/>
          <w:szCs w:val="20"/>
          <w:color w:val="auto"/>
        </w:rPr>
      </w:pPr>
    </w:p>
    <w:p>
      <w:pPr>
        <w:jc w:val="both"/>
        <w:ind w:firstLine="335"/>
        <w:spacing w:after="0" w:line="285" w:lineRule="auto"/>
        <w:rPr>
          <w:sz w:val="20"/>
          <w:szCs w:val="20"/>
          <w:color w:val="auto"/>
        </w:rPr>
      </w:pPr>
      <w:r>
        <w:rPr>
          <w:rFonts w:ascii="Arial" w:cs="Arial" w:eastAsia="Arial" w:hAnsi="Arial"/>
          <w:sz w:val="17"/>
          <w:szCs w:val="17"/>
          <w:color w:val="auto"/>
        </w:rPr>
        <w:t xml:space="preserve">Depreciation expense related to property, plant and equipment during the years ended December 31, 2020, 2019 and 2018 was $420 million, $395 million and $330 million, respectively. The Company accelerated depreciation of </w:t>
      </w:r>
      <w:r>
        <w:rPr>
          <w:rFonts w:ascii="Arial" w:cs="Arial" w:eastAsia="Arial" w:hAnsi="Arial"/>
          <w:sz w:val="16"/>
          <w:szCs w:val="16"/>
          <w:color w:val="auto"/>
        </w:rPr>
        <w:t>the Pinnacle wind project in connection with the repowering project in</w:t>
      </w:r>
      <w:r>
        <w:rPr>
          <w:rFonts w:ascii="Arial" w:cs="Arial" w:eastAsia="Arial" w:hAnsi="Arial"/>
          <w:sz w:val="17"/>
          <w:szCs w:val="17"/>
          <w:color w:val="auto"/>
        </w:rPr>
        <w:t xml:space="preserve"> </w:t>
      </w:r>
      <w:r>
        <w:rPr>
          <w:rFonts w:ascii="Arial" w:cs="Arial" w:eastAsia="Arial" w:hAnsi="Arial"/>
          <w:sz w:val="16"/>
          <w:szCs w:val="16"/>
          <w:color w:val="auto"/>
        </w:rPr>
        <w:t xml:space="preserve">2020, which resulted in additional depreciation expense in the amount of $9 million. The Company accelerated depreciation of the Wildorado Wind and Elbow Creek projects in connection with the repowering project in 2019, which resulted in additional depreciation expense in the amount of </w:t>
      </w:r>
      <w:r>
        <w:rPr>
          <w:rFonts w:ascii="Arial" w:cs="Arial" w:eastAsia="Arial" w:hAnsi="Arial"/>
          <w:sz w:val="15"/>
          <w:szCs w:val="15"/>
          <w:color w:val="auto"/>
        </w:rPr>
        <w:t>$54 million</w:t>
      </w:r>
      <w:r>
        <w:rPr>
          <w:rFonts w:ascii="Arial" w:cs="Arial" w:eastAsia="Arial" w:hAnsi="Arial"/>
          <w:sz w:val="16"/>
          <w:szCs w:val="16"/>
          <w:color w:val="auto"/>
        </w:rPr>
        <w:t>.</w:t>
      </w:r>
    </w:p>
    <w:p>
      <w:pPr>
        <w:spacing w:after="0" w:line="11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 xml:space="preserve">The Company recorded long-lived asset impairments during the year ended December 31, 2020 and December 31, 2019, as further described in Note 9, </w:t>
      </w:r>
      <w:r>
        <w:rPr>
          <w:rFonts w:ascii="Arial" w:cs="Arial" w:eastAsia="Arial" w:hAnsi="Arial"/>
          <w:sz w:val="18"/>
          <w:szCs w:val="18"/>
          <w:i w:val="1"/>
          <w:iCs w:val="1"/>
          <w:color w:val="auto"/>
        </w:rPr>
        <w:t>Asset Impairments.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6" w:name="page117"/>
    <w:bookmarkEnd w:id="116"/>
    <w:p>
      <w:pPr>
        <w:ind w:right="4360"/>
        <w:spacing w:after="0" w:line="440" w:lineRule="auto"/>
        <w:rPr>
          <w:sz w:val="20"/>
          <w:szCs w:val="20"/>
          <w:color w:val="auto"/>
        </w:rPr>
      </w:pPr>
      <w:r>
        <w:rPr>
          <w:rFonts w:ascii="Arial" w:cs="Arial" w:eastAsia="Arial" w:hAnsi="Arial"/>
          <w:sz w:val="18"/>
          <w:szCs w:val="18"/>
          <w:b w:val="1"/>
          <w:bCs w:val="1"/>
          <w:color w:val="auto"/>
        </w:rPr>
        <w:t>Note 5 — Investments Accounted for by the Equity Method and Variable Interest Entities Equity Method Investments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Company's maximum exposure to loss as of December 31, 2020 is limited to its equity investment in the unconsolidated entities, as further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gridSpan w:val="2"/>
          </w:tcPr>
          <w:p>
            <w:pPr>
              <w:ind w:left="2680"/>
              <w:spacing w:after="0"/>
              <w:rPr>
                <w:sz w:val="20"/>
                <w:szCs w:val="20"/>
                <w:color w:val="auto"/>
              </w:rPr>
            </w:pPr>
            <w:r>
              <w:rPr>
                <w:rFonts w:ascii="Arial" w:cs="Arial" w:eastAsia="Arial" w:hAnsi="Arial"/>
                <w:sz w:val="16"/>
                <w:szCs w:val="16"/>
                <w:b w:val="1"/>
                <w:bCs w:val="1"/>
                <w:color w:val="auto"/>
              </w:rPr>
              <w:t>Name</w:t>
            </w:r>
          </w:p>
        </w:tc>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Economic Interest</w:t>
            </w:r>
          </w:p>
        </w:tc>
        <w:tc>
          <w:tcPr>
            <w:tcW w:w="320" w:type="dxa"/>
            <w:vAlign w:val="bottom"/>
          </w:tcPr>
          <w:p>
            <w:pPr>
              <w:spacing w:after="0"/>
              <w:rPr>
                <w:sz w:val="18"/>
                <w:szCs w:val="18"/>
                <w:color w:val="auto"/>
              </w:rPr>
            </w:pPr>
          </w:p>
        </w:tc>
        <w:tc>
          <w:tcPr>
            <w:tcW w:w="2100" w:type="dxa"/>
            <w:vAlign w:val="bottom"/>
          </w:tcPr>
          <w:p>
            <w:pPr>
              <w:jc w:val="right"/>
              <w:ind w:right="452"/>
              <w:spacing w:after="0"/>
              <w:rPr>
                <w:sz w:val="20"/>
                <w:szCs w:val="20"/>
                <w:color w:val="auto"/>
              </w:rPr>
            </w:pPr>
            <w:r>
              <w:rPr>
                <w:rFonts w:ascii="Arial" w:cs="Arial" w:eastAsia="Arial" w:hAnsi="Arial"/>
                <w:sz w:val="16"/>
                <w:szCs w:val="16"/>
                <w:b w:val="1"/>
                <w:bCs w:val="1"/>
                <w:color w:val="auto"/>
              </w:rPr>
              <w:t>Investment Balance</w:t>
            </w:r>
          </w:p>
        </w:tc>
      </w:tr>
      <w:tr>
        <w:trPr>
          <w:trHeight w:val="210"/>
        </w:trPr>
        <w:tc>
          <w:tcPr>
            <w:tcW w:w="5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5860" w:type="dxa"/>
            <w:vAlign w:val="bottom"/>
            <w:gridSpan w:val="2"/>
            <w:shd w:val="clear" w:color="auto" w:fill="CCEEFF"/>
          </w:tcPr>
          <w:p>
            <w:pPr>
              <w:ind w:left="140"/>
              <w:spacing w:after="0" w:line="232" w:lineRule="exact"/>
              <w:rPr>
                <w:sz w:val="20"/>
                <w:szCs w:val="20"/>
                <w:color w:val="auto"/>
              </w:rPr>
            </w:pPr>
            <w:r>
              <w:rPr>
                <w:rFonts w:ascii="Arial" w:cs="Arial" w:eastAsia="Arial" w:hAnsi="Arial"/>
                <w:sz w:val="18"/>
                <w:szCs w:val="18"/>
                <w:color w:val="auto"/>
              </w:rPr>
              <w:t xml:space="preserve">Utah Solar Portfolio </w:t>
            </w:r>
            <w:r>
              <w:rPr>
                <w:rFonts w:ascii="Arial" w:cs="Arial" w:eastAsia="Arial" w:hAnsi="Arial"/>
                <w:sz w:val="23"/>
                <w:szCs w:val="23"/>
                <w:color w:val="auto"/>
                <w:vertAlign w:val="superscript"/>
              </w:rPr>
              <w:t>(a)</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Desert Sunlight</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58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Agua Caliente Solar</w:t>
            </w:r>
            <w:r>
              <w:rPr>
                <w:rFonts w:ascii="Arial" w:cs="Arial" w:eastAsia="Arial" w:hAnsi="Arial"/>
                <w:sz w:val="23"/>
                <w:szCs w:val="23"/>
                <w:color w:val="auto"/>
                <w:vertAlign w:val="superscript"/>
              </w:rPr>
              <w:t>(b)</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8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GenConn</w:t>
            </w:r>
            <w:r>
              <w:rPr>
                <w:rFonts w:ascii="Arial" w:cs="Arial" w:eastAsia="Arial" w:hAnsi="Arial"/>
                <w:sz w:val="23"/>
                <w:szCs w:val="23"/>
                <w:color w:val="auto"/>
                <w:vertAlign w:val="superscript"/>
              </w:rPr>
              <w:t>(c)</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San Juan Mesa</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Elkhorn Ridge</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66.7%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Avenal</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1"/>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308610</wp:posOffset>
            </wp:positionV>
            <wp:extent cx="13627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80" w:right="640" w:hanging="10"/>
        <w:spacing w:after="0"/>
        <w:tabs>
          <w:tab w:leader="none" w:pos="324" w:val="left"/>
        </w:tabs>
        <w:numPr>
          <w:ilvl w:val="0"/>
          <w:numId w:val="64"/>
        </w:numPr>
        <w:rPr>
          <w:rFonts w:ascii="Arial" w:cs="Arial" w:eastAsia="Arial" w:hAnsi="Arial"/>
          <w:sz w:val="9"/>
          <w:szCs w:val="9"/>
          <w:color w:val="auto"/>
        </w:rPr>
      </w:pPr>
      <w:r>
        <w:rPr>
          <w:rFonts w:ascii="Arial" w:cs="Arial" w:eastAsia="Arial" w:hAnsi="Arial"/>
          <w:sz w:val="16"/>
          <w:szCs w:val="16"/>
          <w:color w:val="auto"/>
        </w:rPr>
        <w:t>Economic interest based on cash to be distributed. Four Brothers Solar, LLC, Granite Mountain Holdings, LLC and Iron Springs Holdings, LLC are tax equity structures and VIEs. The related allocations are described below.</w:t>
      </w:r>
    </w:p>
    <w:p>
      <w:pPr>
        <w:spacing w:after="0" w:line="10" w:lineRule="exact"/>
        <w:rPr>
          <w:rFonts w:ascii="Arial" w:cs="Arial" w:eastAsia="Arial" w:hAnsi="Arial"/>
          <w:sz w:val="9"/>
          <w:szCs w:val="9"/>
          <w:color w:val="auto"/>
        </w:rPr>
      </w:pPr>
    </w:p>
    <w:p>
      <w:pPr>
        <w:ind w:left="180" w:right="420" w:hanging="10"/>
        <w:spacing w:after="0" w:line="207" w:lineRule="auto"/>
        <w:tabs>
          <w:tab w:leader="none" w:pos="343" w:val="left"/>
        </w:tabs>
        <w:numPr>
          <w:ilvl w:val="0"/>
          <w:numId w:val="64"/>
        </w:numPr>
        <w:rPr>
          <w:rFonts w:ascii="Arial" w:cs="Arial" w:eastAsia="Arial" w:hAnsi="Arial"/>
          <w:sz w:val="21"/>
          <w:szCs w:val="21"/>
          <w:color w:val="auto"/>
          <w:vertAlign w:val="superscript"/>
        </w:rPr>
      </w:pPr>
      <w:r>
        <w:rPr>
          <w:rFonts w:ascii="Arial" w:cs="Arial" w:eastAsia="Arial" w:hAnsi="Arial"/>
          <w:sz w:val="16"/>
          <w:szCs w:val="16"/>
          <w:color w:val="auto"/>
        </w:rPr>
        <w:t>On February 3, 2021, the Company acquired an additional 35% equity interest in Agua Caliente Solar and following the close of the transaction owns 51% equity interests in Agua Caliente and will remove its equity method investment and consolidate its interest from the date of the acquisition.</w:t>
      </w:r>
    </w:p>
    <w:p>
      <w:pPr>
        <w:spacing w:after="0" w:line="12" w:lineRule="exact"/>
        <w:rPr>
          <w:rFonts w:ascii="Arial" w:cs="Arial" w:eastAsia="Arial" w:hAnsi="Arial"/>
          <w:sz w:val="21"/>
          <w:szCs w:val="21"/>
          <w:color w:val="auto"/>
          <w:vertAlign w:val="superscript"/>
        </w:rPr>
      </w:pPr>
    </w:p>
    <w:p>
      <w:pPr>
        <w:ind w:left="320" w:hanging="150"/>
        <w:spacing w:after="0"/>
        <w:tabs>
          <w:tab w:leader="none" w:pos="32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GenConn is a variable interest entity.</w:t>
      </w:r>
    </w:p>
    <w:p>
      <w:pPr>
        <w:spacing w:after="0" w:line="140" w:lineRule="exact"/>
        <w:rPr>
          <w:sz w:val="20"/>
          <w:szCs w:val="20"/>
          <w:color w:val="auto"/>
        </w:rPr>
      </w:pPr>
    </w:p>
    <w:p>
      <w:pPr>
        <w:jc w:val="both"/>
        <w:ind w:firstLine="247"/>
        <w:spacing w:after="0" w:line="277" w:lineRule="auto"/>
        <w:rPr>
          <w:sz w:val="20"/>
          <w:szCs w:val="20"/>
          <w:color w:val="auto"/>
        </w:rPr>
      </w:pPr>
      <w:r>
        <w:rPr>
          <w:rFonts w:ascii="Arial" w:cs="Arial" w:eastAsia="Arial" w:hAnsi="Arial"/>
          <w:sz w:val="18"/>
          <w:szCs w:val="18"/>
          <w:color w:val="auto"/>
        </w:rPr>
        <w:t>As of December 31, 2020 and 2019, the Company had $10 million and $138 million respectively, of undistributed earnings from its equity method investments.</w:t>
      </w:r>
    </w:p>
    <w:p>
      <w:pPr>
        <w:spacing w:after="0" w:line="116" w:lineRule="exact"/>
        <w:rPr>
          <w:sz w:val="20"/>
          <w:szCs w:val="20"/>
          <w:color w:val="auto"/>
        </w:rPr>
      </w:pPr>
    </w:p>
    <w:p>
      <w:pPr>
        <w:jc w:val="both"/>
        <w:ind w:firstLine="198"/>
        <w:spacing w:after="0" w:line="255" w:lineRule="auto"/>
        <w:rPr>
          <w:sz w:val="20"/>
          <w:szCs w:val="20"/>
          <w:color w:val="auto"/>
        </w:rPr>
      </w:pPr>
      <w:r>
        <w:rPr>
          <w:rFonts w:ascii="Arial" w:cs="Arial" w:eastAsia="Arial" w:hAnsi="Arial"/>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 The Company is amortizing the related basis differences to equity in earnings over the related useful life of the underlying assets acquired.</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pro-rata share of non-recourse debt held by unconsolidated affiliates was $481 million as of December 31,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7" w:name="page118"/>
    <w:bookmarkEnd w:id="117"/>
    <w:p>
      <w:pPr>
        <w:ind w:left="160"/>
        <w:spacing w:after="0"/>
        <w:rPr>
          <w:sz w:val="20"/>
          <w:szCs w:val="20"/>
          <w:color w:val="auto"/>
        </w:rPr>
      </w:pPr>
      <w:r>
        <w:rPr>
          <w:rFonts w:ascii="Arial" w:cs="Arial" w:eastAsia="Arial" w:hAnsi="Arial"/>
          <w:sz w:val="18"/>
          <w:szCs w:val="18"/>
          <w:color w:val="auto"/>
        </w:rPr>
        <w:t>The following tables present summarized financial information for the Company's equity method investments:</w:t>
      </w:r>
    </w:p>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10"/>
        </w:trPr>
        <w:tc>
          <w:tcPr>
            <w:tcW w:w="5760" w:type="dxa"/>
            <w:vAlign w:val="bottom"/>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215"/>
        </w:trPr>
        <w:tc>
          <w:tcPr>
            <w:tcW w:w="5760" w:type="dxa"/>
            <w:vAlign w:val="bottom"/>
          </w:tcPr>
          <w:p>
            <w:pPr>
              <w:spacing w:after="0"/>
              <w:rPr>
                <w:sz w:val="20"/>
                <w:szCs w:val="20"/>
                <w:color w:val="auto"/>
              </w:rPr>
            </w:pPr>
            <w:r>
              <w:rPr>
                <w:rFonts w:ascii="Arial" w:cs="Arial" w:eastAsia="Arial" w:hAnsi="Arial"/>
                <w:sz w:val="17"/>
                <w:szCs w:val="17"/>
                <w:b w:val="1"/>
                <w:bCs w:val="1"/>
                <w:color w:val="auto"/>
              </w:rPr>
              <w:t>Income Statement Data:</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7"/>
                <w:szCs w:val="17"/>
                <w:b w:val="1"/>
                <w:bCs w:val="1"/>
                <w:color w:val="auto"/>
              </w:rPr>
              <w:t>(In millions)</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GenConn</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Operating revenues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Net income</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Desert Sunlight</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Operating revenues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205</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Net income</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576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(a)</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Operating revenues</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318</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108"/>
        </w:trPr>
        <w:tc>
          <w:tcPr>
            <w:tcW w:w="57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960" w:type="dxa"/>
            <w:vAlign w:val="bottom"/>
            <w:gridSpan w:val="3"/>
            <w:shd w:val="clear" w:color="auto" w:fill="CCEEFF"/>
          </w:tcPr>
          <w:p>
            <w:pPr>
              <w:spacing w:after="0"/>
              <w:rPr>
                <w:sz w:val="9"/>
                <w:szCs w:val="9"/>
                <w:color w:val="auto"/>
              </w:rPr>
            </w:pPr>
          </w:p>
        </w:tc>
      </w:tr>
      <w:tr>
        <w:trPr>
          <w:trHeight w:val="216"/>
        </w:trPr>
        <w:tc>
          <w:tcPr>
            <w:tcW w:w="5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7"/>
                <w:szCs w:val="17"/>
                <w:b w:val="1"/>
                <w:bCs w:val="1"/>
                <w:color w:val="auto"/>
              </w:rPr>
              <w:t>As of December 31,</w:t>
            </w:r>
          </w:p>
        </w:tc>
      </w:tr>
      <w:tr>
        <w:trPr>
          <w:trHeight w:val="209"/>
        </w:trPr>
        <w:tc>
          <w:tcPr>
            <w:tcW w:w="5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7"/>
                <w:szCs w:val="17"/>
                <w:b w:val="1"/>
                <w:bCs w:val="1"/>
                <w:color w:val="auto"/>
              </w:rPr>
              <w:t>2019</w:t>
            </w:r>
          </w:p>
        </w:tc>
      </w:tr>
      <w:tr>
        <w:trPr>
          <w:trHeight w:val="210"/>
        </w:trPr>
        <w:tc>
          <w:tcPr>
            <w:tcW w:w="5760" w:type="dxa"/>
            <w:vAlign w:val="bottom"/>
          </w:tcPr>
          <w:p>
            <w:pPr>
              <w:spacing w:after="0"/>
              <w:rPr>
                <w:sz w:val="20"/>
                <w:szCs w:val="20"/>
                <w:color w:val="auto"/>
              </w:rPr>
            </w:pPr>
            <w:r>
              <w:rPr>
                <w:rFonts w:ascii="Arial" w:cs="Arial" w:eastAsia="Arial" w:hAnsi="Arial"/>
                <w:sz w:val="17"/>
                <w:szCs w:val="17"/>
                <w:b w:val="1"/>
                <w:bCs w:val="1"/>
                <w:color w:val="auto"/>
              </w:rPr>
              <w:t>Balance Sheet Data:</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7"/>
                <w:szCs w:val="17"/>
                <w:b w:val="1"/>
                <w:bCs w:val="1"/>
                <w:color w:val="auto"/>
              </w:rPr>
              <w:t>(In millions)</w:t>
            </w:r>
          </w:p>
        </w:tc>
        <w:tc>
          <w:tcPr>
            <w:tcW w:w="10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GenConn</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Current assets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Non-current assets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344</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Current liabilities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Non-current liabilities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5760" w:type="dxa"/>
            <w:vAlign w:val="bottom"/>
          </w:tcPr>
          <w:p>
            <w:pPr>
              <w:spacing w:after="0"/>
              <w:rPr>
                <w:sz w:val="20"/>
                <w:szCs w:val="20"/>
                <w:color w:val="auto"/>
              </w:rPr>
            </w:pPr>
            <w:r>
              <w:rPr>
                <w:rFonts w:ascii="Arial" w:cs="Arial" w:eastAsia="Arial" w:hAnsi="Arial"/>
                <w:sz w:val="17"/>
                <w:szCs w:val="17"/>
                <w:b w:val="1"/>
                <w:bCs w:val="1"/>
                <w:color w:val="auto"/>
              </w:rPr>
              <w:t>Desert Sunlight</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Non-current assets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1,244</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Non-current liabilities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921</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6"/>
        </w:trPr>
        <w:tc>
          <w:tcPr>
            <w:tcW w:w="576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177</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2,201</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809</w:t>
            </w: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700</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299720</wp:posOffset>
            </wp:positionV>
            <wp:extent cx="13284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both"/>
        <w:ind w:firstLine="396"/>
        <w:spacing w:after="0"/>
        <w:tabs>
          <w:tab w:leader="none" w:pos="548"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Includes Agua Caliente, Elkhorn Ridge, Utah Solar Portfolio, San Juan Mesa, DGPV Holdco 1, DGPV Holdco 2 and DGPV Holdco 3. DGPV Holdco 1, DGPV Holdco 2 and DGPV Holdco 3. were consolidated by the Company during 2020 and are therefore excluded from the summarized balance sheet data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580" w:top="895" w:right="3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has a controlling financial interest in certain entities which have been identified as VIEs under ASC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or ASC</w:t>
      </w:r>
    </w:p>
    <w:p>
      <w:pPr>
        <w:spacing w:after="0" w:line="46" w:lineRule="exact"/>
        <w:rPr>
          <w:sz w:val="20"/>
          <w:szCs w:val="20"/>
          <w:color w:val="auto"/>
        </w:rPr>
      </w:pPr>
    </w:p>
    <w:p>
      <w:pPr>
        <w:ind w:firstLine="8"/>
        <w:spacing w:after="0" w:line="260"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arrangements are primarily related to tax equity arrangements entered into with third parties in order to monetize certain tax credits associated with wind and solar facilities and are further described below.</w:t>
      </w:r>
    </w:p>
    <w:p>
      <w:pPr>
        <w:spacing w:after="0" w:line="13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DGPV Holdco 3 Consolidation — </w:t>
      </w:r>
      <w:r>
        <w:rPr>
          <w:rFonts w:ascii="Arial" w:cs="Arial" w:eastAsia="Arial" w:hAnsi="Arial"/>
          <w:sz w:val="17"/>
          <w:szCs w:val="17"/>
          <w:color w:val="auto"/>
        </w:rPr>
        <w:t>DGPV Holdco 3 LLC or DGPV Holdco 3 owned approximately 113 MW of Distributed Solar capacity,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cash to be distributed, with a weighted average remaining contract life of approximately 21 years. On May 29, 2020, the final construction projects for DGPV Holdco 3 were placed in service which resulted in a reconsideration event for consolidation of the entity. Upon the reconsideration event, the Company determined that it was the primary beneficiary of DGPV Holdco 3, as it is entitled to 99% of allocations of income and cash distributions from the entity. As such, effective on May 29, 2020, the Company consolidates DGPV Holdco 3, and records the interest owned by CEG as noncontrolling interest. DGPV Holdco 3 owns an interest in two tax equity funds with tax equity investors, both of which are consolidated by DGPV Holdco 3, and the interests owned by the tax equity investors are shown as noncontrolling interests. The Company removed its equity method investment in DGPV Holdco 3 of $155 million as of May 29, 2020 and recorded the difference between the net assets consolidated and the investment balance as a reduction to noncontrolling interests. The Company acquired CEG's interest in DGPV Holdco 3 on November 2, 2020 as further described in Note 3, </w:t>
      </w:r>
      <w:r>
        <w:rPr>
          <w:rFonts w:ascii="Arial" w:cs="Arial" w:eastAsia="Arial" w:hAnsi="Arial"/>
          <w:sz w:val="17"/>
          <w:szCs w:val="17"/>
          <w:i w:val="1"/>
          <w:iCs w:val="1"/>
          <w:color w:val="auto"/>
        </w:rPr>
        <w:t>Acquisitions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Dispositions </w:t>
      </w:r>
      <w:r>
        <w:rPr>
          <w:rFonts w:ascii="Arial" w:cs="Arial" w:eastAsia="Arial" w:hAnsi="Arial"/>
          <w:sz w:val="17"/>
          <w:szCs w:val="17"/>
          <w:color w:val="auto"/>
        </w:rPr>
        <w:t>and below</w:t>
      </w:r>
      <w:r>
        <w:rPr>
          <w:rFonts w:ascii="Arial" w:cs="Arial" w:eastAsia="Arial" w:hAnsi="Arial"/>
          <w:sz w:val="17"/>
          <w:szCs w:val="17"/>
          <w:i w:val="1"/>
          <w:iCs w:val="1"/>
          <w:color w:val="auto"/>
        </w:rPr>
        <w: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Prior to the reconsideration event described above, the Company invested $10 million of cash in DGPV Holdco 3 during the first half of 2020.</w:t>
      </w:r>
    </w:p>
    <w:p>
      <w:pPr>
        <w:spacing w:after="0" w:line="1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DGPV Tax Equity Funds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November 2, 2020, the Company acquired the Class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membership interests in DGPV Holdco 1, DGPV Holdco 2 and DGPV Holdco 3, or the DGPV Holdco Entities, from Renew DG Holdings LLC, a subsidiary of CEG. The Company previously held the Class A membership interests in the DGPV Holdco Entities and accounted for its interests in DGPV Holdco 1 and DGPV Holdco 2 as equity method investments, while DGPV Holdco 3 was consolidated by the Company effective May 29, 2020 as further described above. Concurrent with the acquisition, the Company transferred its interests to DG-CS Master Borrower LLC. Effective with the acquisition of the Class B membership interests of the DGPV Holdco Entities, the Company consolidates all of the DGPV Holdco Entities, including DG-CS Master Borrower LLC, and its subsidiaries, which consist of seven projects including six tax equity funds that collectively own approximately 172 distributed solar projects with a combined 286 MW of capacity. Each of the six tax equity funds is a VIE, where the Company is the primary beneficiary and consolidates the fund, with the tax equity investor's interest shown as noncontrolling interest or redeemable noncontrolling interest. The Company utilizes the HLBV method to determine its share of the income or losses in the investees. The Company removed its equity method investments in DGPV Holdco 1 and DGPV Holdco 2 of $144 million as of November 2, 2020 and recorded the difference between the net assets consolidated and the investment balance as a reduction to noncontrolling interests.</w:t>
      </w:r>
    </w:p>
    <w:p>
      <w:pPr>
        <w:spacing w:after="0" w:line="1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Langford Tax Equity Partnership, LLC </w:t>
      </w:r>
      <w:r>
        <w:rPr>
          <w:rFonts w:ascii="Arial" w:cs="Arial" w:eastAsia="Arial" w:hAnsi="Arial"/>
          <w:sz w:val="16"/>
          <w:szCs w:val="16"/>
          <w:color w:val="auto"/>
        </w:rPr>
        <w:t>— 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November 20, 2020, the Company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 of the Class B membership interest in Langford Holding LLC from CEG for $55 million as well as 100% of the Class A membership interests in Langford Holding LLC from a third party investor for $9 million. Langford Holding LLC owns 100% of the membership interests in Langford Class B Holdco LLC, which owns 100% of the Class B interest in Langford Tax Equity Partnership LLC, which indirectly owns 100% of the interest in a 160 MW wind project. Langford Tax Equity Partnership LLC is a variable interest entity. The Company is the primary beneficiary, through its position as managing member, and indirectly consolidates Langford Tax Equity Partnership LLC, through Langford Class B Holdco LLC. The Class A member is a tax equity investor whose interest is reflected as noncontrolling interest on the Company's consolidated balance sheet. The project achieved repowering COD in November 2020. The Company utilizes the HLBV method for income or loss allocation to the tax equity investor's noncontrolling interest.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Lighthouse Partnership Arrangements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Lighthouse Renewable Holdco LLC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i w:val="1"/>
          <w:iCs w:val="1"/>
          <w:color w:val="auto"/>
        </w:rPr>
        <w:t xml:space="preserve"> Acquisitions and Dispositions</w:t>
      </w:r>
      <w:r>
        <w:rPr>
          <w:rFonts w:ascii="Arial" w:cs="Arial" w:eastAsia="Arial" w:hAnsi="Arial"/>
          <w:sz w:val="16"/>
          <w:szCs w:val="16"/>
          <w:color w:val="auto"/>
        </w:rPr>
        <w:t>, on September 1, 2020, the Company, through its</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subsidiary Lighthouse Renewable Class A LLC, acquired the Class A membership interests in Lighthouse Renewable Holdco LLC (formerly Mesquite Star Pledgor LLC) from Clearway Renew LLC, a subsidiary of CEG. Lighthouse Renewable Holdco LLC is a VIE and at the time of the acquisition the Company was not the primary beneficiary. Accordingly, the Company recorded the acquired interest as an equity method investment.</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21, 2020, CEG sold its Class B membership interest in Lighthouse Renewable Holdco LLC to a third-party investor which resulted in a reconsideration event for consolidation of the entity. Upon the reconsideration event, the Company determined that it was the primary beneficiary of Lighthouse Renewable Holdco LLC. As such, effective 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18"/>
          <w:szCs w:val="18"/>
          <w:color w:val="auto"/>
        </w:rPr>
        <w:t>December 21, 2020, the Company consolidates Lighthouse Renewable Holdco LLC, and shows the Class B interests owned by the third party investor as noncontrolling interests on the Company’s consolidated balance sheet. Through its Class A membership interests, the Company receives 50.01% of income and distributable cash. In addition, Lighthouse Renewable Holdco LLC holds the Class B interests in a tax equity fund, Mesquite Star Tax Equity Holdco LLC, that holds the Mesquite Star project. The tax equity investor's interest is shown as noncontrolling interest. The HLBV method is utilized to allocate the income or losses of Mesquite Star Tax Equity Holdco LLC.</w:t>
      </w:r>
    </w:p>
    <w:p>
      <w:pPr>
        <w:spacing w:after="0" w:line="1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Rosie TargetCo LLC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i w:val="1"/>
          <w:iCs w:val="1"/>
          <w:color w:val="auto"/>
        </w:rPr>
        <w:t xml:space="preserve"> Acquisitions and Dispositions</w:t>
      </w:r>
      <w:r>
        <w:rPr>
          <w:rFonts w:ascii="Arial" w:cs="Arial" w:eastAsia="Arial" w:hAnsi="Arial"/>
          <w:sz w:val="16"/>
          <w:szCs w:val="16"/>
          <w:color w:val="auto"/>
        </w:rPr>
        <w:t>, on December 21, 2020, the Company acquired 100% of CEG's</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membership interests of Rosie TargetCo LLC which owns 100% interest in Rosie Class B LLC, which in turn owns 100% of the Class B membership interest of Rosie TE Holdco LLC. The Company consolidates Rosie TargetCo LLC as a VIE as the Company is the primary beneficiary, through its role as managing member. The Class B membership interest of Rosie TargetCo LLC is owned by a third-party investor and is reflected as noncontrolling interest on the Company’s consolidated balance sheet. Through its Class A membership interests in Rosie TargetCo LLC, the Company receives 50% of income and distributable cash. Rosie TargetCo indirectly consolidates Rosie TE Holdco LLC, which is also a VIE. The tax equity investor's interest is shown as noncontrolling interest. The HLBV method is utilized to allocate the income or losses of Rosie TE Holdco LLC.</w:t>
      </w:r>
    </w:p>
    <w:p>
      <w:pPr>
        <w:spacing w:after="0" w:line="1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Yield Protection Agreement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Lighthouse Partnership Agreements, the Company entered into an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reallocation of cash distributions to the third-party investor in order to ensure that the investor achieves a target return. The agreement provides for the reallocation of up to 80% of cash distributed to the Company's Class A members beginning after the 15th year of the arrangement. The Company is accounting for this agreement as a guarantee and has recorded the fair value of its estimated liability under the arrangement of $15 million as a non-current liability with a corresponding offset to additional paid-in capital.</w:t>
      </w:r>
    </w:p>
    <w:p>
      <w:pPr>
        <w:spacing w:after="0" w:line="13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b w:val="1"/>
          <w:bCs w:val="1"/>
          <w:i w:val="1"/>
          <w:iCs w:val="1"/>
          <w:color w:val="auto"/>
        </w:rPr>
        <w:t xml:space="preserve">Kawailoa Partnership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31, 2018, the Company entered into an agreement with Clearway Renew LLC, a subsidiary of CEG, to acquire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Class A membership interests in the Kawailoa Solar Partnership LLC, or Kawailoa Partnership, for $9 million in cash consideration. The purpose of the partnership is to own, finance, operate, and maintain the Kawailoa Solar project, a 49 MW utility-scale solar generation project, an indirect subsidiary of the Kawailoa Partnership, located in Oahu, Hawaii. The Kawailoa Solar project is contracted to sell power under a 22-year PPA with Hawaiian Electric Company, or HECO. The Kawailoa Solar project is 51% owned by the Kawailoa Partnership, with the remaining 49% owned by a third-party investor. The Kawailoa Partnership consolidates the Kawailoa Solar project through its controlling majority interest. On May 7, 2019, the Company made an initial capital contribution of $2 million, which represents 20% of its total anticipated capital contributions. The Company assumed non-recourse debt of $120 million, as further described in Note 10</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non-controlling interests attributable to third parties in the amount of $21 million. Effective May 1, 2019,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 The Company's acquisition of the Class A membership interests in the Kawailoa Partnership was accounted for as a transfer of assets under common control and was recorded at historical cost in accordance with ASC 805-50,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Issues</w:t>
      </w:r>
      <w:r>
        <w:rPr>
          <w:rFonts w:ascii="Arial" w:cs="Arial" w:eastAsia="Arial" w:hAnsi="Arial"/>
          <w:sz w:val="17"/>
          <w:szCs w:val="17"/>
          <w:color w:val="auto"/>
        </w:rPr>
        <w:t>. The difference between the cash paid and payable recorded and the historical value of the assets was recorded as a distribution to CEG and decreased the balance of its noncontrolling interest.</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Upon reaching COD in November of 2019, the Kawailoa Solar project's fixed assets were placed in service and began to depreciate. On December 22, 2019, Kawailoa Solar Holdings LLC, a tax equity fund, received its final equity contribution of $61 million. The proceeds were utilized to repay the ITC bridge loan in the amount of $57 million, and the construction debt was converted to term debt (and upsized, with an additional $5 million drawn). Distributions were paid to the third-party investor and Clearway Renew LLC, funded by the excess of the tax equity investment and the term loan upsizing above the amount of the bridge loan repayment and related fees. On December 27, 2019, the Company made its substantial completion contribution of $7 million into the Kawailoa Partnership, which was also utilized to make a distribution to Clearway Renew LLC. In addition, the Company started applying HLBV to allocate income attributable to the tax equity investor during the fourth quarter of 2019.</w:t>
      </w:r>
    </w:p>
    <w:p>
      <w:pPr>
        <w:spacing w:after="0" w:line="119" w:lineRule="exact"/>
        <w:rPr>
          <w:sz w:val="20"/>
          <w:szCs w:val="20"/>
          <w:color w:val="auto"/>
        </w:rPr>
      </w:pPr>
    </w:p>
    <w:p>
      <w:pPr>
        <w:jc w:val="both"/>
        <w:ind w:firstLine="225"/>
        <w:spacing w:after="0" w:line="273" w:lineRule="auto"/>
        <w:rPr>
          <w:sz w:val="20"/>
          <w:szCs w:val="20"/>
          <w:color w:val="auto"/>
        </w:rPr>
      </w:pPr>
      <w:r>
        <w:rPr>
          <w:rFonts w:ascii="Arial" w:cs="Arial" w:eastAsia="Arial" w:hAnsi="Arial"/>
          <w:sz w:val="17"/>
          <w:szCs w:val="17"/>
          <w:b w:val="1"/>
          <w:bCs w:val="1"/>
          <w:i w:val="1"/>
          <w:iCs w:val="1"/>
          <w:color w:val="auto"/>
        </w:rPr>
        <w:t xml:space="preserve">Oahu Partnership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31, 2018, the Company entered into an agreement with Clearway Renew LLC, a subsidiary of CEG, to acquire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with rated capacity of 15 MW and 46 MW, respectively, the indirect subsidiaries of the Oahu Partnership, located in Oahu, Hawaii. The Oahu Solar projects are contracted to sell power under a 22-year PPA with HECO. The Oahu Partnership consolidates the Oahu Solar projects through its controlling majority interest. On March 8, 2019, the Company made an initial capital contribution of $4 million, which represents 20% of its total anticipated capital contributions. The Company also assumed non-recourse debt of $143 million, as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0" w:name="page121"/>
    <w:bookmarkEnd w:id="120"/>
    <w:p>
      <w:pPr>
        <w:jc w:val="both"/>
        <w:spacing w:after="0" w:line="255" w:lineRule="auto"/>
        <w:rPr>
          <w:sz w:val="20"/>
          <w:szCs w:val="20"/>
          <w:color w:val="auto"/>
        </w:rPr>
      </w:pPr>
      <w:r>
        <w:rPr>
          <w:rFonts w:ascii="Arial" w:cs="Arial" w:eastAsia="Arial" w:hAnsi="Arial"/>
          <w:sz w:val="18"/>
          <w:szCs w:val="18"/>
          <w:color w:val="auto"/>
        </w:rPr>
        <w:t>further described in Note 10</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$18 million of non-controlling interest attributable to a tax equity investor's initial contribution. Effective March 8, 2019,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 The Company's acquisition of the Class A membership interests in the Oahu Partnership was accounted for as a transfer of assets under common control and was recorded at historical cost in accordance with ASC 805-50, </w:t>
      </w:r>
      <w:r>
        <w:rPr>
          <w:rFonts w:ascii="Arial" w:cs="Arial" w:eastAsia="Arial" w:hAnsi="Arial"/>
          <w:sz w:val="18"/>
          <w:szCs w:val="18"/>
          <w:i w:val="1"/>
          <w:iCs w:val="1"/>
          <w:color w:val="auto"/>
        </w:rPr>
        <w:t>Business Combinations - Related Issues</w:t>
      </w:r>
      <w:r>
        <w:rPr>
          <w:rFonts w:ascii="Arial" w:cs="Arial" w:eastAsia="Arial" w:hAnsi="Arial"/>
          <w:sz w:val="18"/>
          <w:szCs w:val="18"/>
          <w:color w:val="auto"/>
        </w:rPr>
        <w:t>. The difference between the cash paid and payable recorded and the historical value of the assets was recorded as a contribution from CEG and increased the balance of its noncontrolling interest.</w:t>
      </w:r>
    </w:p>
    <w:p>
      <w:pPr>
        <w:spacing w:after="0" w:line="13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Upon reaching COD in September 2019, the Oahu Solar projects' fixed assets were placed in service and began to depreciate. On November 12, 2019, the tax equity investor made its final tax-equity contribution of $71 million and the proceeds were utilized to repay the related ITC bridge loan in the amount of $67 million, and the construction loan was converted to term debt. The Company paid the remaining 80% of the equity commitment in the amount of $16 million to Clearway Renew LLC when the Oahu Solar projects reached certain milestones in December 2019. In addition, the Company started applying HLBV to allocate income attributable to the tax equity investor during the third quarter of 2019.</w:t>
      </w:r>
    </w:p>
    <w:p>
      <w:pPr>
        <w:spacing w:after="0" w:line="118" w:lineRule="exact"/>
        <w:rPr>
          <w:sz w:val="20"/>
          <w:szCs w:val="20"/>
          <w:color w:val="auto"/>
        </w:rPr>
      </w:pPr>
    </w:p>
    <w:p>
      <w:pPr>
        <w:jc w:val="both"/>
        <w:ind w:right="80" w:firstLine="405"/>
        <w:spacing w:after="0" w:line="266" w:lineRule="auto"/>
        <w:rPr>
          <w:sz w:val="20"/>
          <w:szCs w:val="20"/>
          <w:color w:val="auto"/>
        </w:rPr>
      </w:pPr>
      <w:r>
        <w:rPr>
          <w:rFonts w:ascii="Arial" w:cs="Arial" w:eastAsia="Arial" w:hAnsi="Arial"/>
          <w:sz w:val="18"/>
          <w:szCs w:val="18"/>
          <w:b w:val="1"/>
          <w:bCs w:val="1"/>
          <w:i w:val="1"/>
          <w:iCs w:val="1"/>
          <w:color w:val="auto"/>
        </w:rPr>
        <w:t xml:space="preserve">Wind TE Holdco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2018, Wind TE Holdco was a VIE and the Company, as the holder of Class B shares and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beneficiary through its position as managing member consolidated Wind TE Holdco. The Class A shares of Wind TE Holdco were owned by a tax equity investor, who received 99% of allocations of taxable income and other items.</w:t>
      </w:r>
    </w:p>
    <w:p>
      <w:pPr>
        <w:spacing w:after="0" w:line="126"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On January 2, 2019, the Company bought out 100% of the Class A membership interests from the TE Investor,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91" w:lineRule="exact"/>
        <w:rPr>
          <w:sz w:val="20"/>
          <w:szCs w:val="20"/>
          <w:color w:val="auto"/>
        </w:rPr>
      </w:pPr>
    </w:p>
    <w:p>
      <w:pPr>
        <w:jc w:val="both"/>
        <w:ind w:firstLine="180"/>
        <w:spacing w:after="0" w:line="274" w:lineRule="auto"/>
        <w:rPr>
          <w:sz w:val="20"/>
          <w:szCs w:val="20"/>
          <w:color w:val="auto"/>
        </w:rPr>
      </w:pPr>
      <w:r>
        <w:rPr>
          <w:rFonts w:ascii="Arial" w:cs="Arial" w:eastAsia="Arial" w:hAnsi="Arial"/>
          <w:sz w:val="17"/>
          <w:szCs w:val="17"/>
          <w:b w:val="1"/>
          <w:bCs w:val="1"/>
          <w:i w:val="1"/>
          <w:iCs w:val="1"/>
          <w:color w:val="auto"/>
        </w:rPr>
        <w:t xml:space="preserve">Repowering Partnership II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30, 2018, Wind TE Holdco, an indirect subsidiary of the Company, formed Repowering Partnership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initially entitled to allocations of 21% of income, which is reflected in Wind TE Holdco’s noncontrolling interests.</w:t>
      </w:r>
    </w:p>
    <w:p>
      <w:pPr>
        <w:spacing w:after="0" w:line="1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14, 2019, Repowering Partnership LLC was replaced with Repowering Partnership II LLC as the owner of the Elbow Creek and Wildorado Wind projects, as well as Repowering Partnership Holdco LLC, which concurrently entered into a financing agreement for construction debt commitment totaling $352 million, as further described in Note 10, Long-term Debt.</w:t>
      </w:r>
    </w:p>
    <w:p>
      <w:pPr>
        <w:spacing w:after="0" w:line="130"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Repowering of the Elbow Creek project was completed and on November 26, 2019, a third party tax equity investor purchased 100% of the Class A membership interests in Elbow Creek Repowering Tax Equity Holdco LLC, or Elbow TE Holdco for $89 million pursuant to a membership interest purchase agreement dated June 14, 2019. The Company also contributed $4 million. In connection with the completion of the Elbow Creek repowering, the construction loan of $93 million was repaid with the proceeds from the combined proceeds from the tax equity investor and the Company. The Company</w:t>
      </w:r>
    </w:p>
    <w:p>
      <w:pPr>
        <w:spacing w:after="0" w:line="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began applying HLBV during the fourth quarter to allocate income between the partners of Elbow TE Holdco. In connection with the closing, the allocations of income at Repowering Partnership II LLC (which indirectly consolidates both projects) changed to 59.63% for Wind TE Holdco LLC (the</w:t>
      </w:r>
    </w:p>
    <w:p>
      <w:pPr>
        <w:jc w:val="both"/>
        <w:spacing w:after="0" w:line="279" w:lineRule="auto"/>
        <w:rPr>
          <w:sz w:val="20"/>
          <w:szCs w:val="20"/>
          <w:color w:val="auto"/>
        </w:rPr>
      </w:pPr>
      <w:r>
        <w:rPr>
          <w:rFonts w:ascii="Arial" w:cs="Arial" w:eastAsia="Arial" w:hAnsi="Arial"/>
          <w:sz w:val="17"/>
          <w:szCs w:val="17"/>
          <w:color w:val="auto"/>
        </w:rPr>
        <w:t>Company member) and 40.37% for CWSP Wildorado Elbow Holding LLC (the CEG member). In addition, approximately half of the repowered Wildorado equipment was placed in service in December 2019, with the remaining equipment being placed in service in January of 2020. In connection with repowering of the projects, the Company revised the remaining useful life of the property, plant and equipment that was replaced, resulting in additional expense of $54 million during the year ended December 31, 2019 related to accelerated depreciation.</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On February 7, 2020, a third party tax equity investor purchased 100% of the Class A membership interests in Wildorado TE Holdco, for $148 million. In addition, the Company contributed $112 million to Wildorado TE Holdco. The combined proceeds were used to repay construction debt under the Repowering Partnership Holdco credit agreement, as described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The third 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In connection with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1" w:name="page122"/>
    <w:bookmarkEnd w:id="121"/>
    <w:p>
      <w:pPr>
        <w:jc w:val="both"/>
        <w:ind w:right="20"/>
        <w:spacing w:after="0" w:line="277" w:lineRule="auto"/>
        <w:rPr>
          <w:sz w:val="20"/>
          <w:szCs w:val="20"/>
          <w:color w:val="auto"/>
        </w:rPr>
      </w:pPr>
      <w:r>
        <w:rPr>
          <w:rFonts w:ascii="Arial" w:cs="Arial" w:eastAsia="Arial" w:hAnsi="Arial"/>
          <w:sz w:val="18"/>
          <w:szCs w:val="18"/>
          <w:color w:val="auto"/>
        </w:rPr>
        <w:t>the Wildorado TE Holdco closing, the allocations of income at Repowering Partnership II LLC changed to 60.14% for Wind TE Holdco LLC (the Company member) and 39.86% for CWSP Wildorado Elbow Holding LLC (the CEG member).</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On May 11, 2020, the Company acquired CEG's interest in Repowering Partnership II LLC, for cash consideration of $70 million. Repowering Partnership II LLC is no longer a VIE and subsequent to the acquisition, is a wholly-owned subsidiary of the Company. Repowering Partnership II LLC continues to own interests in two VIEs, Wildorado Repowering Tax Equity Holdco LLC, or Wildorado TE Holdco, and Elbow Creek Repowering Tax Equity Holdco LLC, or Elbow Creek TE Holdco. </w:t>
      </w:r>
      <w:r>
        <w:rPr>
          <w:rFonts w:ascii="Arial" w:cs="Arial" w:eastAsia="Arial" w:hAnsi="Arial"/>
          <w:sz w:val="17"/>
          <w:szCs w:val="17"/>
          <w:color w:val="231F20"/>
        </w:rPr>
        <w:t>The Company removed the related noncontrolling interest balance of $8 million and recorded the</w:t>
      </w:r>
      <w:r>
        <w:rPr>
          <w:rFonts w:ascii="Arial" w:cs="Arial" w:eastAsia="Arial" w:hAnsi="Arial"/>
          <w:sz w:val="17"/>
          <w:szCs w:val="17"/>
          <w:color w:val="auto"/>
        </w:rPr>
        <w:t xml:space="preserve"> </w:t>
      </w:r>
      <w:r>
        <w:rPr>
          <w:rFonts w:ascii="Arial" w:cs="Arial" w:eastAsia="Arial" w:hAnsi="Arial"/>
          <w:sz w:val="17"/>
          <w:szCs w:val="17"/>
          <w:color w:val="231F20"/>
        </w:rPr>
        <w:t xml:space="preserve">difference between the cash paid and the noncontrolling interest balance removed as a reduction to noncontrolling interests. </w:t>
      </w:r>
      <w:r>
        <w:rPr>
          <w:rFonts w:ascii="Arial" w:cs="Arial" w:eastAsia="Arial" w:hAnsi="Arial"/>
          <w:sz w:val="17"/>
          <w:szCs w:val="17"/>
          <w:color w:val="000000"/>
        </w:rPr>
        <w:t>The Company utilizes the</w:t>
      </w:r>
      <w:r>
        <w:rPr>
          <w:rFonts w:ascii="Arial" w:cs="Arial" w:eastAsia="Arial" w:hAnsi="Arial"/>
          <w:sz w:val="17"/>
          <w:szCs w:val="17"/>
          <w:color w:val="231F20"/>
        </w:rPr>
        <w:t xml:space="preserve"> </w:t>
      </w:r>
      <w:r>
        <w:rPr>
          <w:rFonts w:ascii="Arial" w:cs="Arial" w:eastAsia="Arial" w:hAnsi="Arial"/>
          <w:sz w:val="17"/>
          <w:szCs w:val="17"/>
          <w:color w:val="000000"/>
        </w:rPr>
        <w:t>HLBV method to determine the net income or loss allocated to tax equity noncontrolling interest.</w:t>
      </w:r>
    </w:p>
    <w:p>
      <w:pPr>
        <w:spacing w:after="0" w:line="120" w:lineRule="exact"/>
        <w:rPr>
          <w:sz w:val="20"/>
          <w:szCs w:val="20"/>
          <w:color w:val="auto"/>
        </w:rPr>
      </w:pPr>
    </w:p>
    <w:p>
      <w:pPr>
        <w:jc w:val="both"/>
        <w:ind w:firstLine="188"/>
        <w:spacing w:after="0" w:line="272" w:lineRule="auto"/>
        <w:rPr>
          <w:sz w:val="20"/>
          <w:szCs w:val="20"/>
          <w:color w:val="auto"/>
        </w:rPr>
      </w:pPr>
      <w:r>
        <w:rPr>
          <w:rFonts w:ascii="Arial" w:cs="Arial" w:eastAsia="Arial" w:hAnsi="Arial"/>
          <w:sz w:val="17"/>
          <w:szCs w:val="17"/>
          <w:b w:val="1"/>
          <w:bCs w:val="1"/>
          <w:i w:val="1"/>
          <w:iCs w:val="1"/>
          <w:color w:val="auto"/>
        </w:rPr>
        <w:t xml:space="preserve">Buckthorn Renewables,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30, 2018, the Company acquired 100% of NRG’s interest in a 154 MW construction-stage utility-scale solar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contribution of $19 million on March 30, 2018, which is reflected as noncontrolling interest on the Company’s consolidated balance sheet. The project achieved substantial completion in May 2018, at which time the remaining tax equity contributions of $80 million were funded. The Company utilizes the HLBV method for income or loss allocation to the tax equity investor's noncontrolling interest.</w:t>
      </w:r>
    </w:p>
    <w:p>
      <w:pPr>
        <w:spacing w:after="0" w:line="118" w:lineRule="exact"/>
        <w:rPr>
          <w:sz w:val="20"/>
          <w:szCs w:val="20"/>
          <w:color w:val="auto"/>
        </w:rPr>
      </w:pPr>
    </w:p>
    <w:p>
      <w:pPr>
        <w:jc w:val="both"/>
        <w:ind w:firstLine="204"/>
        <w:spacing w:after="0" w:line="254" w:lineRule="auto"/>
        <w:rPr>
          <w:sz w:val="20"/>
          <w:szCs w:val="20"/>
          <w:color w:val="auto"/>
        </w:rPr>
      </w:pPr>
      <w:r>
        <w:rPr>
          <w:rFonts w:ascii="Arial" w:cs="Arial" w:eastAsia="Arial" w:hAnsi="Arial"/>
          <w:sz w:val="18"/>
          <w:szCs w:val="18"/>
          <w:b w:val="1"/>
          <w:bCs w:val="1"/>
          <w:i w:val="1"/>
          <w:iCs w:val="1"/>
          <w:color w:val="auto"/>
        </w:rPr>
        <w:t xml:space="preserve">Alta TE Holdco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30, 2015, the Company sold an economic interest in Alta TE Holdco to a financial institution in order to monetize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138"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b w:val="1"/>
          <w:bCs w:val="1"/>
          <w:i w:val="1"/>
          <w:iCs w:val="1"/>
          <w:color w:val="auto"/>
        </w:rPr>
        <w:t xml:space="preserve">Spring Canyon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holds 90.1% of the Class B interests in Spring Canyon II, a 32 MW wind facility, and Spring Canyon III, a 28 MW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wind facility, each located in Logan County, Colorado, and 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Oahu</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Kawailoa</w:t>
            </w: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Wildorado</w:t>
            </w:r>
          </w:p>
        </w:tc>
        <w:tc>
          <w:tcPr>
            <w:tcW w:w="140" w:type="dxa"/>
            <w:vAlign w:val="bottom"/>
          </w:tcPr>
          <w:p>
            <w:pPr>
              <w:spacing w:after="0"/>
              <w:rPr>
                <w:sz w:val="13"/>
                <w:szCs w:val="1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DGPV</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Lighthouse</w:t>
            </w:r>
          </w:p>
        </w:tc>
        <w:tc>
          <w:tcPr>
            <w:tcW w:w="14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Rosie</w:t>
            </w:r>
          </w:p>
        </w:tc>
        <w:tc>
          <w:tcPr>
            <w:tcW w:w="12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Langford TE</w:t>
            </w:r>
          </w:p>
        </w:tc>
        <w:tc>
          <w:tcPr>
            <w:tcW w:w="140" w:type="dxa"/>
            <w:vAlign w:val="bottom"/>
          </w:tcPr>
          <w:p>
            <w:pPr>
              <w:spacing w:after="0"/>
              <w:rPr>
                <w:sz w:val="13"/>
                <w:szCs w:val="1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Alta TE</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Buckthorn</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Solar</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Renewable</w:t>
            </w: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1"/>
              </w:rPr>
              <w:t>TargetCo</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4"/>
              </w:rPr>
              <w:t xml:space="preserve">Other </w:t>
            </w:r>
            <w:r>
              <w:rPr>
                <w:rFonts w:ascii="Arial" w:cs="Arial" w:eastAsia="Arial" w:hAnsi="Arial"/>
                <w:sz w:val="16"/>
                <w:szCs w:val="16"/>
                <w:b w:val="1"/>
                <w:bCs w:val="1"/>
                <w:color w:val="auto"/>
                <w:w w:val="84"/>
                <w:vertAlign w:val="superscript"/>
              </w:rPr>
              <w:t>(b)</w:t>
            </w:r>
          </w:p>
        </w:tc>
        <w:tc>
          <w:tcPr>
            <w:tcW w:w="0" w:type="dxa"/>
            <w:vAlign w:val="bottom"/>
          </w:tcPr>
          <w:p>
            <w:pPr>
              <w:spacing w:after="0"/>
              <w:rPr>
                <w:sz w:val="1"/>
                <w:szCs w:val="1"/>
                <w:color w:val="auto"/>
              </w:rPr>
            </w:pPr>
          </w:p>
        </w:tc>
      </w:tr>
      <w:tr>
        <w:trPr>
          <w:trHeight w:val="176"/>
        </w:trPr>
        <w:tc>
          <w:tcPr>
            <w:tcW w:w="1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Partnership</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Partnership</w:t>
            </w: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TE Holdco</w:t>
            </w:r>
          </w:p>
        </w:tc>
        <w:tc>
          <w:tcPr>
            <w:tcW w:w="140" w:type="dxa"/>
            <w:vAlign w:val="bottom"/>
          </w:tcPr>
          <w:p>
            <w:pPr>
              <w:spacing w:after="0"/>
              <w:rPr>
                <w:sz w:val="15"/>
                <w:szCs w:val="15"/>
                <w:color w:val="auto"/>
              </w:rPr>
            </w:pPr>
          </w:p>
        </w:tc>
        <w:tc>
          <w:tcPr>
            <w:tcW w:w="74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4"/>
              </w:rPr>
              <w:t>Funds</w:t>
            </w:r>
            <w:r>
              <w:rPr>
                <w:rFonts w:ascii="Arial" w:cs="Arial" w:eastAsia="Arial" w:hAnsi="Arial"/>
                <w:sz w:val="16"/>
                <w:szCs w:val="16"/>
                <w:b w:val="1"/>
                <w:bCs w:val="1"/>
                <w:color w:val="auto"/>
                <w:w w:val="84"/>
                <w:vertAlign w:val="superscript"/>
              </w:rPr>
              <w:t>(a)</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Holdco LLC</w:t>
            </w:r>
          </w:p>
        </w:tc>
        <w:tc>
          <w:tcPr>
            <w:tcW w:w="14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LLC</w:t>
            </w:r>
          </w:p>
        </w:tc>
        <w:tc>
          <w:tcPr>
            <w:tcW w:w="1080" w:type="dxa"/>
            <w:vAlign w:val="bottom"/>
            <w:gridSpan w:val="3"/>
          </w:tcPr>
          <w:p>
            <w:pPr>
              <w:ind w:left="40"/>
              <w:spacing w:after="0"/>
              <w:rPr>
                <w:sz w:val="20"/>
                <w:szCs w:val="20"/>
                <w:color w:val="auto"/>
              </w:rPr>
            </w:pPr>
            <w:r>
              <w:rPr>
                <w:rFonts w:ascii="Arial" w:cs="Arial" w:eastAsia="Arial" w:hAnsi="Arial"/>
                <w:sz w:val="13"/>
                <w:szCs w:val="13"/>
                <w:b w:val="1"/>
                <w:bCs w:val="1"/>
                <w:color w:val="auto"/>
              </w:rPr>
              <w:t>Partnership LLC</w:t>
            </w:r>
          </w:p>
        </w:tc>
        <w:tc>
          <w:tcPr>
            <w:tcW w:w="14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Holdco</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Renewables, LLC</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Other current and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non-current assets</w:t>
            </w: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00" w:type="dxa"/>
            <w:vAlign w:val="bottom"/>
          </w:tcPr>
          <w:p>
            <w:pPr>
              <w:ind w:left="20"/>
              <w:spacing w:after="0" w:line="176" w:lineRule="exact"/>
              <w:rPr>
                <w:sz w:val="20"/>
                <w:szCs w:val="20"/>
                <w:color w:val="auto"/>
              </w:rPr>
            </w:pPr>
            <w:r>
              <w:rPr>
                <w:rFonts w:ascii="Arial" w:cs="Arial" w:eastAsia="Arial" w:hAnsi="Arial"/>
                <w:sz w:val="18"/>
                <w:szCs w:val="18"/>
                <w:color w:val="auto"/>
                <w:w w:val="95"/>
              </w:rPr>
              <w:t>Property, plant and</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and non-</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Noncontrolling</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00" w:type="dxa"/>
            <w:vAlign w:val="bottom"/>
          </w:tcPr>
          <w:p>
            <w:pPr>
              <w:ind w:left="40"/>
              <w:spacing w:after="0" w:line="176" w:lineRule="exact"/>
              <w:rPr>
                <w:sz w:val="20"/>
                <w:szCs w:val="20"/>
                <w:color w:val="auto"/>
              </w:rPr>
            </w:pPr>
            <w:r>
              <w:rPr>
                <w:rFonts w:ascii="Arial" w:cs="Arial" w:eastAsia="Arial" w:hAnsi="Arial"/>
                <w:sz w:val="18"/>
                <w:szCs w:val="18"/>
                <w:color w:val="auto"/>
              </w:rPr>
              <w:t>Net assets less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ind w:left="40"/>
              <w:spacing w:after="0" w:line="176" w:lineRule="exact"/>
              <w:rPr>
                <w:sz w:val="20"/>
                <w:szCs w:val="20"/>
                <w:color w:val="auto"/>
              </w:rPr>
            </w:pPr>
            <w:r>
              <w:rPr>
                <w:rFonts w:ascii="Arial" w:cs="Arial" w:eastAsia="Arial" w:hAnsi="Arial"/>
                <w:sz w:val="18"/>
                <w:szCs w:val="18"/>
                <w:color w:val="auto"/>
              </w:rPr>
              <w:t>noncontrolling</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1500" w:type="dxa"/>
            <w:vAlign w:val="bottom"/>
          </w:tcPr>
          <w:p>
            <w:pPr>
              <w:ind w:left="40"/>
              <w:spacing w:after="0" w:line="202" w:lineRule="exact"/>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9571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20" w:firstLine="8"/>
        <w:spacing w:after="0" w:line="266" w:lineRule="auto"/>
        <w:tabs>
          <w:tab w:leader="none" w:pos="174" w:val="left"/>
        </w:tabs>
        <w:numPr>
          <w:ilvl w:val="0"/>
          <w:numId w:val="67"/>
        </w:numPr>
        <w:rPr>
          <w:rFonts w:ascii="Arial" w:cs="Arial" w:eastAsia="Arial" w:hAnsi="Arial"/>
          <w:sz w:val="20"/>
          <w:szCs w:val="20"/>
          <w:color w:val="auto"/>
          <w:vertAlign w:val="superscript"/>
        </w:rPr>
      </w:pPr>
      <w:r>
        <w:rPr>
          <w:rFonts w:ascii="Arial" w:cs="Arial" w:eastAsia="Arial" w:hAnsi="Arial"/>
          <w:sz w:val="14"/>
          <w:szCs w:val="14"/>
          <w:color w:val="auto"/>
        </w:rPr>
        <w:t>DGPV Funds is comprised of DGPV Fund 2 LLC, Clearway &amp; EFS Distributed Solar LLC, DGPV Fund 4 LLC, Golden Puma Fund LLC, Renew Solar CS4 Fund LLC and Chestnut Fund LLC</w:t>
      </w:r>
    </w:p>
    <w:p>
      <w:pPr>
        <w:ind w:left="180" w:hanging="172"/>
        <w:spacing w:after="0"/>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5"/>
          <w:szCs w:val="15"/>
          <w:color w:val="auto"/>
        </w:rPr>
        <w:t>Other is comprised of Crosswinds, Hardin, Elbow Creek Holdco and Spring Canyon projects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316"/>
        <w:spacing w:after="0" w:line="277" w:lineRule="auto"/>
        <w:rPr>
          <w:sz w:val="20"/>
          <w:szCs w:val="20"/>
          <w:color w:val="auto"/>
        </w:rPr>
      </w:pPr>
      <w:r>
        <w:rPr>
          <w:rFonts w:ascii="Arial" w:cs="Arial" w:eastAsia="Arial" w:hAnsi="Arial"/>
          <w:sz w:val="18"/>
          <w:szCs w:val="18"/>
          <w:color w:val="auto"/>
        </w:rPr>
        <w:t xml:space="preserve">The Company has interests in entities that are considered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but for which it is not considered the primary beneficiary. The Company accounts for its interests in these entities under the equity method of accounting.</w:t>
      </w:r>
    </w:p>
    <w:p>
      <w:pPr>
        <w:spacing w:after="0" w:line="112" w:lineRule="exact"/>
        <w:rPr>
          <w:sz w:val="20"/>
          <w:szCs w:val="20"/>
          <w:color w:val="auto"/>
        </w:rPr>
      </w:pPr>
    </w:p>
    <w:p>
      <w:pPr>
        <w:jc w:val="both"/>
        <w:ind w:firstLine="268"/>
        <w:spacing w:after="0" w:line="291" w:lineRule="auto"/>
        <w:rPr>
          <w:sz w:val="20"/>
          <w:szCs w:val="20"/>
          <w:color w:val="auto"/>
        </w:rPr>
      </w:pPr>
      <w:r>
        <w:rPr>
          <w:rFonts w:ascii="Arial" w:cs="Arial" w:eastAsia="Arial" w:hAnsi="Arial"/>
          <w:sz w:val="16"/>
          <w:szCs w:val="16"/>
          <w:b w:val="1"/>
          <w:bCs w:val="1"/>
          <w:i w:val="1"/>
          <w:iCs w:val="1"/>
          <w:color w:val="auto"/>
        </w:rPr>
        <w:t xml:space="preserve">Utah Solar Portfolio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acquired 100% of the Class A equity interests in the Utah Solar Portfolio from NRG. The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on the last day of the calendar month on which the Class B member does not have an agreed upon adjusted capital account deficit, but not prior to the 10th day after the five year anniversary of the last project to achieve its placed in service date,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ASC 820 establishes a fair value hierarchy that prioritizes the inputs to valuation techniques used to measure fair value into three levels as follows:</w:t>
      </w:r>
    </w:p>
    <w:p>
      <w:pPr>
        <w:spacing w:after="0" w:line="75" w:lineRule="exact"/>
        <w:rPr>
          <w:sz w:val="20"/>
          <w:szCs w:val="20"/>
          <w:color w:val="auto"/>
        </w:rPr>
      </w:pPr>
    </w:p>
    <w:p>
      <w:pPr>
        <w:ind w:left="1220" w:hanging="240"/>
        <w:spacing w:after="0" w:line="277" w:lineRule="auto"/>
        <w:tabs>
          <w:tab w:leader="none" w:pos="1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3" w:name="page124"/>
    <w:bookmarkEnd w:id="123"/>
    <w:p>
      <w:pPr>
        <w:jc w:val="both"/>
        <w:ind w:firstLine="184"/>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285"/>
        <w:spacing w:after="0" w:line="263" w:lineRule="auto"/>
        <w:rPr>
          <w:sz w:val="20"/>
          <w:szCs w:val="20"/>
          <w:color w:val="auto"/>
        </w:rPr>
      </w:pPr>
      <w:r>
        <w:rPr>
          <w:rFonts w:ascii="Arial" w:cs="Arial" w:eastAsia="Arial" w:hAnsi="Arial"/>
          <w:sz w:val="18"/>
          <w:szCs w:val="18"/>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 2020</w:t>
            </w:r>
          </w:p>
        </w:tc>
        <w:tc>
          <w:tcPr>
            <w:tcW w:w="420" w:type="dxa"/>
            <w:vAlign w:val="bottom"/>
          </w:tcPr>
          <w:p>
            <w:pPr>
              <w:spacing w:after="0"/>
              <w:rPr>
                <w:sz w:val="16"/>
                <w:szCs w:val="16"/>
                <w:color w:val="auto"/>
              </w:rPr>
            </w:pPr>
          </w:p>
        </w:tc>
        <w:tc>
          <w:tcPr>
            <w:tcW w:w="210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w w:val="95"/>
              </w:rPr>
              <w:t>As of December 31, 2019</w:t>
            </w:r>
          </w:p>
        </w:tc>
      </w:tr>
      <w:tr>
        <w:trPr>
          <w:trHeight w:val="187"/>
        </w:trPr>
        <w:tc>
          <w:tcPr>
            <w:tcW w:w="6040" w:type="dxa"/>
            <w:vAlign w:val="bottom"/>
          </w:tcPr>
          <w:p>
            <w:pPr>
              <w:spacing w:after="0"/>
              <w:rPr>
                <w:sz w:val="16"/>
                <w:szCs w:val="16"/>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Long-term debt, including current portion — affiliate</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6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Long-term debt, including current portion — external </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7,048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3798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40" w:hanging="132"/>
        <w:spacing w:after="0"/>
        <w:tabs>
          <w:tab w:leader="none" w:pos="140" w:val="left"/>
        </w:tabs>
        <w:numPr>
          <w:ilvl w:val="0"/>
          <w:numId w:val="69"/>
        </w:numPr>
        <w:rPr>
          <w:rFonts w:ascii="Arial" w:cs="Arial" w:eastAsia="Arial" w:hAnsi="Arial"/>
          <w:sz w:val="16"/>
          <w:szCs w:val="16"/>
          <w:color w:val="auto"/>
          <w:vertAlign w:val="superscript"/>
        </w:rPr>
      </w:pPr>
      <w:r>
        <w:rPr>
          <w:rFonts w:ascii="Arial" w:cs="Arial" w:eastAsia="Arial" w:hAnsi="Arial"/>
          <w:sz w:val="12"/>
          <w:szCs w:val="12"/>
          <w:color w:val="auto"/>
        </w:rPr>
        <w:t>Excludes net debt issuance costs, which are recorded as a reduction to long-term debt on the Company's consolidated balance sheets.</w:t>
      </w:r>
    </w:p>
    <w:p>
      <w:pPr>
        <w:spacing w:after="0" w:line="92" w:lineRule="exact"/>
        <w:rPr>
          <w:sz w:val="20"/>
          <w:szCs w:val="20"/>
          <w:color w:val="auto"/>
        </w:rPr>
      </w:pPr>
    </w:p>
    <w:p>
      <w:pPr>
        <w:jc w:val="both"/>
        <w:ind w:firstLine="263"/>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2020 and 2019:</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Pr>
          <w:p>
            <w:pPr>
              <w:spacing w:after="0"/>
              <w:rPr>
                <w:sz w:val="16"/>
                <w:szCs w:val="16"/>
                <w:color w:val="auto"/>
              </w:rPr>
            </w:pPr>
          </w:p>
        </w:tc>
        <w:tc>
          <w:tcPr>
            <w:tcW w:w="21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w w:val="99"/>
              </w:rPr>
              <w:t>As of December 31, 2019</w:t>
            </w:r>
          </w:p>
        </w:tc>
      </w:tr>
      <w:tr>
        <w:trPr>
          <w:trHeight w:val="187"/>
        </w:trPr>
        <w:tc>
          <w:tcPr>
            <w:tcW w:w="60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1"/>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1,906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1,735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210"/>
        <w:spacing w:after="0" w:line="262"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As of December 31, 2020</w:t>
            </w:r>
          </w:p>
        </w:tc>
        <w:tc>
          <w:tcPr>
            <w:tcW w:w="18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4"/>
              </w:rPr>
              <w:t>As of December 31, 2020</w:t>
            </w: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 2019</w:t>
            </w:r>
          </w:p>
        </w:tc>
      </w:tr>
      <w:tr>
        <w:trPr>
          <w:trHeight w:val="189"/>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20"/>
              <w:spacing w:after="0" w:line="189" w:lineRule="exact"/>
              <w:rPr>
                <w:sz w:val="20"/>
                <w:szCs w:val="20"/>
                <w:color w:val="auto"/>
              </w:rPr>
            </w:pPr>
            <w:r>
              <w:rPr>
                <w:rFonts w:ascii="Arial" w:cs="Arial" w:eastAsia="Arial" w:hAnsi="Arial"/>
                <w:sz w:val="14"/>
                <w:szCs w:val="14"/>
                <w:b w:val="1"/>
                <w:bCs w:val="1"/>
                <w:color w:val="auto"/>
                <w:w w:val="91"/>
              </w:rPr>
              <w:t xml:space="preserve">Fair Value </w:t>
            </w:r>
            <w:r>
              <w:rPr>
                <w:rFonts w:ascii="Arial" w:cs="Arial" w:eastAsia="Arial" w:hAnsi="Arial"/>
                <w:sz w:val="18"/>
                <w:szCs w:val="18"/>
                <w:b w:val="1"/>
                <w:bCs w:val="1"/>
                <w:color w:val="auto"/>
                <w:w w:val="91"/>
                <w:vertAlign w:val="superscript"/>
              </w:rPr>
              <w:t>(a)</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5"/>
              <w:spacing w:after="0" w:line="189"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8"/>
                <w:szCs w:val="18"/>
                <w:b w:val="1"/>
                <w:bCs w:val="1"/>
                <w:color w:val="auto"/>
                <w:w w:val="93"/>
                <w:vertAlign w:val="superscript"/>
              </w:rPr>
              <w:t>(a)</w:t>
            </w:r>
          </w:p>
        </w:tc>
      </w:tr>
      <w:tr>
        <w:trPr>
          <w:trHeight w:val="18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42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Level 3</w:t>
            </w: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320" w:type="dxa"/>
            <w:vAlign w:val="bottom"/>
          </w:tcPr>
          <w:p>
            <w:pPr>
              <w:jc w:val="center"/>
              <w:ind w:right="1972"/>
              <w:spacing w:after="0"/>
              <w:rPr>
                <w:sz w:val="20"/>
                <w:szCs w:val="20"/>
                <w:color w:val="auto"/>
              </w:rPr>
            </w:pPr>
            <w:r>
              <w:rPr>
                <w:rFonts w:ascii="Arial" w:cs="Arial" w:eastAsia="Arial" w:hAnsi="Arial"/>
                <w:sz w:val="18"/>
                <w:szCs w:val="18"/>
                <w:color w:val="auto"/>
                <w:w w:val="88"/>
              </w:rPr>
              <w:t>Interest rate contracts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3"/>
                <w:szCs w:val="23"/>
                <w:b w:val="1"/>
                <w:bCs w:val="1"/>
                <w:color w:val="auto"/>
                <w:vertAlign w:val="superscript"/>
              </w:rPr>
              <w:t>(b)</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320" w:type="dxa"/>
            <w:vAlign w:val="bottom"/>
          </w:tcPr>
          <w:p>
            <w:pPr>
              <w:jc w:val="center"/>
              <w:ind w:right="1972"/>
              <w:spacing w:after="0"/>
              <w:rPr>
                <w:sz w:val="20"/>
                <w:szCs w:val="20"/>
                <w:color w:val="auto"/>
              </w:rPr>
            </w:pPr>
            <w:r>
              <w:rPr>
                <w:rFonts w:ascii="Arial" w:cs="Arial" w:eastAsia="Arial" w:hAnsi="Arial"/>
                <w:sz w:val="18"/>
                <w:szCs w:val="18"/>
                <w:color w:val="auto"/>
                <w:w w:val="91"/>
              </w:rPr>
              <w:t>Commodity contracts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320" w:type="dxa"/>
            <w:vAlign w:val="bottom"/>
            <w:shd w:val="clear" w:color="auto" w:fill="CCEEFF"/>
          </w:tcPr>
          <w:p>
            <w:pPr>
              <w:jc w:val="center"/>
              <w:ind w:right="1972"/>
              <w:spacing w:after="0"/>
              <w:rPr>
                <w:sz w:val="20"/>
                <w:szCs w:val="20"/>
                <w:color w:val="auto"/>
              </w:rPr>
            </w:pPr>
            <w:r>
              <w:rPr>
                <w:rFonts w:ascii="Arial" w:cs="Arial" w:eastAsia="Arial" w:hAnsi="Arial"/>
                <w:sz w:val="18"/>
                <w:szCs w:val="18"/>
                <w:color w:val="auto"/>
                <w:w w:val="88"/>
              </w:rPr>
              <w:t>Interest rate contracts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Pr>
          <w:p>
            <w:pPr>
              <w:jc w:val="center"/>
              <w:ind w:right="1972"/>
              <w:spacing w:after="0"/>
              <w:rPr>
                <w:sz w:val="20"/>
                <w:szCs w:val="20"/>
                <w:color w:val="auto"/>
              </w:rPr>
            </w:pPr>
            <w:r>
              <w:rPr>
                <w:rFonts w:ascii="Arial" w:cs="Arial" w:eastAsia="Arial" w:hAnsi="Arial"/>
                <w:sz w:val="18"/>
                <w:szCs w:val="18"/>
                <w:b w:val="1"/>
                <w:bCs w:val="1"/>
                <w:color w:val="auto"/>
                <w:w w:val="91"/>
              </w:rPr>
              <w:t>Total liabilities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400" w:firstLine="8"/>
        <w:spacing w:after="0" w:line="275" w:lineRule="auto"/>
        <w:tabs>
          <w:tab w:leader="none" w:pos="127" w:val="left"/>
        </w:tabs>
        <w:numPr>
          <w:ilvl w:val="0"/>
          <w:numId w:val="70"/>
        </w:numPr>
        <w:rPr>
          <w:rFonts w:ascii="Arial" w:cs="Arial" w:eastAsia="Arial" w:hAnsi="Arial"/>
          <w:sz w:val="9"/>
          <w:szCs w:val="9"/>
          <w:color w:val="auto"/>
        </w:rPr>
      </w:pPr>
      <w:r>
        <w:rPr>
          <w:rFonts w:ascii="Arial" w:cs="Arial" w:eastAsia="Arial" w:hAnsi="Arial"/>
          <w:sz w:val="16"/>
          <w:szCs w:val="16"/>
          <w:color w:val="auto"/>
        </w:rPr>
        <w:t>There were no derivative assets classified as Level 1, or Level 3 and no liabilities classified as Level 1 as of December 31, 2020 and no derivative assets classified as Level 1, Level 2 or Level 3 and no liabilities classified as Level 1 as of December 31, 2019.</w:t>
      </w:r>
    </w:p>
    <w:p>
      <w:pPr>
        <w:spacing w:after="0" w:line="37" w:lineRule="exact"/>
        <w:rPr>
          <w:rFonts w:ascii="Arial" w:cs="Arial" w:eastAsia="Arial" w:hAnsi="Arial"/>
          <w:sz w:val="9"/>
          <w:szCs w:val="9"/>
          <w:color w:val="auto"/>
        </w:rPr>
      </w:pPr>
    </w:p>
    <w:p>
      <w:pPr>
        <w:ind w:left="140" w:hanging="132"/>
        <w:spacing w:after="0"/>
        <w:tabs>
          <w:tab w:leader="none" w:pos="140" w:val="left"/>
        </w:tabs>
        <w:numPr>
          <w:ilvl w:val="0"/>
          <w:numId w:val="70"/>
        </w:numPr>
        <w:rPr>
          <w:rFonts w:ascii="Arial" w:cs="Arial" w:eastAsia="Arial" w:hAnsi="Arial"/>
          <w:sz w:val="9"/>
          <w:szCs w:val="9"/>
          <w:color w:val="auto"/>
        </w:rPr>
      </w:pPr>
      <w:r>
        <w:rPr>
          <w:rFonts w:ascii="Arial" w:cs="Arial" w:eastAsia="Arial" w:hAnsi="Arial"/>
          <w:sz w:val="16"/>
          <w:szCs w:val="16"/>
          <w:color w:val="auto"/>
        </w:rPr>
        <w:t>SREC contract acquired on November 2, 2020.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tbl>
      <w:tblPr>
        <w:tblLayout w:type="fixed"/>
        <w:tblInd w:w="1300" w:type="dxa"/>
        <w:tblCellMar>
          <w:top w:w="0" w:type="dxa"/>
          <w:left w:w="0" w:type="dxa"/>
          <w:bottom w:w="0" w:type="dxa"/>
          <w:right w:w="0" w:type="dxa"/>
        </w:tblCellMar>
      </w:tblPr>
      <w:tr>
        <w:trPr>
          <w:trHeight w:val="229"/>
        </w:trPr>
        <w:tc>
          <w:tcPr>
            <w:tcW w:w="4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88"/>
              </w:rPr>
              <w:t>Year ended December 31,</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40" w:type="dxa"/>
            <w:vAlign w:val="bottom"/>
            <w:gridSpan w:val="4"/>
          </w:tcPr>
          <w:p>
            <w:pPr>
              <w:jc w:val="center"/>
              <w:ind w:right="250"/>
              <w:spacing w:after="0" w:line="169" w:lineRule="exact"/>
              <w:rPr>
                <w:sz w:val="20"/>
                <w:szCs w:val="20"/>
                <w:color w:val="auto"/>
              </w:rPr>
            </w:pPr>
            <w:r>
              <w:rPr>
                <w:rFonts w:ascii="Arial" w:cs="Arial" w:eastAsia="Arial" w:hAnsi="Arial"/>
                <w:sz w:val="18"/>
                <w:szCs w:val="18"/>
                <w:b w:val="1"/>
                <w:bCs w:val="1"/>
                <w:color w:val="auto"/>
                <w:w w:val="90"/>
              </w:rPr>
              <w:t>Fair Value Measurement Using Significant</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w w:val="91"/>
              </w:rPr>
              <w:t>Unobservable Inputs (Level 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Total losses for the period included in earnings</w:t>
            </w:r>
          </w:p>
        </w:tc>
        <w:tc>
          <w:tcPr>
            <w:tcW w:w="32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
              <w:spacing w:after="0" w:line="182" w:lineRule="exact"/>
              <w:rPr>
                <w:sz w:val="20"/>
                <w:szCs w:val="20"/>
                <w:color w:val="auto"/>
              </w:rPr>
            </w:pPr>
            <w:r>
              <w:rPr>
                <w:rFonts w:ascii="Arial" w:cs="Arial" w:eastAsia="Arial" w:hAnsi="Arial"/>
                <w:sz w:val="18"/>
                <w:szCs w:val="18"/>
                <w:b w:val="1"/>
                <w:bCs w:val="1"/>
                <w:color w:val="auto"/>
                <w:w w:val="94"/>
              </w:rPr>
              <w:t>Change in unrealized losses included in earnings for</w:t>
            </w: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2"/>
                <w:szCs w:val="12"/>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vMerge w:val="restart"/>
          </w:tcPr>
          <w:p>
            <w:pPr>
              <w:ind w:left="140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derivatives held as of December 31,</w:t>
            </w:r>
          </w:p>
        </w:tc>
        <w:tc>
          <w:tcPr>
            <w:tcW w:w="32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ind w:right="140" w:firstLine="180"/>
        <w:spacing w:after="0" w:line="259"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contracts, management uses quoted observable forward prices. To the extent that observable forward prices are not available, the quoted prices reflect the average of the forward prices from the prior year, adjusted for inflation. As of December 31, 2020, contracts valued with prices provided by models and other valuation techniques make up 25% of derivative liabilities and 100% of other financial instruments.</w:t>
      </w:r>
    </w:p>
    <w:p>
      <w:pPr>
        <w:spacing w:after="0" w:line="133" w:lineRule="exact"/>
        <w:rPr>
          <w:sz w:val="20"/>
          <w:szCs w:val="20"/>
          <w:color w:val="auto"/>
        </w:rPr>
      </w:pPr>
    </w:p>
    <w:p>
      <w:pPr>
        <w:jc w:val="both"/>
        <w:ind w:right="100" w:firstLine="177"/>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quantifies the significant unobservable inputs used in developing the fair value of the Company's Level 3 positions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b w:val="1"/>
                <w:bCs w:val="1"/>
                <w:color w:val="auto"/>
              </w:rPr>
              <w:t>December 31, 2020</w:t>
            </w: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w w:val="99"/>
              </w:rPr>
              <w:t>Input/Range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Assets</w:t>
            </w:r>
          </w:p>
        </w:tc>
        <w:tc>
          <w:tcPr>
            <w:tcW w:w="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ind w:left="280"/>
              <w:spacing w:after="0" w:line="169" w:lineRule="exact"/>
              <w:rPr>
                <w:sz w:val="20"/>
                <w:szCs w:val="20"/>
                <w:color w:val="auto"/>
              </w:rPr>
            </w:pPr>
            <w:r>
              <w:rPr>
                <w:rFonts w:ascii="Arial" w:cs="Arial" w:eastAsia="Arial" w:hAnsi="Arial"/>
                <w:sz w:val="18"/>
                <w:szCs w:val="18"/>
                <w:b w:val="1"/>
                <w:bCs w:val="1"/>
                <w:color w:val="auto"/>
              </w:rPr>
              <w:t>Valuation</w:t>
            </w:r>
          </w:p>
        </w:tc>
        <w:tc>
          <w:tcPr>
            <w:tcW w:w="1700" w:type="dxa"/>
            <w:vAlign w:val="bottom"/>
          </w:tcPr>
          <w:p>
            <w:pPr>
              <w:jc w:val="center"/>
              <w:ind w:left="16"/>
              <w:spacing w:after="0" w:line="169" w:lineRule="exact"/>
              <w:rPr>
                <w:sz w:val="20"/>
                <w:szCs w:val="20"/>
                <w:color w:val="auto"/>
              </w:rPr>
            </w:pPr>
            <w:r>
              <w:rPr>
                <w:rFonts w:ascii="Arial" w:cs="Arial" w:eastAsia="Arial" w:hAnsi="Arial"/>
                <w:sz w:val="18"/>
                <w:szCs w:val="18"/>
                <w:b w:val="1"/>
                <w:bCs w:val="1"/>
                <w:color w:val="auto"/>
                <w:w w:val="91"/>
              </w:rPr>
              <w:t>Significant</w:t>
            </w:r>
          </w:p>
        </w:tc>
        <w:tc>
          <w:tcPr>
            <w:tcW w:w="280" w:type="dxa"/>
            <w:vAlign w:val="bottom"/>
          </w:tcPr>
          <w:p>
            <w:pPr>
              <w:spacing w:after="0"/>
              <w:rPr>
                <w:sz w:val="14"/>
                <w:szCs w:val="14"/>
                <w:color w:val="auto"/>
              </w:rPr>
            </w:pPr>
          </w:p>
        </w:tc>
        <w:tc>
          <w:tcPr>
            <w:tcW w:w="1000" w:type="dxa"/>
            <w:vAlign w:val="bottom"/>
            <w:vMerge w:val="restart"/>
          </w:tcPr>
          <w:p>
            <w:pPr>
              <w:jc w:val="right"/>
              <w:ind w:right="376"/>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14"/>
                <w:szCs w:val="14"/>
                <w:color w:val="auto"/>
              </w:rPr>
            </w:pPr>
          </w:p>
        </w:tc>
        <w:tc>
          <w:tcPr>
            <w:tcW w:w="1200" w:type="dxa"/>
            <w:vAlign w:val="bottom"/>
            <w:vMerge w:val="restart"/>
          </w:tcPr>
          <w:p>
            <w:pPr>
              <w:jc w:val="right"/>
              <w:ind w:right="415"/>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4"/>
                <w:szCs w:val="14"/>
                <w:color w:val="auto"/>
              </w:rPr>
            </w:pPr>
          </w:p>
        </w:tc>
        <w:tc>
          <w:tcPr>
            <w:tcW w:w="1140" w:type="dxa"/>
            <w:vAlign w:val="bottom"/>
          </w:tcPr>
          <w:p>
            <w:pPr>
              <w:ind w:left="120"/>
              <w:spacing w:after="0" w:line="169"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Technique</w:t>
            </w:r>
          </w:p>
        </w:tc>
        <w:tc>
          <w:tcPr>
            <w:tcW w:w="170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b w:val="1"/>
                <w:bCs w:val="1"/>
                <w:color w:val="auto"/>
                <w:w w:val="90"/>
              </w:rPr>
              <w:t>Unobservable Input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 millions)</w:t>
            </w: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Power Contracts</w:t>
            </w: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8"/>
              </w:rPr>
              <w:t>Discounted Cash</w:t>
            </w:r>
          </w:p>
        </w:tc>
        <w:tc>
          <w:tcPr>
            <w:tcW w:w="1700" w:type="dxa"/>
            <w:vAlign w:val="bottom"/>
            <w:shd w:val="clear" w:color="auto" w:fill="CCEEFF"/>
          </w:tcPr>
          <w:p>
            <w:pPr>
              <w:jc w:val="center"/>
              <w:ind w:left="16"/>
              <w:spacing w:after="0" w:line="166" w:lineRule="exact"/>
              <w:rPr>
                <w:sz w:val="20"/>
                <w:szCs w:val="20"/>
                <w:color w:val="auto"/>
              </w:rPr>
            </w:pPr>
            <w:r>
              <w:rPr>
                <w:rFonts w:ascii="Arial" w:cs="Arial" w:eastAsia="Arial" w:hAnsi="Arial"/>
                <w:sz w:val="16"/>
                <w:szCs w:val="16"/>
                <w:color w:val="auto"/>
                <w:w w:val="94"/>
              </w:rPr>
              <w:t>Forward Market Price</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212"/>
        </w:trPr>
        <w:tc>
          <w:tcPr>
            <w:tcW w:w="16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Flow</w:t>
            </w:r>
          </w:p>
        </w:tc>
        <w:tc>
          <w:tcPr>
            <w:tcW w:w="1700" w:type="dxa"/>
            <w:vAlign w:val="bottom"/>
            <w:shd w:val="clear" w:color="auto" w:fill="CCEEFF"/>
          </w:tcPr>
          <w:p>
            <w:pPr>
              <w:jc w:val="center"/>
              <w:ind w:left="16"/>
              <w:spacing w:after="0"/>
              <w:rPr>
                <w:sz w:val="20"/>
                <w:szCs w:val="20"/>
                <w:color w:val="auto"/>
              </w:rPr>
            </w:pPr>
            <w:r>
              <w:rPr>
                <w:rFonts w:ascii="Arial" w:cs="Arial" w:eastAsia="Arial" w:hAnsi="Arial"/>
                <w:sz w:val="16"/>
                <w:szCs w:val="16"/>
                <w:color w:val="auto"/>
                <w:w w:val="95"/>
              </w:rPr>
              <w:t>(per MWh)</w:t>
            </w:r>
          </w:p>
        </w:tc>
        <w:tc>
          <w:tcPr>
            <w:tcW w:w="2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tcPr>
          <w:p>
            <w:pPr>
              <w:jc w:val="center"/>
              <w:spacing w:after="0" w:line="166" w:lineRule="exact"/>
              <w:rPr>
                <w:sz w:val="20"/>
                <w:szCs w:val="20"/>
                <w:color w:val="auto"/>
              </w:rPr>
            </w:pPr>
            <w:r>
              <w:rPr>
                <w:rFonts w:ascii="Arial" w:cs="Arial" w:eastAsia="Arial" w:hAnsi="Arial"/>
                <w:sz w:val="16"/>
                <w:szCs w:val="16"/>
                <w:color w:val="auto"/>
                <w:w w:val="88"/>
              </w:rPr>
              <w:t>Forecast annual</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Financial</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vMerge w:val="restart"/>
          </w:tcPr>
          <w:p>
            <w:pPr>
              <w:ind w:left="20"/>
              <w:spacing w:after="0"/>
              <w:rPr>
                <w:sz w:val="20"/>
                <w:szCs w:val="20"/>
                <w:color w:val="auto"/>
              </w:rPr>
            </w:pPr>
            <w:r>
              <w:rPr>
                <w:rFonts w:ascii="Arial" w:cs="Arial" w:eastAsia="Arial" w:hAnsi="Arial"/>
                <w:sz w:val="16"/>
                <w:szCs w:val="16"/>
                <w:color w:val="auto"/>
                <w:w w:val="98"/>
              </w:rPr>
              <w:t>Discounted Cash</w:t>
            </w:r>
          </w:p>
        </w:tc>
        <w:tc>
          <w:tcPr>
            <w:tcW w:w="1700" w:type="dxa"/>
            <w:vAlign w:val="bottom"/>
          </w:tcPr>
          <w:p>
            <w:pPr>
              <w:jc w:val="center"/>
              <w:ind w:left="16"/>
              <w:spacing w:after="0" w:line="162" w:lineRule="exact"/>
              <w:rPr>
                <w:sz w:val="20"/>
                <w:szCs w:val="20"/>
                <w:color w:val="auto"/>
              </w:rPr>
            </w:pPr>
            <w:r>
              <w:rPr>
                <w:rFonts w:ascii="Arial" w:cs="Arial" w:eastAsia="Arial" w:hAnsi="Arial"/>
                <w:sz w:val="16"/>
                <w:szCs w:val="16"/>
                <w:color w:val="auto"/>
                <w:w w:val="92"/>
              </w:rPr>
              <w:t>generation levels of</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60" w:type="dxa"/>
            <w:vAlign w:val="bottom"/>
            <w:vMerge w:val="continue"/>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ind w:left="600"/>
              <w:spacing w:after="0"/>
              <w:rPr>
                <w:sz w:val="20"/>
                <w:szCs w:val="20"/>
                <w:color w:val="auto"/>
              </w:rPr>
            </w:pPr>
            <w:r>
              <w:rPr>
                <w:rFonts w:ascii="Arial" w:cs="Arial" w:eastAsia="Arial" w:hAnsi="Arial"/>
                <w:sz w:val="18"/>
                <w:szCs w:val="18"/>
                <w:color w:val="auto"/>
              </w:rPr>
              <w:t>29</w:t>
            </w:r>
          </w:p>
        </w:tc>
        <w:tc>
          <w:tcPr>
            <w:tcW w:w="960" w:type="dxa"/>
            <w:vAlign w:val="bottom"/>
            <w:vMerge w:val="restart"/>
          </w:tcPr>
          <w:p>
            <w:pPr>
              <w:jc w:val="center"/>
              <w:ind w:left="532"/>
              <w:spacing w:after="0"/>
              <w:rPr>
                <w:sz w:val="20"/>
                <w:szCs w:val="20"/>
                <w:color w:val="auto"/>
              </w:rPr>
            </w:pPr>
            <w:r>
              <w:rPr>
                <w:rFonts w:ascii="Arial" w:cs="Arial" w:eastAsia="Arial" w:hAnsi="Arial"/>
                <w:sz w:val="18"/>
                <w:szCs w:val="18"/>
                <w:color w:val="auto"/>
                <w:w w:val="99"/>
              </w:rPr>
              <w:t>—</w:t>
            </w:r>
          </w:p>
        </w:tc>
        <w:tc>
          <w:tcPr>
            <w:tcW w:w="1240" w:type="dxa"/>
            <w:vAlign w:val="bottom"/>
            <w:vMerge w:val="continue"/>
          </w:tcPr>
          <w:p>
            <w:pPr>
              <w:spacing w:after="0"/>
              <w:rPr>
                <w:sz w:val="13"/>
                <w:szCs w:val="13"/>
                <w:color w:val="auto"/>
              </w:rPr>
            </w:pPr>
          </w:p>
        </w:tc>
        <w:tc>
          <w:tcPr>
            <w:tcW w:w="1700" w:type="dxa"/>
            <w:vAlign w:val="bottom"/>
          </w:tcPr>
          <w:p>
            <w:pPr>
              <w:jc w:val="center"/>
              <w:ind w:left="16"/>
              <w:spacing w:after="0" w:line="158" w:lineRule="exact"/>
              <w:rPr>
                <w:sz w:val="20"/>
                <w:szCs w:val="20"/>
                <w:color w:val="auto"/>
              </w:rPr>
            </w:pPr>
            <w:r>
              <w:rPr>
                <w:rFonts w:ascii="Arial" w:cs="Arial" w:eastAsia="Arial" w:hAnsi="Arial"/>
                <w:sz w:val="16"/>
                <w:szCs w:val="16"/>
                <w:color w:val="auto"/>
                <w:w w:val="93"/>
              </w:rPr>
              <w:t>certain DG solar</w:t>
            </w: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80,872 MWh</w:t>
            </w: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131,374 MWh</w:t>
            </w:r>
          </w:p>
        </w:tc>
        <w:tc>
          <w:tcPr>
            <w:tcW w:w="200" w:type="dxa"/>
            <w:vAlign w:val="bottom"/>
          </w:tcPr>
          <w:p>
            <w:pPr>
              <w:spacing w:after="0"/>
              <w:rPr>
                <w:sz w:val="13"/>
                <w:szCs w:val="13"/>
                <w:color w:val="auto"/>
              </w:rPr>
            </w:pPr>
          </w:p>
        </w:tc>
        <w:tc>
          <w:tcPr>
            <w:tcW w:w="1140" w:type="dxa"/>
            <w:vAlign w:val="bottom"/>
            <w:vMerge w:val="restart"/>
          </w:tcPr>
          <w:p>
            <w:pPr>
              <w:ind w:left="180"/>
              <w:spacing w:after="0"/>
              <w:rPr>
                <w:sz w:val="20"/>
                <w:szCs w:val="20"/>
                <w:color w:val="auto"/>
              </w:rPr>
            </w:pPr>
            <w:r>
              <w:rPr>
                <w:rFonts w:ascii="Arial" w:cs="Arial" w:eastAsia="Arial" w:hAnsi="Arial"/>
                <w:sz w:val="16"/>
                <w:szCs w:val="16"/>
                <w:color w:val="auto"/>
                <w:w w:val="94"/>
              </w:rPr>
              <w:t>126,063 MWh</w:t>
            </w: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Flow</w:t>
            </w:r>
          </w:p>
        </w:tc>
        <w:tc>
          <w:tcPr>
            <w:tcW w:w="1700" w:type="dxa"/>
            <w:vAlign w:val="bottom"/>
          </w:tcPr>
          <w:p>
            <w:pPr>
              <w:jc w:val="center"/>
              <w:ind w:left="16"/>
              <w:spacing w:after="0"/>
              <w:rPr>
                <w:sz w:val="20"/>
                <w:szCs w:val="20"/>
                <w:color w:val="auto"/>
              </w:rPr>
            </w:pPr>
            <w:r>
              <w:rPr>
                <w:rFonts w:ascii="Arial" w:cs="Arial" w:eastAsia="Arial" w:hAnsi="Arial"/>
                <w:sz w:val="16"/>
                <w:szCs w:val="16"/>
                <w:color w:val="auto"/>
                <w:w w:val="98"/>
              </w:rPr>
              <w:t>facilities</w:t>
            </w: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sensitivity of fair value measurements to increases/(decreases) in significant unobservable inputs as of December 31, 2020:</w:t>
      </w:r>
    </w:p>
    <w:p>
      <w:pPr>
        <w:spacing w:after="0" w:line="113"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6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Significant Observable Input</w:t>
            </w:r>
          </w:p>
        </w:tc>
        <w:tc>
          <w:tcPr>
            <w:tcW w:w="192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7"/>
              </w:rPr>
              <w:t>Position</w:t>
            </w:r>
          </w:p>
        </w:tc>
        <w:tc>
          <w:tcPr>
            <w:tcW w:w="234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4"/>
              </w:rPr>
              <w:t>Change In Input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Forward Market Price Power</w:t>
            </w:r>
          </w:p>
        </w:tc>
        <w:tc>
          <w:tcPr>
            <w:tcW w:w="1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6"/>
              </w:rPr>
              <w:t>Buy</w:t>
            </w:r>
          </w:p>
        </w:tc>
        <w:tc>
          <w:tcPr>
            <w:tcW w:w="2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230"/>
        </w:trPr>
        <w:tc>
          <w:tcPr>
            <w:tcW w:w="3660" w:type="dxa"/>
            <w:vAlign w:val="bottom"/>
          </w:tcPr>
          <w:p>
            <w:pPr>
              <w:ind w:left="840"/>
              <w:spacing w:after="0"/>
              <w:rPr>
                <w:sz w:val="20"/>
                <w:szCs w:val="20"/>
                <w:color w:val="auto"/>
              </w:rPr>
            </w:pPr>
            <w:r>
              <w:rPr>
                <w:rFonts w:ascii="Arial" w:cs="Arial" w:eastAsia="Arial" w:hAnsi="Arial"/>
                <w:sz w:val="18"/>
                <w:szCs w:val="18"/>
                <w:color w:val="auto"/>
              </w:rPr>
              <w:t>Forward Market Price Power</w:t>
            </w:r>
          </w:p>
        </w:tc>
        <w:tc>
          <w:tcPr>
            <w:tcW w:w="1920" w:type="dxa"/>
            <w:vAlign w:val="bottom"/>
          </w:tcPr>
          <w:p>
            <w:pPr>
              <w:jc w:val="center"/>
              <w:ind w:left="70"/>
              <w:spacing w:after="0"/>
              <w:rPr>
                <w:sz w:val="20"/>
                <w:szCs w:val="20"/>
                <w:color w:val="auto"/>
              </w:rPr>
            </w:pPr>
            <w:r>
              <w:rPr>
                <w:rFonts w:ascii="Arial" w:cs="Arial" w:eastAsia="Arial" w:hAnsi="Arial"/>
                <w:sz w:val="18"/>
                <w:szCs w:val="18"/>
                <w:color w:val="auto"/>
                <w:w w:val="93"/>
              </w:rPr>
              <w:t>Sell</w:t>
            </w:r>
          </w:p>
        </w:tc>
        <w:tc>
          <w:tcPr>
            <w:tcW w:w="2340" w:type="dxa"/>
            <w:vAlign w:val="bottom"/>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Forecast Generation Level</w:t>
            </w:r>
          </w:p>
        </w:tc>
        <w:tc>
          <w:tcPr>
            <w:tcW w:w="19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Sell</w:t>
            </w:r>
          </w:p>
        </w:tc>
        <w:tc>
          <w:tcPr>
            <w:tcW w:w="2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5" w:name="page126"/>
    <w:bookmarkEnd w:id="125"/>
    <w:p>
      <w:pPr>
        <w:jc w:val="both"/>
        <w:ind w:firstLine="648"/>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2020, the non-performance reserve was a $6 million gain recorded primarily to interest expense in the consolidated statement of operations. It is possible that future market prices could vary from those used in recording assets and liabilities and such variations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6"/>
          <w:szCs w:val="16"/>
          <w:color w:val="auto"/>
        </w:rPr>
        <w:t xml:space="preserve">In addition to the credit risk discussion as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w:t>
      </w:r>
    </w:p>
    <w:p>
      <w:pPr>
        <w:spacing w:after="0" w:line="2" w:lineRule="exact"/>
        <w:rPr>
          <w:sz w:val="20"/>
          <w:szCs w:val="20"/>
          <w:color w:val="auto"/>
        </w:rPr>
      </w:pPr>
    </w:p>
    <w:p>
      <w:pPr>
        <w:jc w:val="both"/>
        <w:ind w:firstLine="8"/>
        <w:spacing w:after="0" w:line="253" w:lineRule="auto"/>
        <w:tabs>
          <w:tab w:leader="none" w:pos="22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7" w:lineRule="exact"/>
        <w:rPr>
          <w:sz w:val="20"/>
          <w:szCs w:val="20"/>
          <w:color w:val="auto"/>
        </w:rPr>
      </w:pPr>
    </w:p>
    <w:p>
      <w:pPr>
        <w:jc w:val="both"/>
        <w:ind w:firstLine="218"/>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interest rate swap agreements in order to hedge the variability of expected future cash interest payments. As of December 31, 2020, the Company had interest rate derivative instruments on non-recourse debt extending through 2044, a portion of which were designated as cash flow hedges. Under the interest rate swap agreements, the Company pays a fixed rate and the counterparties to the agreements pay a variable interest rate.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6" w:name="page127"/>
    <w:bookmarkEnd w:id="126"/>
    <w:p>
      <w:pPr>
        <w:ind w:left="420"/>
        <w:spacing w:after="0"/>
        <w:rPr>
          <w:sz w:val="20"/>
          <w:szCs w:val="20"/>
          <w:color w:val="auto"/>
        </w:rPr>
      </w:pPr>
      <w:r>
        <w:rPr>
          <w:rFonts w:ascii="Arial" w:cs="Arial" w:eastAsia="Arial" w:hAnsi="Arial"/>
          <w:sz w:val="18"/>
          <w:szCs w:val="18"/>
          <w:b w:val="1"/>
          <w:bCs w:val="1"/>
          <w:i w:val="1"/>
          <w:iCs w:val="1"/>
          <w:color w:val="auto"/>
        </w:rPr>
        <w:t>Energy Related Commodities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December 31, 2020, the Company had energy-related derivative instruments extending through 2032. At December 31, 2020, these contracts were not designated as cash flow or fair value hedges.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Total Volume</w:t>
            </w: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9"/>
              </w:rPr>
              <w:t>December 31, 2020</w:t>
            </w:r>
          </w:p>
        </w:tc>
        <w:tc>
          <w:tcPr>
            <w:tcW w:w="3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13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Commodity</w:t>
            </w:r>
          </w:p>
        </w:tc>
        <w:tc>
          <w:tcPr>
            <w:tcW w:w="236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Units</w:t>
            </w: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tcPr>
          <w:p>
            <w:pPr>
              <w:jc w:val="center"/>
              <w:ind w:left="1199"/>
              <w:spacing w:after="0" w:line="145" w:lineRule="exact"/>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Power</w:t>
            </w:r>
          </w:p>
        </w:tc>
        <w:tc>
          <w:tcPr>
            <w:tcW w:w="2360" w:type="dxa"/>
            <w:vAlign w:val="bottom"/>
            <w:gridSpan w:val="2"/>
          </w:tcPr>
          <w:p>
            <w:pPr>
              <w:spacing w:after="0"/>
              <w:rPr>
                <w:sz w:val="20"/>
                <w:szCs w:val="20"/>
                <w:color w:val="auto"/>
              </w:rPr>
            </w:pPr>
            <w:r>
              <w:rPr>
                <w:rFonts w:ascii="Arial" w:cs="Arial" w:eastAsia="Arial" w:hAnsi="Arial"/>
                <w:sz w:val="18"/>
                <w:szCs w:val="18"/>
                <w:color w:val="auto"/>
              </w:rPr>
              <w:t>MWh</w:t>
            </w:r>
          </w:p>
        </w:tc>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3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40" w:type="dxa"/>
            <w:vAlign w:val="bottom"/>
          </w:tcPr>
          <w:p>
            <w:pPr>
              <w:spacing w:after="0"/>
              <w:rPr>
                <w:sz w:val="19"/>
                <w:szCs w:val="19"/>
                <w:color w:val="auto"/>
              </w:rPr>
            </w:pPr>
          </w:p>
        </w:tc>
      </w:tr>
      <w:tr>
        <w:trPr>
          <w:trHeight w:val="87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40" w:type="dxa"/>
            <w:vAlign w:val="bottom"/>
          </w:tcPr>
          <w:p>
            <w:pPr>
              <w:jc w:val="right"/>
              <w:ind w:right="159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89"/>
        </w:trPr>
        <w:tc>
          <w:tcPr>
            <w:tcW w:w="5800" w:type="dxa"/>
            <w:vAlign w:val="bottom"/>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18"/>
                <w:szCs w:val="18"/>
                <w:b w:val="1"/>
                <w:bCs w:val="1"/>
                <w:color w:val="auto"/>
                <w:vertAlign w:val="superscript"/>
              </w:rPr>
              <w:t>(a)</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Derivative Liabilities</w:t>
            </w:r>
          </w:p>
        </w:tc>
        <w:tc>
          <w:tcPr>
            <w:tcW w:w="400" w:type="dxa"/>
            <w:vAlign w:val="bottom"/>
            <w:tcBorders>
              <w:bottom w:val="single" w:sz="8" w:color="auto"/>
            </w:tcBorders>
          </w:tcPr>
          <w:p>
            <w:pPr>
              <w:spacing w:after="0"/>
              <w:rPr>
                <w:sz w:val="16"/>
                <w:szCs w:val="16"/>
                <w:color w:val="auto"/>
              </w:rPr>
            </w:pPr>
          </w:p>
        </w:tc>
      </w:tr>
      <w:tr>
        <w:trPr>
          <w:trHeight w:val="181"/>
        </w:trPr>
        <w:tc>
          <w:tcPr>
            <w:tcW w:w="58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15"/>
                <w:szCs w:val="15"/>
                <w:color w:val="auto"/>
              </w:rPr>
            </w:pPr>
          </w:p>
        </w:tc>
      </w:tr>
      <w:tr>
        <w:trPr>
          <w:trHeight w:val="183"/>
        </w:trPr>
        <w:tc>
          <w:tcPr>
            <w:tcW w:w="58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3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480" w:type="dxa"/>
            <w:vAlign w:val="bottom"/>
          </w:tcPr>
          <w:p>
            <w:pPr>
              <w:jc w:val="right"/>
              <w:ind w:right="1297"/>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4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480" w:type="dxa"/>
            <w:vAlign w:val="bottom"/>
            <w:tcBorders>
              <w:top w:val="single" w:sz="8" w:color="auto"/>
              <w:bottom w:val="single" w:sz="8" w:color="auto"/>
            </w:tcBorders>
          </w:tcPr>
          <w:p>
            <w:pPr>
              <w:jc w:val="right"/>
              <w:ind w:right="129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4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580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14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14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4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1480" w:type="dxa"/>
            <w:vAlign w:val="bottom"/>
            <w:tcBorders>
              <w:bottom w:val="single" w:sz="8" w:color="auto"/>
            </w:tcBorders>
            <w:shd w:val="clear" w:color="auto" w:fill="CCEEFF"/>
          </w:tcPr>
          <w:p>
            <w:pPr>
              <w:jc w:val="right"/>
              <w:ind w:right="1297"/>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40" w:hanging="132"/>
        <w:spacing w:after="0"/>
        <w:tabs>
          <w:tab w:leader="none" w:pos="140" w:val="left"/>
        </w:tabs>
        <w:numPr>
          <w:ilvl w:val="0"/>
          <w:numId w:val="72"/>
        </w:numPr>
        <w:rPr>
          <w:rFonts w:ascii="Arial" w:cs="Arial" w:eastAsia="Arial" w:hAnsi="Arial"/>
          <w:sz w:val="16"/>
          <w:szCs w:val="16"/>
          <w:color w:val="auto"/>
          <w:vertAlign w:val="superscript"/>
        </w:rPr>
      </w:pPr>
      <w:r>
        <w:rPr>
          <w:rFonts w:ascii="Arial" w:cs="Arial" w:eastAsia="Arial" w:hAnsi="Arial"/>
          <w:sz w:val="12"/>
          <w:szCs w:val="12"/>
          <w:color w:val="auto"/>
        </w:rPr>
        <w:t>There were no derivative assets as of December 31, 2019.</w:t>
      </w:r>
    </w:p>
    <w:p>
      <w:pPr>
        <w:spacing w:after="0" w:line="14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December 31, 2020 and 2019, there was no outstanding collateral paid or received. The following tables summarize the offsetting of derivatives by counterparty master agreement level: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0" w:type="dxa"/>
            <w:vAlign w:val="bottom"/>
            <w:tcBorders>
              <w:bottom w:val="single" w:sz="8" w:color="auto"/>
            </w:tcBorders>
            <w:gridSpan w:val="6"/>
          </w:tcPr>
          <w:p>
            <w:pPr>
              <w:jc w:val="center"/>
              <w:ind w:left="1076"/>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2020</w:t>
            </w:r>
          </w:p>
        </w:tc>
        <w:tc>
          <w:tcPr>
            <w:tcW w:w="280" w:type="dxa"/>
            <w:vAlign w:val="bottom"/>
          </w:tcPr>
          <w:p>
            <w:pPr>
              <w:spacing w:after="0"/>
              <w:rPr>
                <w:sz w:val="11"/>
                <w:szCs w:val="11"/>
                <w:color w:val="auto"/>
              </w:rPr>
            </w:pPr>
          </w:p>
        </w:tc>
        <w:tc>
          <w:tcPr>
            <w:tcW w:w="25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1"/>
                <w:szCs w:val="11"/>
                <w:color w:val="auto"/>
              </w:rPr>
            </w:pPr>
          </w:p>
        </w:tc>
        <w:tc>
          <w:tcPr>
            <w:tcW w:w="2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Derivative Instruments</w:t>
            </w:r>
          </w:p>
        </w:tc>
        <w:tc>
          <w:tcPr>
            <w:tcW w:w="380" w:type="dxa"/>
            <w:vAlign w:val="bottom"/>
          </w:tcPr>
          <w:p>
            <w:pPr>
              <w:spacing w:after="0"/>
              <w:rPr>
                <w:sz w:val="11"/>
                <w:szCs w:val="11"/>
                <w:color w:val="auto"/>
              </w:rPr>
            </w:pPr>
          </w:p>
        </w:tc>
        <w:tc>
          <w:tcPr>
            <w:tcW w:w="14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Assets/Liabilities</w:t>
            </w: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8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8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6"/>
          </w:tcPr>
          <w:p>
            <w:pPr>
              <w:jc w:val="center"/>
              <w:ind w:left="1076"/>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280" w:type="dxa"/>
            <w:vAlign w:val="bottom"/>
          </w:tcPr>
          <w:p>
            <w:pPr>
              <w:spacing w:after="0"/>
              <w:rPr>
                <w:sz w:val="11"/>
                <w:szCs w:val="11"/>
                <w:color w:val="auto"/>
              </w:rPr>
            </w:pPr>
          </w:p>
        </w:tc>
        <w:tc>
          <w:tcPr>
            <w:tcW w:w="25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1"/>
                <w:szCs w:val="11"/>
                <w:color w:val="auto"/>
              </w:rPr>
            </w:pPr>
          </w:p>
        </w:tc>
        <w:tc>
          <w:tcPr>
            <w:tcW w:w="2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Derivative Instruments</w:t>
            </w:r>
          </w:p>
        </w:tc>
        <w:tc>
          <w:tcPr>
            <w:tcW w:w="380" w:type="dxa"/>
            <w:vAlign w:val="bottom"/>
          </w:tcPr>
          <w:p>
            <w:pPr>
              <w:spacing w:after="0"/>
              <w:rPr>
                <w:sz w:val="11"/>
                <w:szCs w:val="11"/>
                <w:color w:val="auto"/>
              </w:rPr>
            </w:pPr>
          </w:p>
        </w:tc>
        <w:tc>
          <w:tcPr>
            <w:tcW w:w="14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Assets/Liabilities</w:t>
            </w: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8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jc w:val="right"/>
              <w:ind w:right="1016"/>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93"/>
              </w:rPr>
              <w:t>(45)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6"/>
        </w:trPr>
        <w:tc>
          <w:tcPr>
            <w:tcW w:w="7100" w:type="dxa"/>
            <w:vAlign w:val="bottom"/>
          </w:tcPr>
          <w:p>
            <w:pPr>
              <w:ind w:left="180"/>
              <w:spacing w:after="0" w:line="176" w:lineRule="exact"/>
              <w:rPr>
                <w:sz w:val="20"/>
                <w:szCs w:val="20"/>
                <w:color w:val="auto"/>
              </w:rPr>
            </w:pPr>
            <w:r>
              <w:rPr>
                <w:rFonts w:ascii="Arial" w:cs="Arial" w:eastAsia="Arial" w:hAnsi="Arial"/>
                <w:sz w:val="18"/>
                <w:szCs w:val="18"/>
                <w:color w:val="auto"/>
                <w:w w:val="99"/>
              </w:rPr>
              <w:t>Reclassified from accumulated OCL to income due to realization of previously deferred</w:t>
            </w:r>
          </w:p>
        </w:tc>
        <w:tc>
          <w:tcPr>
            <w:tcW w:w="88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center"/>
              <w:ind w:left="715"/>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100" w:type="dxa"/>
            <w:vAlign w:val="bottom"/>
          </w:tcPr>
          <w:p>
            <w:pPr>
              <w:ind w:left="360"/>
              <w:spacing w:after="0"/>
              <w:rPr>
                <w:sz w:val="20"/>
                <w:szCs w:val="20"/>
                <w:color w:val="auto"/>
              </w:rPr>
            </w:pPr>
            <w:r>
              <w:rPr>
                <w:rFonts w:ascii="Arial" w:cs="Arial" w:eastAsia="Arial" w:hAnsi="Arial"/>
                <w:sz w:val="18"/>
                <w:szCs w:val="18"/>
                <w:color w:val="auto"/>
              </w:rPr>
              <w:t>amounts</w:t>
            </w:r>
          </w:p>
        </w:tc>
        <w:tc>
          <w:tcPr>
            <w:tcW w:w="8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of cash flow hedge accounting contracts</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5"/>
              <w:spacing w:after="0"/>
              <w:rPr>
                <w:sz w:val="20"/>
                <w:szCs w:val="20"/>
                <w:color w:val="auto"/>
              </w:rPr>
            </w:pPr>
            <w:r>
              <w:rPr>
                <w:rFonts w:ascii="Arial" w:cs="Arial" w:eastAsia="Arial" w:hAnsi="Arial"/>
                <w:sz w:val="18"/>
                <w:szCs w:val="18"/>
                <w:color w:val="auto"/>
                <w:w w:val="93"/>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Accumulated OCL ending balance</w:t>
            </w: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w w:val="93"/>
              </w:rPr>
              <w:t>(37)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attributable to noncontrolling interests</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1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Accumulated OCL attributable to Clearway Energy LLC</w:t>
            </w: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w w:val="93"/>
              </w:rPr>
              <w:t>(37)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years ended December 31, 2020, 2019 and 2018 the impact to the consolidated statements of income was a loss of $38 million, a loss of $65 million and a gain of $15 million, respectively.</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long-term power hedge derivatives, for which changes in fair value are recorded in operating income. For the years ended December 31, 2020 and 2019 the impact to the consolidated statements of income was a loss of $4 million and a loss of $9 million, respectively. There were no long-term power hedge derivatives outstanding during 2018.</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w:t>
      </w:r>
    </w:p>
    <w:p>
      <w:pPr>
        <w:spacing w:after="0" w:line="175" w:lineRule="exact"/>
        <w:rPr>
          <w:sz w:val="20"/>
          <w:szCs w:val="20"/>
          <w:color w:val="auto"/>
        </w:rPr>
      </w:pPr>
    </w:p>
    <w:p>
      <w:pPr>
        <w:jc w:val="both"/>
        <w:ind w:right="20" w:firstLine="191"/>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The Company's intangible assets as of December 31, 2020 and 2019 primarily reflect intangible assets established from its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are comprised of the following:</w:t>
      </w:r>
    </w:p>
    <w:p>
      <w:pPr>
        <w:spacing w:after="0" w:line="116" w:lineRule="exact"/>
        <w:rPr>
          <w:sz w:val="20"/>
          <w:szCs w:val="20"/>
          <w:color w:val="auto"/>
        </w:rPr>
      </w:pPr>
    </w:p>
    <w:p>
      <w:pPr>
        <w:ind w:left="660" w:right="20" w:hanging="328"/>
        <w:spacing w:after="0" w:line="308" w:lineRule="auto"/>
        <w:tabs>
          <w:tab w:leader="none" w:pos="655"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PPAs </w:t>
      </w:r>
      <w:r>
        <w:rPr>
          <w:rFonts w:ascii="Arial" w:cs="Arial" w:eastAsia="Arial" w:hAnsi="Arial"/>
          <w:sz w:val="17"/>
          <w:szCs w:val="17"/>
          <w:color w:val="auto"/>
        </w:rPr>
        <w:t>— Established predominantly with the acquisitions of the Alta Wind Portfolio, Walnut Creek, Tapestry, Laredo Ridge and Carlsbad Energy</w:t>
      </w:r>
      <w:r>
        <w:rPr>
          <w:rFonts w:ascii="Arial" w:cs="Arial" w:eastAsia="Arial" w:hAnsi="Arial"/>
          <w:sz w:val="17"/>
          <w:szCs w:val="17"/>
          <w:i w:val="1"/>
          <w:iCs w:val="1"/>
          <w:color w:val="auto"/>
        </w:rPr>
        <w:t xml:space="preserve"> </w:t>
      </w:r>
      <w:r>
        <w:rPr>
          <w:rFonts w:ascii="Arial" w:cs="Arial" w:eastAsia="Arial" w:hAnsi="Arial"/>
          <w:sz w:val="17"/>
          <w:szCs w:val="17"/>
          <w:color w:val="auto"/>
        </w:rPr>
        <w:t>Center. These represent the fair value of the PPAs acquired. These are amortized on a straight-line basis, over the term of the PPA.</w:t>
      </w:r>
    </w:p>
    <w:p>
      <w:pPr>
        <w:spacing w:after="0" w:line="38" w:lineRule="exact"/>
        <w:rPr>
          <w:rFonts w:ascii="Arial" w:cs="Arial" w:eastAsia="Arial" w:hAnsi="Arial"/>
          <w:sz w:val="17"/>
          <w:szCs w:val="17"/>
          <w:i w:val="1"/>
          <w:iCs w:val="1"/>
          <w:color w:val="auto"/>
        </w:rPr>
      </w:pPr>
    </w:p>
    <w:p>
      <w:pPr>
        <w:ind w:left="660" w:right="480" w:hanging="328"/>
        <w:spacing w:after="0" w:line="263" w:lineRule="auto"/>
        <w:tabs>
          <w:tab w:leader="none" w:pos="65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Leasehold Rights </w:t>
      </w:r>
      <w:r>
        <w:rPr>
          <w:rFonts w:ascii="Arial" w:cs="Arial" w:eastAsia="Arial" w:hAnsi="Arial"/>
          <w:sz w:val="18"/>
          <w:szCs w:val="18"/>
          <w:color w:val="auto"/>
        </w:rPr>
        <w:t>— Established with the acquisition of the Alta Wind Portfolio, this represents the fair value of contractual rights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royalty payments equal to a percentage of PPA revenue from certain projects. These are amortized as a reduction to operating revenue on a straight-line basis over the term of the PPAs.</w:t>
      </w:r>
    </w:p>
    <w:p>
      <w:pPr>
        <w:spacing w:after="0" w:line="75" w:lineRule="exact"/>
        <w:rPr>
          <w:rFonts w:ascii="Arial" w:cs="Arial" w:eastAsia="Arial" w:hAnsi="Arial"/>
          <w:sz w:val="18"/>
          <w:szCs w:val="18"/>
          <w:i w:val="1"/>
          <w:iCs w:val="1"/>
          <w:color w:val="auto"/>
        </w:rPr>
      </w:pPr>
    </w:p>
    <w:p>
      <w:pPr>
        <w:jc w:val="both"/>
        <w:ind w:left="660" w:right="160" w:hanging="328"/>
        <w:spacing w:after="0" w:line="286" w:lineRule="auto"/>
        <w:tabs>
          <w:tab w:leader="none" w:pos="655"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Customer relationships </w:t>
      </w:r>
      <w:r>
        <w:rPr>
          <w:rFonts w:ascii="Arial" w:cs="Arial" w:eastAsia="Arial" w:hAnsi="Arial"/>
          <w:sz w:val="17"/>
          <w:szCs w:val="17"/>
          <w:color w:val="auto"/>
        </w:rPr>
        <w:t>— Established with the acquisition of Energy Center Omaha and Energy Center Phoenix, these intangibles represent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at the acquisition date of the businesses' customer base. The customer relationships related to Energy Center Omaha are amortized as a reduction to operating revenue, which approximates the expected discounted future net cash flows by year.</w:t>
      </w:r>
    </w:p>
    <w:p>
      <w:pPr>
        <w:spacing w:after="0" w:line="57"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Customer contracts </w:t>
      </w:r>
      <w:r>
        <w:rPr>
          <w:rFonts w:ascii="Arial" w:cs="Arial" w:eastAsia="Arial" w:hAnsi="Arial"/>
          <w:sz w:val="18"/>
          <w:szCs w:val="18"/>
          <w:color w:val="auto"/>
        </w:rPr>
        <w:t>— Established with the acquisition of Energy Center Phoenix, these intangibles represent the fair value at the acquisition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contracts that primarily provide chilled water, steam and electricity to its customers. These contracts are amortized to revenues based on expected volumes.</w:t>
      </w:r>
    </w:p>
    <w:p>
      <w:pPr>
        <w:spacing w:after="0" w:line="8" w:lineRule="exact"/>
        <w:rPr>
          <w:rFonts w:ascii="Arial" w:cs="Arial" w:eastAsia="Arial" w:hAnsi="Arial"/>
          <w:sz w:val="18"/>
          <w:szCs w:val="18"/>
          <w:i w:val="1"/>
          <w:iCs w:val="1"/>
          <w:color w:val="auto"/>
        </w:rPr>
      </w:pPr>
    </w:p>
    <w:p>
      <w:pPr>
        <w:jc w:val="both"/>
        <w:ind w:left="660" w:hanging="328"/>
        <w:spacing w:after="0"/>
        <w:tabs>
          <w:tab w:leader="none" w:pos="65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Emission Allowances </w:t>
      </w:r>
      <w:r>
        <w:rPr>
          <w:rFonts w:ascii="Arial" w:cs="Arial" w:eastAsia="Arial" w:hAnsi="Arial"/>
          <w:sz w:val="18"/>
          <w:szCs w:val="18"/>
          <w:color w:val="auto"/>
        </w:rPr>
        <w:t>— These intangibles primarily consist of SO</w:t>
      </w:r>
      <w:r>
        <w:rPr>
          <w:rFonts w:ascii="Arial" w:cs="Arial" w:eastAsia="Arial" w:hAnsi="Arial"/>
          <w:sz w:val="23"/>
          <w:szCs w:val="23"/>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4"/>
          <w:szCs w:val="14"/>
          <w:color w:val="auto"/>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 allowances established with the El Segundo, Walnut Creek</w:t>
      </w:r>
      <w:r>
        <w:rPr>
          <w:rFonts w:ascii="Arial" w:cs="Arial" w:eastAsia="Arial" w:hAnsi="Arial"/>
          <w:sz w:val="18"/>
          <w:szCs w:val="18"/>
          <w:i w:val="1"/>
          <w:iCs w:val="1"/>
          <w:color w:val="auto"/>
        </w:rPr>
        <w:t xml:space="preserve"> </w:t>
      </w:r>
      <w:r>
        <w:rPr>
          <w:rFonts w:ascii="Arial" w:cs="Arial" w:eastAsia="Arial" w:hAnsi="Arial"/>
          <w:sz w:val="18"/>
          <w:szCs w:val="18"/>
          <w:color w:val="auto"/>
        </w:rPr>
        <w:t>and Carlsbad Energy Center acquisitions. These emission allowances are held-for-use and are amortized to cost of operations, with NO</w:t>
      </w:r>
      <w:r>
        <w:rPr>
          <w:rFonts w:ascii="Arial" w:cs="Arial" w:eastAsia="Arial" w:hAnsi="Arial"/>
          <w:sz w:val="14"/>
          <w:szCs w:val="14"/>
          <w:color w:val="auto"/>
        </w:rPr>
        <w:t>x</w:t>
      </w:r>
      <w:r>
        <w:rPr>
          <w:rFonts w:ascii="Arial" w:cs="Arial" w:eastAsia="Arial" w:hAnsi="Arial"/>
          <w:sz w:val="18"/>
          <w:szCs w:val="18"/>
          <w:color w:val="auto"/>
        </w:rPr>
        <w:t xml:space="preserve"> allowances amortized on a straight-line basis and SO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allowances amortized based on units of production.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9" w:name="page130"/>
    <w:bookmarkEnd w:id="129"/>
    <w:p>
      <w:pPr>
        <w:jc w:val="both"/>
        <w:ind w:left="660" w:right="20" w:hanging="328"/>
        <w:spacing w:after="0" w:line="263" w:lineRule="auto"/>
        <w:tabs>
          <w:tab w:leader="none" w:pos="655" w:val="left"/>
        </w:tabs>
        <w:numPr>
          <w:ilvl w:val="0"/>
          <w:numId w:val="74"/>
        </w:numPr>
        <w:rPr>
          <w:rFonts w:ascii="Arial" w:cs="Arial" w:eastAsia="Arial" w:hAnsi="Arial"/>
          <w:sz w:val="18"/>
          <w:szCs w:val="18"/>
          <w:i w:val="1"/>
          <w:iCs w:val="1"/>
          <w:color w:val="auto"/>
        </w:rPr>
      </w:pPr>
      <w:r>
        <w:rPr>
          <w:rFonts w:ascii="Arial" w:cs="Arial" w:eastAsia="Arial" w:hAnsi="Arial"/>
          <w:sz w:val="18"/>
          <w:szCs w:val="18"/>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Langford Wind and b) development rights related to certain solar businesses acquired in 2010 and 2011.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components of intangible assets subject to amortization: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2020</w:t>
            </w:r>
          </w:p>
        </w:tc>
        <w:tc>
          <w:tcPr>
            <w:tcW w:w="14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Leasehold</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Emission</w:t>
            </w: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Allowances</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9"/>
              </w:rPr>
              <w:t>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Consolidation of DGPV Holdco Entities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left="375"/>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center"/>
              <w:ind w:left="495"/>
              <w:spacing w:after="0"/>
              <w:rPr>
                <w:sz w:val="20"/>
                <w:szCs w:val="20"/>
                <w:color w:val="auto"/>
              </w:rPr>
            </w:pPr>
            <w:r>
              <w:rPr>
                <w:rFonts w:ascii="Arial" w:cs="Arial" w:eastAsia="Arial" w:hAnsi="Arial"/>
                <w:sz w:val="18"/>
                <w:szCs w:val="18"/>
                <w:color w:val="auto"/>
                <w:w w:val="89"/>
              </w:rPr>
              <w:t>86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3"/>
              </w:rPr>
              <w:t>(26)</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2019</w:t>
            </w:r>
          </w:p>
        </w:tc>
        <w:tc>
          <w:tcPr>
            <w:tcW w:w="144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Leasehold</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Emission</w:t>
            </w:r>
          </w:p>
        </w:tc>
        <w:tc>
          <w:tcPr>
            <w:tcW w:w="180" w:type="dxa"/>
            <w:vAlign w:val="bottom"/>
          </w:tcPr>
          <w:p>
            <w:pPr>
              <w:spacing w:after="0"/>
              <w:rPr>
                <w:sz w:val="24"/>
                <w:szCs w:val="2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4"/>
                <w:szCs w:val="24"/>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Allowances</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9"/>
              </w:rPr>
              <w:t>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Acquisition of Carlsbad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left="375"/>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89"/>
              </w:rPr>
              <w:t>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93"/>
              </w:rPr>
              <w:t>(22)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222"/>
        <w:spacing w:after="0" w:line="257" w:lineRule="auto"/>
        <w:rPr>
          <w:sz w:val="20"/>
          <w:szCs w:val="20"/>
          <w:color w:val="auto"/>
        </w:rPr>
      </w:pPr>
      <w:r>
        <w:rPr>
          <w:rFonts w:ascii="Arial" w:cs="Arial" w:eastAsia="Arial" w:hAnsi="Arial"/>
          <w:sz w:val="18"/>
          <w:szCs w:val="18"/>
          <w:color w:val="auto"/>
        </w:rPr>
        <w:t>The Company recorded amortization expense of $91 million during the year ended December 31, 2020, $73 million for the year ended December 31, 2019 and $71 million for the year ended December 31, 2018. Of these amounts, $88 million for the year ended December 31, 2020 and $72 million for the year ended December 31, 2019 and $70 million for the year ended December 31, 2018, were recorded to contract amortization expense and reduced operating revenues in the consolidated statements of operations. The Company estimates the future amortization expense for its intangibles for the next five years as follows:</w:t>
      </w:r>
    </w:p>
    <w:p>
      <w:pPr>
        <w:spacing w:after="0" w:line="175" w:lineRule="exact"/>
        <w:rPr>
          <w:sz w:val="20"/>
          <w:szCs w:val="20"/>
          <w:color w:val="auto"/>
        </w:rPr>
      </w:pPr>
    </w:p>
    <w:tbl>
      <w:tblPr>
        <w:tblLayout w:type="fixed"/>
        <w:tblInd w:w="344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 millions)</w:t>
            </w:r>
          </w:p>
        </w:tc>
      </w:tr>
      <w:tr>
        <w:trPr>
          <w:trHeight w:val="213"/>
        </w:trPr>
        <w:tc>
          <w:tcPr>
            <w:tcW w:w="2700" w:type="dxa"/>
            <w:vAlign w:val="bottom"/>
            <w:shd w:val="clear" w:color="auto" w:fill="CCEEFF"/>
          </w:tcPr>
          <w:p>
            <w:pPr>
              <w:jc w:val="right"/>
              <w:ind w:right="2279"/>
              <w:spacing w:after="0"/>
              <w:rPr>
                <w:sz w:val="20"/>
                <w:szCs w:val="20"/>
                <w:color w:val="auto"/>
              </w:rPr>
            </w:pPr>
            <w:r>
              <w:rPr>
                <w:rFonts w:ascii="Arial" w:cs="Arial" w:eastAsia="Arial" w:hAnsi="Arial"/>
                <w:sz w:val="16"/>
                <w:szCs w:val="16"/>
                <w:color w:val="auto"/>
                <w:w w:val="89"/>
              </w:rPr>
              <w:t>2021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3"/>
        </w:trPr>
        <w:tc>
          <w:tcPr>
            <w:tcW w:w="2700" w:type="dxa"/>
            <w:vAlign w:val="bottom"/>
          </w:tcPr>
          <w:p>
            <w:pPr>
              <w:jc w:val="right"/>
              <w:ind w:right="2279"/>
              <w:spacing w:after="0"/>
              <w:rPr>
                <w:sz w:val="20"/>
                <w:szCs w:val="20"/>
                <w:color w:val="auto"/>
              </w:rPr>
            </w:pPr>
            <w:r>
              <w:rPr>
                <w:rFonts w:ascii="Arial" w:cs="Arial" w:eastAsia="Arial" w:hAnsi="Arial"/>
                <w:sz w:val="16"/>
                <w:szCs w:val="16"/>
                <w:color w:val="auto"/>
                <w:w w:val="89"/>
              </w:rPr>
              <w:t>2022</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9"/>
        </w:trPr>
        <w:tc>
          <w:tcPr>
            <w:tcW w:w="2700" w:type="dxa"/>
            <w:vAlign w:val="bottom"/>
            <w:shd w:val="clear" w:color="auto" w:fill="CCEEFF"/>
          </w:tcPr>
          <w:p>
            <w:pPr>
              <w:jc w:val="right"/>
              <w:ind w:right="2279"/>
              <w:spacing w:after="0"/>
              <w:rPr>
                <w:sz w:val="20"/>
                <w:szCs w:val="20"/>
                <w:color w:val="auto"/>
              </w:rPr>
            </w:pPr>
            <w:r>
              <w:rPr>
                <w:rFonts w:ascii="Arial" w:cs="Arial" w:eastAsia="Arial" w:hAnsi="Arial"/>
                <w:sz w:val="16"/>
                <w:szCs w:val="16"/>
                <w:color w:val="auto"/>
                <w:w w:val="89"/>
              </w:rPr>
              <w:t>2023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2700" w:type="dxa"/>
            <w:vAlign w:val="bottom"/>
          </w:tcPr>
          <w:p>
            <w:pPr>
              <w:jc w:val="right"/>
              <w:ind w:right="2279"/>
              <w:spacing w:after="0"/>
              <w:rPr>
                <w:sz w:val="20"/>
                <w:szCs w:val="20"/>
                <w:color w:val="auto"/>
              </w:rPr>
            </w:pPr>
            <w:r>
              <w:rPr>
                <w:rFonts w:ascii="Arial" w:cs="Arial" w:eastAsia="Arial" w:hAnsi="Arial"/>
                <w:sz w:val="16"/>
                <w:szCs w:val="16"/>
                <w:color w:val="auto"/>
                <w:w w:val="89"/>
              </w:rPr>
              <w:t>2024</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2700" w:type="dxa"/>
            <w:vAlign w:val="bottom"/>
            <w:shd w:val="clear" w:color="auto" w:fill="CCEEFF"/>
          </w:tcPr>
          <w:p>
            <w:pPr>
              <w:jc w:val="right"/>
              <w:ind w:right="2279"/>
              <w:spacing w:after="0"/>
              <w:rPr>
                <w:sz w:val="20"/>
                <w:szCs w:val="20"/>
                <w:color w:val="auto"/>
              </w:rPr>
            </w:pPr>
            <w:r>
              <w:rPr>
                <w:rFonts w:ascii="Arial" w:cs="Arial" w:eastAsia="Arial" w:hAnsi="Arial"/>
                <w:sz w:val="16"/>
                <w:szCs w:val="16"/>
                <w:color w:val="auto"/>
                <w:w w:val="89"/>
              </w:rPr>
              <w:t>2025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Note 9 — Asset Impairments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Impairment Losses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fourth quarter of 2020 in the preparation and review of its annual budget, the Company updated its long-term estimates of operating and capital expenditures and revised its assessment of long-term merchant power prices which was primarily informed by present conditions and does not contemplate future policy changes, which could impact renewable energy power prices. As a result, the Company updated its estimated future cash flows and determined that the future cash flows for several wind projects within the Renewables segment no longer supported the recoverability of the related long-lived asset. As such, the Company recorded an impairment loss of $24 million, which primarily relates to property, plant, and equipment to reflect the assets at fair market value. The fair value of the facilities were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Additionally, during the fourth quarter of 2020, as the Company updated its estimated cash flows in connection with the preparation and review of the Company's annual budget, the Company determined that there was a significant decrease in the estimated future cash flows for its equity method investment in San Juan Mesa, a facility in the Renewables segment located in Elida, New Mexico. The decrease in the forecasted cash flows which is primarily driven by a decline in forecasted revenue in future merchant periods, is significant enough to be considered an indication of a decline in value of the investment that is not temporary. The Company concluded there was an other-than-temporary impairment of its investment and recorded an impairment loss of $8 million to reflect the investment at fair market value. The resulting fair value is a Level 3 fair value measurement.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Impairment Losses</w:t>
      </w:r>
    </w:p>
    <w:p>
      <w:pPr>
        <w:spacing w:after="0" w:line="171" w:lineRule="exact"/>
        <w:rPr>
          <w:sz w:val="20"/>
          <w:szCs w:val="20"/>
          <w:color w:val="auto"/>
        </w:rPr>
      </w:pPr>
    </w:p>
    <w:p>
      <w:pPr>
        <w:jc w:val="both"/>
        <w:ind w:firstLine="305"/>
        <w:spacing w:after="0" w:line="293" w:lineRule="auto"/>
        <w:rPr>
          <w:sz w:val="20"/>
          <w:szCs w:val="20"/>
          <w:color w:val="auto"/>
        </w:rPr>
      </w:pPr>
      <w:r>
        <w:rPr>
          <w:rFonts w:ascii="Arial" w:cs="Arial" w:eastAsia="Arial" w:hAnsi="Arial"/>
          <w:sz w:val="16"/>
          <w:szCs w:val="16"/>
          <w:color w:val="auto"/>
        </w:rPr>
        <w:t xml:space="preserve">The Company recorded an impairment loss of $19 million related to a facility in the Thermal segment during the second quarter of 2019. The impairment was triggered by a potential sale negotiation with a third party which resulted in signing the purchase and sale agreement in September,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1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during the fourth quarter of 2019, as a result of the preparation and review of its annual budget and assessment of long-term merchant power prices, the Company updated its estimated future cash flows and determined that the future cash flows for several wind projects within the Renewables segment no longer supported the recoverability of the related long-lived asset. As such, the Company recorded an impairment loss of $14 million to reflect the assets at fair market value. The fair value of the facilities was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10 — Long-term Debt</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borrowings, including short term and long term portions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7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18"/>
                <w:szCs w:val="18"/>
                <w:b w:val="1"/>
                <w:bCs w:val="1"/>
                <w:color w:val="auto"/>
                <w:vertAlign w:val="superscript"/>
              </w:rPr>
              <w:t>(a)</w:t>
            </w:r>
          </w:p>
        </w:tc>
        <w:tc>
          <w:tcPr>
            <w:tcW w:w="120" w:type="dxa"/>
            <w:vAlign w:val="bottom"/>
          </w:tcPr>
          <w:p>
            <w:pPr>
              <w:spacing w:after="0"/>
              <w:rPr>
                <w:sz w:val="11"/>
                <w:szCs w:val="11"/>
                <w:color w:val="auto"/>
              </w:rPr>
            </w:pPr>
          </w:p>
        </w:tc>
        <w:tc>
          <w:tcPr>
            <w:tcW w:w="13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1"/>
        </w:trPr>
        <w:tc>
          <w:tcPr>
            <w:tcW w:w="5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gridSpan w:val="4"/>
          </w:tcPr>
          <w:p>
            <w:pPr>
              <w:jc w:val="right"/>
              <w:ind w:right="1208"/>
              <w:spacing w:after="0"/>
              <w:rPr>
                <w:sz w:val="20"/>
                <w:szCs w:val="20"/>
                <w:color w:val="auto"/>
              </w:rPr>
            </w:pPr>
            <w:r>
              <w:rPr>
                <w:rFonts w:ascii="Arial" w:cs="Arial" w:eastAsia="Arial" w:hAnsi="Arial"/>
                <w:sz w:val="14"/>
                <w:szCs w:val="14"/>
                <w:b w:val="1"/>
                <w:bCs w:val="1"/>
                <w:color w:val="auto"/>
                <w:w w:val="97"/>
              </w:rPr>
              <w:t>(In millions, except rates)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 affiliate, due 2020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4"/>
                <w:szCs w:val="14"/>
                <w:color w:val="auto"/>
              </w:rPr>
              <w:t>Intercompany Note with Clearway Energy, Inc.</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 Senior Notes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2025 Senior Notes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600</w:t>
            </w:r>
          </w:p>
        </w:tc>
        <w:tc>
          <w:tcPr>
            <w:tcW w:w="1640" w:type="dxa"/>
            <w:vAlign w:val="bottom"/>
          </w:tcPr>
          <w:p>
            <w:pPr>
              <w:jc w:val="right"/>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 Senior Notes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2028 Senior Notes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600</w:t>
            </w:r>
          </w:p>
        </w:tc>
        <w:tc>
          <w:tcPr>
            <w:tcW w:w="1640" w:type="dxa"/>
            <w:vAlign w:val="bottom"/>
          </w:tcPr>
          <w:p>
            <w:pPr>
              <w:jc w:val="right"/>
              <w:spacing w:after="0"/>
              <w:rPr>
                <w:sz w:val="20"/>
                <w:szCs w:val="20"/>
                <w:color w:val="auto"/>
              </w:rPr>
            </w:pPr>
            <w:r>
              <w:rPr>
                <w:rFonts w:ascii="Arial" w:cs="Arial" w:eastAsia="Arial" w:hAnsi="Arial"/>
                <w:sz w:val="14"/>
                <w:szCs w:val="14"/>
                <w:color w:val="auto"/>
              </w:rPr>
              <w:t>4.750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5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Clearway Energy LLC and Clearway Energy Operating LLC Revolving Credit Facility, due</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L+1.50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2023 </w:t>
            </w:r>
            <w:r>
              <w:rPr>
                <w:rFonts w:ascii="Arial" w:cs="Arial" w:eastAsia="Arial" w:hAnsi="Arial"/>
                <w:sz w:val="18"/>
                <w:szCs w:val="18"/>
                <w:color w:val="auto"/>
                <w:vertAlign w:val="superscript"/>
              </w:rPr>
              <w:t>(b)</w:t>
            </w: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7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Project-level debt:</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20"/>
              <w:spacing w:after="0" w:line="190" w:lineRule="exact"/>
              <w:rPr>
                <w:sz w:val="20"/>
                <w:szCs w:val="20"/>
                <w:color w:val="auto"/>
              </w:rPr>
            </w:pPr>
            <w:r>
              <w:rPr>
                <w:rFonts w:ascii="Arial" w:cs="Arial" w:eastAsia="Arial" w:hAnsi="Arial"/>
                <w:sz w:val="14"/>
                <w:szCs w:val="14"/>
                <w:color w:val="auto"/>
              </w:rPr>
              <w:t>Alpine, due 2022</w:t>
            </w:r>
            <w:r>
              <w:rPr>
                <w:rFonts w:ascii="Arial" w:cs="Arial" w:eastAsia="Arial" w:hAnsi="Arial"/>
                <w:sz w:val="18"/>
                <w:szCs w:val="18"/>
                <w:color w:val="auto"/>
                <w:vertAlign w:val="superscript"/>
              </w:rPr>
              <w:t>(e)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L+2.00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Alta Wind I-V lease financing arrangements, due 2034 and 2035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844</w:t>
            </w:r>
          </w:p>
        </w:tc>
        <w:tc>
          <w:tcPr>
            <w:tcW w:w="1640" w:type="dxa"/>
            <w:vAlign w:val="bottom"/>
          </w:tcPr>
          <w:p>
            <w:pPr>
              <w:jc w:val="right"/>
              <w:spacing w:after="0"/>
              <w:rPr>
                <w:sz w:val="20"/>
                <w:szCs w:val="20"/>
                <w:color w:val="auto"/>
              </w:rPr>
            </w:pPr>
            <w:r>
              <w:rPr>
                <w:rFonts w:ascii="Arial" w:cs="Arial" w:eastAsia="Arial" w:hAnsi="Arial"/>
                <w:sz w:val="14"/>
                <w:szCs w:val="14"/>
                <w:color w:val="auto"/>
              </w:rPr>
              <w:t>5.696 - 7.015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44</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Alta Wind Asset Management LLC, due 2031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L+2.50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Alta Wind Realty Investments LLC, due 2031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1640" w:type="dxa"/>
            <w:vAlign w:val="bottom"/>
          </w:tcPr>
          <w:p>
            <w:pPr>
              <w:jc w:val="right"/>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Borrego, due 2024 and 2038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Various</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Buckthorn Solar, due 2025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L+1.750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22</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Carlsbad Holdco, due 2038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Carlsbad Energy Holdings LLC, due 2027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L+1.625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63</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Carlsbad Energy Holdings LLC, due 2038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CVSR, due 2037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696</w:t>
            </w:r>
          </w:p>
        </w:tc>
        <w:tc>
          <w:tcPr>
            <w:tcW w:w="1640" w:type="dxa"/>
            <w:vAlign w:val="bottom"/>
          </w:tcPr>
          <w:p>
            <w:pPr>
              <w:jc w:val="right"/>
              <w:spacing w:after="0"/>
              <w:rPr>
                <w:sz w:val="20"/>
                <w:szCs w:val="20"/>
                <w:color w:val="auto"/>
              </w:rPr>
            </w:pPr>
            <w:r>
              <w:rPr>
                <w:rFonts w:ascii="Arial" w:cs="Arial" w:eastAsia="Arial" w:hAnsi="Arial"/>
                <w:sz w:val="14"/>
                <w:szCs w:val="14"/>
                <w:color w:val="auto"/>
              </w:rPr>
              <w:t>2.339 - 3.775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CVSR Holdco Notes, due 2037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13</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DG-CS Master Borrower LLC, due 2040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3.510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30</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Duquesne, due 2059</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El Segundo Energy Center, due 2023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303</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L+1.875 - L+2.500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138</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 Center Minneapolis Series D, E, F, G, H Notes, due 2025-2037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various</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Laredo Ridge, due 2028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L+2.125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Kawailoa Solar Portfolio LLC, due 2026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L+1.375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14</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Marsh Landing, due 2023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L+2.125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27</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NIMH Solar, due 2024</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L+2.00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11</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Oahu Solar Holdings LLC, due 2026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L+1.375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Repowering Partnership Holdco LLC, due 2020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L+0.85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Rosie Class B LLC, due 2027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L+1.75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19</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Tapestry, due 2031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L+1.375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17</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Utah Solar Holdings, due 2036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3.590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11</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Utah Solar Portfolio, due 2022</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L+1.625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Walnut Creek, due 2023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L+1.75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42424"/>
              </w:rPr>
              <w:t>73</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WCEP Holdings, LLC, due 2023</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L+3.00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9"/>
        </w:trPr>
        <w:tc>
          <w:tcPr>
            <w:tcW w:w="552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(c)</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7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various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242424"/>
              </w:rPr>
              <w:t>50</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Subtotal project-level debt</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5,175</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tcPr>
          <w:p>
            <w:pPr>
              <w:ind w:left="360"/>
              <w:spacing w:after="0"/>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6,857</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maturities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Less net debt issuance costs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Add premiums </w:t>
            </w:r>
            <w:r>
              <w:rPr>
                <w:rFonts w:ascii="Arial" w:cs="Arial" w:eastAsia="Arial" w:hAnsi="Arial"/>
                <w:sz w:val="18"/>
                <w:szCs w:val="18"/>
                <w:color w:val="auto"/>
                <w:vertAlign w:val="superscript"/>
              </w:rPr>
              <w:t>(d)</w:t>
            </w: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20" w:type="dxa"/>
            <w:vAlign w:val="bottom"/>
          </w:tcPr>
          <w:p>
            <w:pPr>
              <w:ind w:left="140"/>
              <w:spacing w:after="0"/>
              <w:rPr>
                <w:sz w:val="20"/>
                <w:szCs w:val="20"/>
                <w:color w:val="auto"/>
              </w:rPr>
            </w:pPr>
            <w:r>
              <w:rPr>
                <w:rFonts w:ascii="Arial" w:cs="Arial" w:eastAsia="Arial" w:hAnsi="Arial"/>
                <w:sz w:val="14"/>
                <w:szCs w:val="14"/>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6,585</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4,956</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716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40" w:hanging="132"/>
        <w:spacing w:after="0"/>
        <w:tabs>
          <w:tab w:leader="none" w:pos="140" w:val="left"/>
        </w:tabs>
        <w:numPr>
          <w:ilvl w:val="0"/>
          <w:numId w:val="75"/>
        </w:numPr>
        <w:rPr>
          <w:rFonts w:ascii="Arial" w:cs="Arial" w:eastAsia="Arial" w:hAnsi="Arial"/>
          <w:sz w:val="16"/>
          <w:szCs w:val="16"/>
          <w:color w:val="auto"/>
          <w:vertAlign w:val="superscript"/>
        </w:rPr>
      </w:pPr>
      <w:r>
        <w:rPr>
          <w:rFonts w:ascii="Arial" w:cs="Arial" w:eastAsia="Arial" w:hAnsi="Arial"/>
          <w:sz w:val="12"/>
          <w:szCs w:val="12"/>
          <w:color w:val="auto"/>
        </w:rPr>
        <w:t>As of December 31, 2020, L+ equals 3 month LIBOR plus x%, except Rosie Class B, due 2027 where L+ equals 1 month LIBOR plus x%</w:t>
      </w:r>
    </w:p>
    <w:p>
      <w:pPr>
        <w:spacing w:after="0" w:line="32" w:lineRule="exact"/>
        <w:rPr>
          <w:rFonts w:ascii="Arial" w:cs="Arial" w:eastAsia="Arial" w:hAnsi="Arial"/>
          <w:sz w:val="16"/>
          <w:szCs w:val="16"/>
          <w:color w:val="auto"/>
          <w:vertAlign w:val="superscript"/>
        </w:rPr>
      </w:pPr>
    </w:p>
    <w:p>
      <w:pPr>
        <w:ind w:left="160" w:hanging="152"/>
        <w:spacing w:after="0" w:line="197" w:lineRule="auto"/>
        <w:tabs>
          <w:tab w:leader="none" w:pos="16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Applicable rate is determined by the borrower leverage ratio, as defined in the credit agreement</w:t>
      </w:r>
    </w:p>
    <w:p>
      <w:pPr>
        <w:spacing w:after="0" w:line="19" w:lineRule="exact"/>
        <w:rPr>
          <w:rFonts w:ascii="Arial" w:cs="Arial" w:eastAsia="Arial" w:hAnsi="Arial"/>
          <w:sz w:val="18"/>
          <w:szCs w:val="18"/>
          <w:color w:val="auto"/>
          <w:vertAlign w:val="superscript"/>
        </w:rPr>
      </w:pPr>
    </w:p>
    <w:p>
      <w:pPr>
        <w:ind w:right="180" w:firstLine="8"/>
        <w:spacing w:after="0" w:line="255" w:lineRule="auto"/>
        <w:tabs>
          <w:tab w:leader="none" w:pos="139" w:val="left"/>
        </w:tabs>
        <w:numPr>
          <w:ilvl w:val="0"/>
          <w:numId w:val="75"/>
        </w:numPr>
        <w:rPr>
          <w:rFonts w:ascii="Arial" w:cs="Arial" w:eastAsia="Arial" w:hAnsi="Arial"/>
          <w:sz w:val="9"/>
          <w:szCs w:val="9"/>
          <w:color w:val="auto"/>
        </w:rPr>
      </w:pPr>
      <w:r>
        <w:rPr>
          <w:rFonts w:ascii="Arial" w:cs="Arial" w:eastAsia="Arial" w:hAnsi="Arial"/>
          <w:sz w:val="14"/>
          <w:szCs w:val="14"/>
          <w:color w:val="auto"/>
        </w:rPr>
        <w:t>December 31, 2019 includes Blythe and Roadrunner debt outstanding of $14 million and $28 million, respectively which were transferred to NIMH in the third quarter of 2020, as described below</w:t>
      </w:r>
    </w:p>
    <w:p>
      <w:pPr>
        <w:ind w:left="160" w:hanging="152"/>
        <w:spacing w:after="0" w:line="234" w:lineRule="auto"/>
        <w:tabs>
          <w:tab w:leader="none" w:pos="16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Premiums relate to the 2028 Senior Notes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2" w:name="page133"/>
    <w:bookmarkEnd w:id="132"/>
    <w:p>
      <w:pPr>
        <w:jc w:val="both"/>
        <w:ind w:firstLine="190"/>
        <w:spacing w:after="0" w:line="263" w:lineRule="auto"/>
        <w:rPr>
          <w:sz w:val="20"/>
          <w:szCs w:val="20"/>
          <w:color w:val="auto"/>
        </w:rPr>
      </w:pPr>
      <w:r>
        <w:rPr>
          <w:rFonts w:ascii="Arial" w:cs="Arial" w:eastAsia="Arial" w:hAnsi="Arial"/>
          <w:sz w:val="18"/>
          <w:szCs w:val="18"/>
          <w:color w:val="auto"/>
        </w:rPr>
        <w:t>The financing arrangements listed above contain certain covenants, including financial covenants that the Company is required to be in compliance with during the term of the respective arrangement. As of December 31, 2020, the Company was in compliance with all of the required principal, interest, sinking fund and redemption covenants.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212529"/>
        </w:rPr>
        <w:t>On December 20, 2019, the Company entered into the Fifth Amendment to Amended and Restated Credit Agreement to provide for an increase of 0.50x to the borrower leverage ratio, as defined in the Amended and Restated Credit Agreement, for the last two fiscal quarters of 2020 and to implement certain other technical modifications.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December 31, 2020, the Company had no outstanding borrowings under the revolving credit facility and $66 million in letters of credit outstanding. During the year ended December 31, 2020, the Company borrowed $265 million under the revolving credit facility, and subsequently repaid $265 million utilizing the proceeds from the issuance of additional 2028 Senior Notes, as described below, and cash on hand. The Company had $195 million outstanding under the revolving credit facility and a total of $70 million in letters of credit outstanding as of February 26, 2021.</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2028 Senior Notes</w:t>
      </w:r>
    </w:p>
    <w:p>
      <w:pPr>
        <w:spacing w:after="0" w:line="171" w:lineRule="exact"/>
        <w:rPr>
          <w:sz w:val="20"/>
          <w:szCs w:val="20"/>
          <w:color w:val="auto"/>
        </w:rPr>
      </w:pPr>
    </w:p>
    <w:p>
      <w:pPr>
        <w:jc w:val="both"/>
        <w:ind w:firstLine="236"/>
        <w:spacing w:after="0" w:line="272" w:lineRule="auto"/>
        <w:rPr>
          <w:sz w:val="20"/>
          <w:szCs w:val="20"/>
          <w:color w:val="auto"/>
        </w:rPr>
      </w:pPr>
      <w:r>
        <w:rPr>
          <w:rFonts w:ascii="Arial" w:cs="Arial" w:eastAsia="Arial" w:hAnsi="Arial"/>
          <w:sz w:val="17"/>
          <w:szCs w:val="17"/>
          <w:color w:val="auto"/>
        </w:rPr>
        <w:t>On May 21, 2020, the Company completed the issuance of an additional $250 million in aggregate principal amount of its 4.750% Senior Notes due 2028.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notes were issued at a price of 102% of par plus accrued interest from December 11, 2019. The net proceeds were utilized to repay the $45 million outstanding principal amount of the Company's 2020 Convertible Notes on June 1, 2020, as well as to repay amounts outstanding under the Company’s revolving credit facility and for general corporate purposes.</w:t>
      </w:r>
    </w:p>
    <w:p>
      <w:pPr>
        <w:spacing w:after="0" w:line="12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December 11, 2019, the Company completed the sale of $600 million aggregate principal amount of the Senior Notes due 2028. The proceeds from the 2028 Senior Notes were partially used to repay the 2024 Senior Notes, as further described below.</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2024 Senior Notes Redemption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January 3, 2020, the Company redeemed the $88 million aggregate principal amount of the 2024 Senior Notes that remained outstanding</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previously deferred financing fees related to the 2024 Senior Notes.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Intercompany Note with Clearway Energy, Inc</w:t>
      </w:r>
      <w:r>
        <w:rPr>
          <w:rFonts w:ascii="Arial" w:cs="Arial" w:eastAsia="Arial" w:hAnsi="Arial"/>
          <w:sz w:val="18"/>
          <w:szCs w:val="18"/>
          <w:i w:val="1"/>
          <w:iCs w:val="1"/>
          <w:color w:val="auto"/>
        </w:rPr>
        <w:t>.</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18, 2020, the Company entered into an intercompany demand promissory note with Clearway Energy, Inc. in the principal amount of $3 million. The unpaid principal amount bears interest at a rate equal to the short-term applicable federal rate, which is payable on the last day of each quarter, or at other times as agreed upon by the Company and Clearway Energy,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level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8"/>
          <w:szCs w:val="18"/>
          <w:color w:val="auto"/>
        </w:rPr>
        <w:t>On July 1, 2020, PG&amp;E emerged from bankruptcy and assumed the Company's contracts without modification. In addition, PG&amp;E paid to the Company's applicable projects the portion of the invoices corresponding to the electricity delivered between January 1 and January 28, 2019. These invoices related to the pre-petition period services and any payment therefore required the approval of the Bankruptcy Court. Subsequent to PG&amp;E's emergence from bankruptcy, the Company entered into waiver agreements with the lenders to the respective financing agreements related to the PG&amp;E Bankruptcy.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Rosamond Central (Rosie Class B LLC)</w:t>
      </w:r>
    </w:p>
    <w:p>
      <w:pPr>
        <w:spacing w:after="0" w:line="171"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 xml:space="preserve">On December 21, 2020 as part of the acquisition of Rosie TargetCo LLC, as further descried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the Company assumed the Amended and Restated Financing Agreement, which provided for a construction loan of up to $91 million, a cash equity bridge loan of up to $24 million and an investment tax credit loan of up to $132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3" w:name="page134"/>
    <w:bookmarkEnd w:id="133"/>
    <w:p>
      <w:pPr>
        <w:ind w:right="140" w:firstLine="405"/>
        <w:spacing w:after="0" w:line="257" w:lineRule="auto"/>
        <w:rPr>
          <w:sz w:val="20"/>
          <w:szCs w:val="20"/>
          <w:color w:val="auto"/>
        </w:rPr>
      </w:pPr>
      <w:r>
        <w:rPr>
          <w:rFonts w:ascii="Arial" w:cs="Arial" w:eastAsia="Arial" w:hAnsi="Arial"/>
          <w:sz w:val="18"/>
          <w:szCs w:val="18"/>
          <w:color w:val="auto"/>
        </w:rPr>
        <w:t>On December 31, 2020, Rosie Class B, LLC converted the construction loan to a $80 million term loan and repaid the investment tax credit loan of $130 million, utilizing tax equity funding. The term loan bears annual interest at a rate of LIBOR plus an applicable margin, which is 1.75% per annum through the third anniversary of the term conversion, and 2.00% per annum thereafter through the maturity date of December 31, 2027. In addition, Rosie Class B LLC is party to several letter of credit facility agreements, not to exceed $23 million. As of December 31, 2020, a total of $19 million in letters of credit were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Repowering Partnership Holdco LLC, due 2020</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June 14, 2019, as part of the Repowering Partnership, the Company entered into a financing agreement for non-recourse debt for a total commitment amount of $352 million related to the construction for the repowering activities at Wildorado and Elbow Creek. The debt consisted of a construction loan at an interest rate of LIBOR plus 0.85%. The Company borrowings were utilized to repay $109 million of the outstanding balance, including accrued interest, under the Viento financing agreement, to reimburse Clearway Renew LLC for previous contributions into the Repowering Partnership and pay construction invoices. On November 26, 2019, the construction loan of $93 million related to the repowering activities at Elbow Creek was repaid with the proceeds from the tax equity investor. On February 7, 2020 the construction loan of $260 million related to the repowering activities at Wildorado was repaid with the proceeds from the tax equity investor.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DGPV Holdco 3</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Upon consolidation of DGPV Holdco 3, as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the Company consolidates additional non-recourse debt for certain subsidiaries as further described below.</w:t>
      </w:r>
    </w:p>
    <w:p>
      <w:pPr>
        <w:spacing w:after="0" w:line="11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7"/>
          <w:szCs w:val="17"/>
          <w:color w:val="auto"/>
        </w:rPr>
        <w:t>Renew CS4 Borrower LLC, or CS4 Borrower, a consolidated subsidiary of DGPV Holdco 3, is party to a credit agreement for construction loans up to $97 million, an investment tax credit bridge loan, or ITC bridge loan, for up to $90 million and letter of credit facilities up to $5 million. The construction loan and the ITC bridge loan both have an interest rate of LIBOR plus an applicable margin of 2.00% per annum. As of June 30, 2020, all construction loans were converted to term loans and the ITC bridge loans were repaid in connection with tax equity funding. The term loan was repaid on November 2, 2020 with the proceeds of the term loan issued by DG-CS Master Borrower LLC, as described below.</w:t>
      </w:r>
    </w:p>
    <w:p>
      <w:pPr>
        <w:spacing w:after="0" w:line="201"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Chestnut Borrower LLC, a consolidated subsidiary of DGPV Holdco 3, is party to a credit agreement for term loans of up to $120 million and letters of credit of up to $8 million. The loans were repaid on November 2, 2020 with the proceeds of the term loan issued by DG-CS Master Borrower LLC, as described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DG-CS Master Borrower LLC</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term loan bears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Concurrent with the refinancing, the projects were transferred under DG-CS Master Borrower LLC and the obligations under the financing arrangement are supported by the Company's interest in the projects.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Utah Solar Holdings, LLC</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September 1, 2020, Utah Solar Holdings, LLC, or Utah Solar, entered into a financing arrangement, which included the issuance of approximately $296 million in senior secured notes supported by the Company’s interest in the Utah projects (Four Brothers, Granite Mountain and Iron Springs, previously defined as the Utah Solar Portfolio), as well as $16 million in letters of credit in support of debt service obligations.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color w:val="auto"/>
        </w:rPr>
        <w:t>NIMH Solar LLC</w:t>
      </w:r>
    </w:p>
    <w:p>
      <w:pPr>
        <w:spacing w:after="0" w:line="171" w:lineRule="exact"/>
        <w:rPr>
          <w:sz w:val="20"/>
          <w:szCs w:val="20"/>
          <w:color w:val="auto"/>
        </w:rPr>
      </w:pPr>
    </w:p>
    <w:p>
      <w:pPr>
        <w:ind w:firstLine="405"/>
        <w:spacing w:after="0" w:line="294" w:lineRule="auto"/>
        <w:rPr>
          <w:sz w:val="20"/>
          <w:szCs w:val="20"/>
          <w:color w:val="auto"/>
        </w:rPr>
      </w:pPr>
      <w:r>
        <w:rPr>
          <w:rFonts w:ascii="Arial" w:cs="Arial" w:eastAsia="Arial" w:hAnsi="Arial"/>
          <w:sz w:val="16"/>
          <w:szCs w:val="16"/>
          <w:color w:val="auto"/>
        </w:rPr>
        <w:t>On September 30, 2020, the Alpine, Blythe and Roadrunner projects were transferred under NIMH Solar LLC, a wholly owned subsidiary of Clearway Energy Operating LLC. Concurrently, total project-level debt outstanding for Alpine, Blythe and Roadrunner of $158 million was assigned to NIMH Solar LLC. The consolidated facility was amended to a term loan for $193 million, as well as $16 million in letters of credit in support of debt service and project obligations. The term loan bears annual interest rate of LIBOR, plus an applicable margin, which is 2.00% per annum through the third anniversary of closing, and 2.125% per annum thereafter through the maturity date in September 2024. As a result of the amendment the Company received $35 million which was utilized to pay related fees and expenses and along with existing project level cash provided a distribution to Clearway Energy Operating LLC of $45 million. The obligations under the financing arrangement are supported by the Company’s interests in the projects.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Carlsbad Drop Down Asset Debt</w:t>
      </w:r>
    </w:p>
    <w:p>
      <w:pPr>
        <w:spacing w:after="0" w:line="171"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 xml:space="preserve">On December 6, 2019, as part of the Carlsbad Drop Down acquisition,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Company assumed $803 million of senior secured, non-recourse notes related to Carlsbad Holdco LLC and Carlsbad Energy Holding LLC. The Carlsbad Holdco LLC notes bear an interest rate of 4.21%, and are fully amortizing over 19 years. In addition, Carlsbad Holdco LLC is party to a letter of credit facility agreement with the issuing banks for an aggregate principal amount not to exceed $10 million. Fees on the unused commitment are 0.65%.</w:t>
      </w:r>
    </w:p>
    <w:p>
      <w:pPr>
        <w:spacing w:after="0" w:line="103" w:lineRule="exact"/>
        <w:rPr>
          <w:sz w:val="20"/>
          <w:szCs w:val="20"/>
          <w:color w:val="auto"/>
        </w:rPr>
      </w:pPr>
    </w:p>
    <w:p>
      <w:pPr>
        <w:jc w:val="both"/>
        <w:ind w:firstLine="209"/>
        <w:spacing w:after="0" w:line="255" w:lineRule="auto"/>
        <w:rPr>
          <w:sz w:val="20"/>
          <w:szCs w:val="20"/>
          <w:color w:val="auto"/>
        </w:rPr>
      </w:pPr>
      <w:r>
        <w:rPr>
          <w:rFonts w:ascii="Arial" w:cs="Arial" w:eastAsia="Arial" w:hAnsi="Arial"/>
          <w:sz w:val="18"/>
          <w:szCs w:val="18"/>
          <w:color w:val="auto"/>
        </w:rPr>
        <w:t>Carlsbad Energy Holdings LLC is party to a note payable agreement with financial institutions for the issuance of up to $407 million of senior secured notes that bear interest at a rate of 4.12%, and mature on October 31, 2038. Carlsbad Energy Holdings LLC is also party to a term loan agreement with issuing banks for an aggregate principal amount of $194 million at an issuance rate of LIBOR plus an applicable margin of 1.625% until February 25, 2022, 1.750% until February 25, 2025, and 1.875% until maturity. Fees on the unused commitment are 0.50%. upon completion of the project. The agreement also includes a letter of credit facility with an aggregate principal amount not to exceed $83 million, and a working capital loan facility with an aggregate principal amount not to exceed $4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Agua Caliente Borrower 2 Debt Repayment</w:t>
      </w:r>
    </w:p>
    <w:p>
      <w:pPr>
        <w:spacing w:after="0" w:line="171" w:lineRule="exact"/>
        <w:rPr>
          <w:sz w:val="20"/>
          <w:szCs w:val="20"/>
          <w:color w:val="auto"/>
        </w:rPr>
      </w:pPr>
    </w:p>
    <w:p>
      <w:pPr>
        <w:jc w:val="both"/>
        <w:ind w:firstLine="234"/>
        <w:spacing w:after="0" w:line="342" w:lineRule="auto"/>
        <w:rPr>
          <w:sz w:val="20"/>
          <w:szCs w:val="20"/>
          <w:color w:val="auto"/>
        </w:rPr>
      </w:pPr>
      <w:r>
        <w:rPr>
          <w:rFonts w:ascii="Arial" w:cs="Arial" w:eastAsia="Arial" w:hAnsi="Arial"/>
          <w:sz w:val="16"/>
          <w:szCs w:val="16"/>
          <w:color w:val="auto"/>
        </w:rPr>
        <w:t>On October 21, 2019</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through Agua Caliente Borrower </w:t>
      </w:r>
      <w:r>
        <w:rPr>
          <w:rFonts w:ascii="Arial" w:cs="Arial" w:eastAsia="Arial" w:hAnsi="Arial"/>
          <w:sz w:val="16"/>
          <w:szCs w:val="16"/>
          <w:i w:val="1"/>
          <w:iCs w:val="1"/>
          <w:color w:val="auto"/>
        </w:rPr>
        <w:t>2</w:t>
      </w:r>
      <w:r>
        <w:rPr>
          <w:rFonts w:ascii="Arial" w:cs="Arial" w:eastAsia="Arial" w:hAnsi="Arial"/>
          <w:sz w:val="16"/>
          <w:szCs w:val="16"/>
          <w:color w:val="auto"/>
        </w:rPr>
        <w:t xml:space="preserve"> LLC, repaid $40 million of the outstanding notes balance, including accrued interest and premiums, issued under the Agua Caliente Holdco Financing Agreement. The repayment was funded with Company's existing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Duquesne University</w:t>
      </w:r>
    </w:p>
    <w:p>
      <w:pPr>
        <w:spacing w:after="0" w:line="17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On May 1, 2019</w:t>
      </w:r>
      <w:r>
        <w:rPr>
          <w:rFonts w:ascii="Arial" w:cs="Arial" w:eastAsia="Arial" w:hAnsi="Arial"/>
          <w:sz w:val="17"/>
          <w:szCs w:val="17"/>
          <w:i w:val="1"/>
          <w:iCs w:val="1"/>
          <w:color w:val="auto"/>
        </w:rPr>
        <w:t>,</w:t>
      </w:r>
      <w:r>
        <w:rPr>
          <w:rFonts w:ascii="Arial" w:cs="Arial" w:eastAsia="Arial" w:hAnsi="Arial"/>
          <w:sz w:val="17"/>
          <w:szCs w:val="17"/>
          <w:color w:val="auto"/>
        </w:rPr>
        <w:t xml:space="preserve"> as part of the Duquesne University district energy system acquisition, ECP Uptown Campus LLC issued non-recourse debt of $95 million, excluding financing fees. The debt consists of senior notes at an interest rate of 4.62% that mature on May 1, 2059</w:t>
      </w:r>
      <w:r>
        <w:rPr>
          <w:rFonts w:ascii="Arial" w:cs="Arial" w:eastAsia="Arial" w:hAnsi="Arial"/>
          <w:sz w:val="17"/>
          <w:szCs w:val="17"/>
          <w:i w:val="1"/>
          <w:iCs w:val="1"/>
          <w:color w:val="auto"/>
        </w:rPr>
        <w:t>.</w:t>
      </w:r>
      <w:r>
        <w:rPr>
          <w:rFonts w:ascii="Arial" w:cs="Arial" w:eastAsia="Arial" w:hAnsi="Arial"/>
          <w:sz w:val="17"/>
          <w:szCs w:val="17"/>
          <w:color w:val="auto"/>
        </w:rPr>
        <w:t xml:space="preserve"> Interest on the notes are payable semi-annually in arrears. The proceeds of the debt, along with cash on hand, were utilized to fund the purchase price of the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Oahu Solar Holdings LLC</w:t>
      </w:r>
    </w:p>
    <w:p>
      <w:pPr>
        <w:spacing w:after="0" w:line="171" w:lineRule="exact"/>
        <w:rPr>
          <w:sz w:val="20"/>
          <w:szCs w:val="20"/>
          <w:color w:val="auto"/>
        </w:rPr>
      </w:pPr>
    </w:p>
    <w:p>
      <w:pPr>
        <w:jc w:val="both"/>
        <w:ind w:firstLine="210"/>
        <w:spacing w:after="0" w:line="255" w:lineRule="auto"/>
        <w:rPr>
          <w:sz w:val="20"/>
          <w:szCs w:val="20"/>
          <w:color w:val="auto"/>
        </w:rPr>
      </w:pPr>
      <w:r>
        <w:rPr>
          <w:rFonts w:ascii="Arial" w:cs="Arial" w:eastAsia="Arial" w:hAnsi="Arial"/>
          <w:sz w:val="18"/>
          <w:szCs w:val="18"/>
          <w:color w:val="auto"/>
        </w:rPr>
        <w:t xml:space="preserve">Due to the Company consolidating the Oahu Partnership, as further described in Note 5, </w:t>
      </w:r>
      <w:r>
        <w:rPr>
          <w:rFonts w:ascii="Arial" w:cs="Arial" w:eastAsia="Arial" w:hAnsi="Arial"/>
          <w:sz w:val="18"/>
          <w:szCs w:val="18"/>
          <w:i w:val="1"/>
          <w:iCs w:val="1"/>
          <w:color w:val="auto"/>
        </w:rPr>
        <w:t>Investments Accounted for by the Equity Method and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the Company assumed non-recourse debt of $143 million related to Oahu Solar Holdings, LLC. The debt consists of a construction loan</w:t>
      </w:r>
      <w:r>
        <w:rPr>
          <w:rFonts w:ascii="Arial" w:cs="Arial" w:eastAsia="Arial" w:hAnsi="Arial"/>
          <w:sz w:val="18"/>
          <w:szCs w:val="18"/>
          <w:i w:val="1"/>
          <w:iCs w:val="1"/>
          <w:color w:val="auto"/>
        </w:rPr>
        <w:t xml:space="preserve"> </w:t>
      </w:r>
      <w:r>
        <w:rPr>
          <w:rFonts w:ascii="Arial" w:cs="Arial" w:eastAsia="Arial" w:hAnsi="Arial"/>
          <w:sz w:val="18"/>
          <w:szCs w:val="18"/>
          <w:color w:val="auto"/>
        </w:rPr>
        <w:t>and an ITC bridge loan with a total commitment amount of $162 million, both at an interest rate of LIBOR plus 1.375%. On November 13, 2019, $90 million of non-recourse debt was converted to a term loan with an expected maturity of November 2026, and the remainder of the non-recourse debt was repaid with the final contribution from the tax equity investor of $67 million upon the project reaching substantial completion. Interest on the term loan is payable quarterly in arrears.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Kawailoa Solar Portfolio LLC</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Due to the Company consolidating the Kawailoa Partnership, as further described in Note 5, </w:t>
      </w:r>
      <w:r>
        <w:rPr>
          <w:rFonts w:ascii="Arial" w:cs="Arial" w:eastAsia="Arial" w:hAnsi="Arial"/>
          <w:sz w:val="18"/>
          <w:szCs w:val="18"/>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the Company assumed non-recourse debt of $120 million related to Kawailoa Solar Portfolio, LLC. The debt consists of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loan and an ITC bridge loan, with a total commitment amount of $137 million both at an interest rate of LIBOR plus 1.375%. On December 23, 2019, $82 million of non-recourse debt was converted to a term loan with an expected maturity of December 2026, and the remainder of the non-recourse debt was repaid with the final contribution from the tax equity investor of $57 million upon the project reaching substantial completion. Interest on the term loan is payable quarterly in arrears.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South Trent Refinancing</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June 14, 2019, the Company, through South Trent Wind LLC, refinanced $49 million of non-recourse debt due 2020 at an interest rate of LIBOR plus 1.625% by issuing $46 million of new non-recourse financing due 2028 at an interest rate of LIBOR plus 1.350%.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Tapestry Refinancing</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April 29, 2019, the Company, through Tapestry Wind LLC, refinanced $147 million of non-recourse debt due 2021 at interest rate of LIBOR plus 1.75% by issuing $164 million of new non-recourse financing due 2031 at an interest rate of LIBOR plus 1.375%.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Project Financings</w:t>
      </w:r>
    </w:p>
    <w:p>
      <w:pPr>
        <w:spacing w:after="0" w:line="175" w:lineRule="exact"/>
        <w:rPr>
          <w:sz w:val="20"/>
          <w:szCs w:val="20"/>
          <w:color w:val="auto"/>
        </w:rPr>
      </w:pPr>
    </w:p>
    <w:p>
      <w:pPr>
        <w:jc w:val="both"/>
        <w:ind w:firstLine="223"/>
        <w:spacing w:after="0" w:line="257" w:lineRule="auto"/>
        <w:rPr>
          <w:sz w:val="20"/>
          <w:szCs w:val="20"/>
          <w:color w:val="auto"/>
        </w:rPr>
      </w:pPr>
      <w:r>
        <w:rPr>
          <w:rFonts w:ascii="Arial" w:cs="Arial" w:eastAsia="Arial" w:hAnsi="Arial"/>
          <w:sz w:val="18"/>
          <w:szCs w:val="18"/>
          <w:color w:val="auto"/>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swaps, some of which are forward starting as indicated, related to the Company's project level debt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Fixed</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Notional Amount at</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Principal</w:t>
            </w:r>
          </w:p>
        </w:tc>
        <w:tc>
          <w:tcPr>
            <w:tcW w:w="100" w:type="dxa"/>
            <w:vAlign w:val="bottom"/>
            <w:vMerge w:val="restart"/>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Floating Interest Rate</w:t>
            </w:r>
          </w:p>
        </w:tc>
        <w:tc>
          <w:tcPr>
            <w:tcW w:w="100" w:type="dxa"/>
            <w:vAlign w:val="bottom"/>
            <w:vMerge w:val="restart"/>
          </w:tcPr>
          <w:p>
            <w:pPr>
              <w:spacing w:after="0"/>
              <w:rPr>
                <w:sz w:val="11"/>
                <w:szCs w:val="11"/>
                <w:color w:val="auto"/>
              </w:rPr>
            </w:pPr>
          </w:p>
        </w:tc>
        <w:tc>
          <w:tcPr>
            <w:tcW w:w="14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December 31, 2020 (In</w:t>
            </w:r>
          </w:p>
        </w:tc>
        <w:tc>
          <w:tcPr>
            <w:tcW w:w="100" w:type="dxa"/>
            <w:vAlign w:val="bottom"/>
          </w:tcPr>
          <w:p>
            <w:pPr>
              <w:spacing w:after="0"/>
              <w:rPr>
                <w:sz w:val="11"/>
                <w:szCs w:val="11"/>
                <w:color w:val="auto"/>
              </w:rPr>
            </w:pPr>
          </w:p>
        </w:tc>
        <w:tc>
          <w:tcPr>
            <w:tcW w:w="17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vMerge w:val="restart"/>
          </w:tcPr>
          <w:p>
            <w:pPr>
              <w:spacing w:after="0"/>
              <w:rPr>
                <w:sz w:val="11"/>
                <w:szCs w:val="11"/>
                <w:color w:val="auto"/>
              </w:rPr>
            </w:pPr>
          </w:p>
        </w:tc>
        <w:tc>
          <w:tcPr>
            <w:tcW w:w="19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2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Avra Valley</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2.33 %</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November 30, 2012</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30, 2030</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w w:val="97"/>
              </w:rPr>
              <w:t>Alta Wind Asset Management</w:t>
            </w: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May 22, 2013</w:t>
            </w:r>
          </w:p>
        </w:tc>
        <w:tc>
          <w:tcPr>
            <w:tcW w:w="1920" w:type="dxa"/>
            <w:vAlign w:val="bottom"/>
          </w:tcPr>
          <w:p>
            <w:pPr>
              <w:jc w:val="right"/>
              <w:spacing w:after="0"/>
              <w:rPr>
                <w:sz w:val="20"/>
                <w:szCs w:val="20"/>
                <w:color w:val="auto"/>
              </w:rPr>
            </w:pPr>
            <w:r>
              <w:rPr>
                <w:rFonts w:ascii="Arial" w:cs="Arial" w:eastAsia="Arial" w:hAnsi="Arial"/>
                <w:sz w:val="16"/>
                <w:szCs w:val="16"/>
                <w:color w:val="auto"/>
              </w:rPr>
              <w:t>May 15, 2031</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Borrego</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0.476 %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30, 2020</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Buckthorn Solar</w:t>
            </w:r>
          </w:p>
        </w:tc>
        <w:tc>
          <w:tcPr>
            <w:tcW w:w="104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28, 2018</w:t>
            </w:r>
          </w:p>
        </w:tc>
        <w:tc>
          <w:tcPr>
            <w:tcW w:w="1920" w:type="dxa"/>
            <w:vAlign w:val="bottom"/>
          </w:tcPr>
          <w:p>
            <w:pPr>
              <w:jc w:val="right"/>
              <w:spacing w:after="0"/>
              <w:rPr>
                <w:sz w:val="20"/>
                <w:szCs w:val="20"/>
                <w:color w:val="auto"/>
              </w:rPr>
            </w:pPr>
            <w:r>
              <w:rPr>
                <w:rFonts w:ascii="Arial" w:cs="Arial" w:eastAsia="Arial" w:hAnsi="Arial"/>
                <w:sz w:val="16"/>
                <w:szCs w:val="16"/>
                <w:color w:val="auto"/>
              </w:rPr>
              <w:t>December 31, 2041</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Carlsbad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Various</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30, 2027</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El Segundo</w:t>
            </w: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Various</w:t>
            </w:r>
          </w:p>
        </w:tc>
        <w:tc>
          <w:tcPr>
            <w:tcW w:w="1920" w:type="dxa"/>
            <w:vAlign w:val="bottom"/>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Kansas South</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6-Month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28, 2013</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2030</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Kawailoa Solar</w:t>
            </w:r>
          </w:p>
        </w:tc>
        <w:tc>
          <w:tcPr>
            <w:tcW w:w="1040" w:type="dxa"/>
            <w:vAlign w:val="bottom"/>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30, 2019</w:t>
            </w:r>
          </w:p>
        </w:tc>
        <w:tc>
          <w:tcPr>
            <w:tcW w:w="1920" w:type="dxa"/>
            <w:vAlign w:val="bottom"/>
          </w:tcPr>
          <w:p>
            <w:pPr>
              <w:jc w:val="right"/>
              <w:spacing w:after="0"/>
              <w:rPr>
                <w:sz w:val="20"/>
                <w:szCs w:val="20"/>
                <w:color w:val="auto"/>
              </w:rPr>
            </w:pPr>
            <w:r>
              <w:rPr>
                <w:rFonts w:ascii="Arial" w:cs="Arial" w:eastAsia="Arial" w:hAnsi="Arial"/>
                <w:sz w:val="16"/>
                <w:szCs w:val="16"/>
                <w:color w:val="auto"/>
              </w:rPr>
              <w:t>October 31, 2040</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Laredo Ridge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17, 2014</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2028</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Marsh Landing</w:t>
            </w: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June 28, 2013</w:t>
            </w:r>
          </w:p>
        </w:tc>
        <w:tc>
          <w:tcPr>
            <w:tcW w:w="1920" w:type="dxa"/>
            <w:vAlign w:val="bottom"/>
          </w:tcPr>
          <w:p>
            <w:pPr>
              <w:jc w:val="right"/>
              <w:spacing w:after="0"/>
              <w:rPr>
                <w:sz w:val="20"/>
                <w:szCs w:val="20"/>
                <w:color w:val="auto"/>
              </w:rPr>
            </w:pPr>
            <w:r>
              <w:rPr>
                <w:rFonts w:ascii="Arial" w:cs="Arial" w:eastAsia="Arial" w:hAnsi="Arial"/>
                <w:sz w:val="16"/>
                <w:szCs w:val="16"/>
                <w:color w:val="auto"/>
              </w:rPr>
              <w:t>June 30, 2023</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NIMH Solar LLC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30, 2020</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Oahu Solar</w:t>
            </w:r>
          </w:p>
        </w:tc>
        <w:tc>
          <w:tcPr>
            <w:tcW w:w="104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30, 2019</w:t>
            </w:r>
          </w:p>
        </w:tc>
        <w:tc>
          <w:tcPr>
            <w:tcW w:w="1920" w:type="dxa"/>
            <w:vAlign w:val="bottom"/>
          </w:tcPr>
          <w:p>
            <w:pPr>
              <w:jc w:val="right"/>
              <w:spacing w:after="0"/>
              <w:rPr>
                <w:sz w:val="20"/>
                <w:szCs w:val="20"/>
                <w:color w:val="auto"/>
              </w:rPr>
            </w:pPr>
            <w:r>
              <w:rPr>
                <w:rFonts w:ascii="Arial" w:cs="Arial" w:eastAsia="Arial" w:hAnsi="Arial"/>
                <w:sz w:val="16"/>
                <w:szCs w:val="16"/>
                <w:color w:val="auto"/>
              </w:rPr>
              <w:t>October 31, 2040</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Rosie Class B</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31, 2020</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29, 2044</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South Trent</w:t>
            </w:r>
          </w:p>
        </w:tc>
        <w:tc>
          <w:tcPr>
            <w:tcW w:w="104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3.847 %</w:t>
            </w:r>
          </w:p>
        </w:tc>
        <w:tc>
          <w:tcPr>
            <w:tcW w:w="100" w:type="dxa"/>
            <w:vAlign w:val="bottom"/>
          </w:tcPr>
          <w:p>
            <w:pPr>
              <w:spacing w:after="0"/>
              <w:rPr>
                <w:sz w:val="18"/>
                <w:szCs w:val="18"/>
                <w:color w:val="auto"/>
              </w:rPr>
            </w:pP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June 14, 2019</w:t>
            </w:r>
          </w:p>
        </w:tc>
        <w:tc>
          <w:tcPr>
            <w:tcW w:w="1920" w:type="dxa"/>
            <w:vAlign w:val="bottom"/>
          </w:tcPr>
          <w:p>
            <w:pPr>
              <w:jc w:val="right"/>
              <w:spacing w:after="0"/>
              <w:rPr>
                <w:sz w:val="20"/>
                <w:szCs w:val="20"/>
                <w:color w:val="auto"/>
              </w:rPr>
            </w:pPr>
            <w:r>
              <w:rPr>
                <w:rFonts w:ascii="Arial" w:cs="Arial" w:eastAsia="Arial" w:hAnsi="Arial"/>
                <w:sz w:val="16"/>
                <w:szCs w:val="16"/>
                <w:color w:val="auto"/>
              </w:rPr>
              <w:t>June 30, 2028</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Tapestry</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Various</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Tapestry</w:t>
            </w:r>
          </w:p>
        </w:tc>
        <w:tc>
          <w:tcPr>
            <w:tcW w:w="104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3.57 %</w:t>
            </w:r>
          </w:p>
        </w:tc>
        <w:tc>
          <w:tcPr>
            <w:tcW w:w="100" w:type="dxa"/>
            <w:vAlign w:val="bottom"/>
          </w:tcPr>
          <w:p>
            <w:pPr>
              <w:spacing w:after="0"/>
              <w:rPr>
                <w:sz w:val="18"/>
                <w:szCs w:val="18"/>
                <w:color w:val="auto"/>
              </w:rPr>
            </w:pP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21, 2021</w:t>
            </w:r>
          </w:p>
        </w:tc>
        <w:tc>
          <w:tcPr>
            <w:tcW w:w="1920" w:type="dxa"/>
            <w:vAlign w:val="bottom"/>
          </w:tcPr>
          <w:p>
            <w:pPr>
              <w:jc w:val="right"/>
              <w:spacing w:after="0"/>
              <w:rPr>
                <w:sz w:val="20"/>
                <w:szCs w:val="20"/>
                <w:color w:val="auto"/>
              </w:rPr>
            </w:pPr>
            <w:r>
              <w:rPr>
                <w:rFonts w:ascii="Arial" w:cs="Arial" w:eastAsia="Arial" w:hAnsi="Arial"/>
                <w:sz w:val="16"/>
                <w:szCs w:val="16"/>
                <w:color w:val="auto"/>
              </w:rPr>
              <w:t>December 21, 2029</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Viento Funding II</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6-Month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Various</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Viento Funding II</w:t>
            </w: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4.985 %</w:t>
            </w:r>
          </w:p>
        </w:tc>
        <w:tc>
          <w:tcPr>
            <w:tcW w:w="100" w:type="dxa"/>
            <w:vAlign w:val="bottom"/>
          </w:tcPr>
          <w:p>
            <w:pPr>
              <w:spacing w:after="0"/>
              <w:rPr>
                <w:sz w:val="18"/>
                <w:szCs w:val="18"/>
                <w:color w:val="auto"/>
              </w:rPr>
            </w:pPr>
          </w:p>
        </w:tc>
        <w:tc>
          <w:tcPr>
            <w:tcW w:w="1540" w:type="dxa"/>
            <w:vAlign w:val="bottom"/>
            <w:gridSpan w:val="2"/>
          </w:tcPr>
          <w:p>
            <w:pPr>
              <w:ind w:left="320"/>
              <w:spacing w:after="0"/>
              <w:rPr>
                <w:sz w:val="20"/>
                <w:szCs w:val="20"/>
                <w:color w:val="auto"/>
              </w:rPr>
            </w:pPr>
            <w:r>
              <w:rPr>
                <w:rFonts w:ascii="Arial" w:cs="Arial" w:eastAsia="Arial" w:hAnsi="Arial"/>
                <w:sz w:val="16"/>
                <w:szCs w:val="16"/>
                <w:color w:val="auto"/>
              </w:rPr>
              <w:t>6-Month LIBOR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July 11, 2023</w:t>
            </w:r>
          </w:p>
        </w:tc>
        <w:tc>
          <w:tcPr>
            <w:tcW w:w="1920" w:type="dxa"/>
            <w:vAlign w:val="bottom"/>
          </w:tcPr>
          <w:p>
            <w:pPr>
              <w:jc w:val="right"/>
              <w:spacing w:after="0"/>
              <w:rPr>
                <w:sz w:val="20"/>
                <w:szCs w:val="20"/>
                <w:color w:val="auto"/>
              </w:rPr>
            </w:pPr>
            <w:r>
              <w:rPr>
                <w:rFonts w:ascii="Arial" w:cs="Arial" w:eastAsia="Arial" w:hAnsi="Arial"/>
                <w:sz w:val="16"/>
                <w:szCs w:val="16"/>
                <w:color w:val="auto"/>
              </w:rPr>
              <w:t>June 30, 2028</w:t>
            </w: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Walnut Creek Energy</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28, 2013</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31, 2023</w:t>
            </w:r>
          </w:p>
        </w:tc>
        <w:tc>
          <w:tcPr>
            <w:tcW w:w="0" w:type="dxa"/>
            <w:vAlign w:val="bottom"/>
          </w:tcPr>
          <w:p>
            <w:pPr>
              <w:spacing w:after="0"/>
              <w:rPr>
                <w:sz w:val="1"/>
                <w:szCs w:val="1"/>
                <w:color w:val="auto"/>
              </w:rPr>
            </w:pPr>
          </w:p>
        </w:tc>
      </w:tr>
      <w:tr>
        <w:trPr>
          <w:trHeight w:val="213"/>
        </w:trPr>
        <w:tc>
          <w:tcPr>
            <w:tcW w:w="2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WCEP Holdings</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4.003 %</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3-Month LIBOR</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June 28, 2013</w:t>
            </w: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May 31, 2023</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gridSpan w:val="2"/>
            <w:shd w:val="clear" w:color="auto" w:fill="CCEEFF"/>
          </w:tcPr>
          <w:p>
            <w:pPr>
              <w:ind w:left="20"/>
              <w:spacing w:after="0" w:line="186" w:lineRule="exact"/>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Annual Maturities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Annual payments based on the maturities of the Company's debt, for the years ending after December 31, 2020,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Note 11 — Members' Equity</w:t>
      </w:r>
    </w:p>
    <w:p>
      <w:pPr>
        <w:spacing w:after="0" w:line="175"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lists the distributions paid on the Company's Class A, Class B, Class C and Class D units during the year ended December 31, 2020:</w:t>
      </w:r>
    </w:p>
    <w:tbl>
      <w:tblPr>
        <w:tblLayout w:type="fixed"/>
        <w:tblInd w:w="40" w:type="dxa"/>
        <w:tblCellMar>
          <w:top w:w="0" w:type="dxa"/>
          <w:left w:w="0" w:type="dxa"/>
          <w:bottom w:w="0" w:type="dxa"/>
          <w:right w:w="0" w:type="dxa"/>
        </w:tblCellMar>
      </w:tblPr>
      <w:tr>
        <w:trPr>
          <w:trHeight w:val="144"/>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Fourth Quarter</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 2020</w:t>
            </w:r>
          </w:p>
        </w:tc>
        <w:tc>
          <w:tcPr>
            <w:tcW w:w="120" w:type="dxa"/>
            <w:vAlign w:val="bottom"/>
          </w:tcPr>
          <w:p>
            <w:pPr>
              <w:spacing w:after="0"/>
              <w:rPr>
                <w:sz w:val="12"/>
                <w:szCs w:val="12"/>
                <w:color w:val="auto"/>
              </w:rPr>
            </w:pPr>
          </w:p>
        </w:tc>
        <w:tc>
          <w:tcPr>
            <w:tcW w:w="1220" w:type="dxa"/>
            <w:vAlign w:val="bottom"/>
          </w:tcPr>
          <w:p>
            <w:pPr>
              <w:jc w:val="right"/>
              <w:ind w:right="119"/>
              <w:spacing w:after="0" w:line="145" w:lineRule="exact"/>
              <w:rPr>
                <w:sz w:val="20"/>
                <w:szCs w:val="20"/>
                <w:color w:val="auto"/>
              </w:rPr>
            </w:pPr>
            <w:r>
              <w:rPr>
                <w:rFonts w:ascii="Arial" w:cs="Arial" w:eastAsia="Arial" w:hAnsi="Arial"/>
                <w:sz w:val="14"/>
                <w:szCs w:val="14"/>
                <w:b w:val="1"/>
                <w:bCs w:val="1"/>
                <w:color w:val="auto"/>
                <w:w w:val="95"/>
              </w:rPr>
              <w:t>Second Quarter</w:t>
            </w:r>
          </w:p>
        </w:tc>
        <w:tc>
          <w:tcPr>
            <w:tcW w:w="14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First Quarter 2020</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and Class B units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0.3180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0.2100</w:t>
            </w:r>
          </w:p>
        </w:tc>
        <w:tc>
          <w:tcPr>
            <w:tcW w:w="5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C and Class D units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0.3180</w:t>
            </w:r>
          </w:p>
        </w:tc>
        <w:tc>
          <w:tcPr>
            <w:tcW w:w="10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0.3125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0.2100</w:t>
            </w:r>
          </w:p>
        </w:tc>
        <w:tc>
          <w:tcPr>
            <w:tcW w:w="52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February 12, 2021, the Company declared a quarterly distribution on its Class A, Class B, Class C and Class D units of $0.324 per share payable on 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Note 12 — Segment Reporting</w:t>
      </w:r>
    </w:p>
    <w:p>
      <w:pPr>
        <w:spacing w:after="0" w:line="175" w:lineRule="exact"/>
        <w:rPr>
          <w:sz w:val="20"/>
          <w:szCs w:val="20"/>
          <w:color w:val="auto"/>
        </w:rPr>
      </w:pPr>
    </w:p>
    <w:p>
      <w:pPr>
        <w:jc w:val="both"/>
        <w:ind w:firstLine="194"/>
        <w:spacing w:after="0" w:line="275" w:lineRule="auto"/>
        <w:rPr>
          <w:sz w:val="20"/>
          <w:szCs w:val="20"/>
          <w:color w:val="auto"/>
        </w:rPr>
      </w:pPr>
      <w:r>
        <w:rPr>
          <w:rFonts w:ascii="Arial" w:cs="Arial" w:eastAsia="Arial" w:hAnsi="Arial"/>
          <w:sz w:val="17"/>
          <w:szCs w:val="17"/>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Company generated more than 10% of its revenues from the following customers for the years ended December 31, 2020, 2019 and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Customer</w:t>
            </w: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Conventional</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6"/>
              </w:rPr>
              <w:t>Renewables</w:t>
            </w:r>
          </w:p>
        </w:tc>
        <w:tc>
          <w:tcPr>
            <w:tcW w:w="1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Renewables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Conventional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Renewables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SCE</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21%</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19%</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20%</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PG&amp;E</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8"/>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228"/>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ind w:right="428"/>
              <w:spacing w:after="0"/>
              <w:rPr>
                <w:sz w:val="20"/>
                <w:szCs w:val="20"/>
                <w:color w:val="auto"/>
              </w:rPr>
            </w:pPr>
            <w:r>
              <w:rPr>
                <w:rFonts w:ascii="Arial" w:cs="Arial" w:eastAsia="Arial" w:hAnsi="Arial"/>
                <w:sz w:val="14"/>
                <w:szCs w:val="14"/>
                <w:b w:val="1"/>
                <w:bCs w:val="1"/>
                <w:color w:val="auto"/>
                <w:w w:val="94"/>
              </w:rPr>
              <w:t>Year ended December 31, 2020</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jc w:val="right"/>
              <w:ind w:right="80"/>
              <w:spacing w:after="0" w:line="135" w:lineRule="exact"/>
              <w:rPr>
                <w:sz w:val="20"/>
                <w:szCs w:val="20"/>
                <w:color w:val="auto"/>
              </w:rPr>
            </w:pPr>
            <w:r>
              <w:rPr>
                <w:rFonts w:ascii="Arial" w:cs="Arial" w:eastAsia="Arial" w:hAnsi="Arial"/>
                <w:sz w:val="14"/>
                <w:szCs w:val="14"/>
                <w:b w:val="1"/>
                <w:bCs w:val="1"/>
                <w:color w:val="auto"/>
              </w:rPr>
              <w:t>Conventional</w:t>
            </w:r>
          </w:p>
        </w:tc>
        <w:tc>
          <w:tcPr>
            <w:tcW w:w="100" w:type="dxa"/>
            <w:vAlign w:val="bottom"/>
          </w:tcPr>
          <w:p>
            <w:pPr>
              <w:spacing w:after="0"/>
              <w:rPr>
                <w:sz w:val="11"/>
                <w:szCs w:val="11"/>
                <w:color w:val="auto"/>
              </w:rPr>
            </w:pPr>
          </w:p>
        </w:tc>
        <w:tc>
          <w:tcPr>
            <w:tcW w:w="1100" w:type="dxa"/>
            <w:vAlign w:val="bottom"/>
            <w:gridSpan w:val="4"/>
            <w:vMerge w:val="restart"/>
          </w:tcPr>
          <w:p>
            <w:pPr>
              <w:jc w:val="right"/>
              <w:ind w:right="101"/>
              <w:spacing w:after="0"/>
              <w:rPr>
                <w:sz w:val="20"/>
                <w:szCs w:val="20"/>
                <w:color w:val="auto"/>
              </w:rPr>
            </w:pPr>
            <w:r>
              <w:rPr>
                <w:rFonts w:ascii="Arial" w:cs="Arial" w:eastAsia="Arial" w:hAnsi="Arial"/>
                <w:sz w:val="14"/>
                <w:szCs w:val="14"/>
                <w:b w:val="1"/>
                <w:bCs w:val="1"/>
                <w:color w:val="auto"/>
              </w:rPr>
              <w:t>Renewables</w:t>
            </w:r>
          </w:p>
        </w:tc>
        <w:tc>
          <w:tcPr>
            <w:tcW w:w="120" w:type="dxa"/>
            <w:vAlign w:val="bottom"/>
            <w:vMerge w:val="restart"/>
          </w:tcPr>
          <w:p>
            <w:pPr>
              <w:spacing w:after="0"/>
              <w:rPr>
                <w:sz w:val="11"/>
                <w:szCs w:val="11"/>
                <w:color w:val="auto"/>
              </w:rPr>
            </w:pPr>
          </w:p>
        </w:tc>
        <w:tc>
          <w:tcPr>
            <w:tcW w:w="10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Thermal</w:t>
            </w:r>
          </w:p>
        </w:tc>
        <w:tc>
          <w:tcPr>
            <w:tcW w:w="100" w:type="dxa"/>
            <w:vAlign w:val="bottom"/>
          </w:tcPr>
          <w:p>
            <w:pPr>
              <w:spacing w:after="0"/>
              <w:rPr>
                <w:sz w:val="11"/>
                <w:szCs w:val="11"/>
                <w:color w:val="auto"/>
              </w:rPr>
            </w:pPr>
          </w:p>
        </w:tc>
        <w:tc>
          <w:tcPr>
            <w:tcW w:w="120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8"/>
                <w:szCs w:val="18"/>
                <w:b w:val="1"/>
                <w:bCs w:val="1"/>
                <w:color w:val="auto"/>
                <w:vertAlign w:val="superscript"/>
              </w:rPr>
              <w:t>(a)</w:t>
            </w:r>
          </w:p>
        </w:tc>
        <w:tc>
          <w:tcPr>
            <w:tcW w:w="120" w:type="dxa"/>
            <w:vAlign w:val="bottom"/>
          </w:tcPr>
          <w:p>
            <w:pPr>
              <w:spacing w:after="0"/>
              <w:rPr>
                <w:sz w:val="11"/>
                <w:szCs w:val="11"/>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40" w:type="dxa"/>
            <w:vAlign w:val="bottom"/>
            <w:tcBorders>
              <w:bottom w:val="single" w:sz="8" w:color="CCEEFF"/>
            </w:tcBorders>
            <w:gridSpan w:val="2"/>
            <w:vMerge w:val="continue"/>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8"/>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w w:val="89"/>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193</w:t>
            </w:r>
          </w:p>
        </w:tc>
        <w:tc>
          <w:tcPr>
            <w:tcW w:w="880" w:type="dxa"/>
            <w:vAlign w:val="bottom"/>
            <w:gridSpan w:val="2"/>
            <w:shd w:val="clear" w:color="auto" w:fill="CCEEFF"/>
          </w:tcPr>
          <w:p>
            <w:pPr>
              <w:jc w:val="right"/>
              <w:ind w:right="608"/>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6"/>
                <w:szCs w:val="16"/>
                <w:color w:val="auto"/>
              </w:rPr>
              <w:t>Cost of operations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amortization and accretion</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6"/>
                <w:szCs w:val="16"/>
                <w:color w:val="auto"/>
              </w:rPr>
              <w:t>Impairment losses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6"/>
                <w:szCs w:val="16"/>
                <w:color w:val="auto"/>
              </w:rPr>
              <w:t>Transaction and integration costs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Development costs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1"/>
              </w:rPr>
              <w:t>(37)</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80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Equity in earnings (losses) of unconsolidated affiliates</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6"/>
                <w:szCs w:val="16"/>
                <w:color w:val="auto"/>
              </w:rPr>
              <w:t>Impairment loss on investment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sale of unconsolidated affiliates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6"/>
                <w:szCs w:val="16"/>
                <w:color w:val="auto"/>
              </w:rPr>
              <w:t>Other income,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on debt extinguishment</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Interest expense, net</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1"/>
              </w:rPr>
              <w:t>(95)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1"/>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5"/>
          </w:tcPr>
          <w:p>
            <w:pPr>
              <w:ind w:left="2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1040" w:type="dxa"/>
            <w:vAlign w:val="bottom"/>
            <w:gridSpan w:val="2"/>
          </w:tcPr>
          <w:p>
            <w:pPr>
              <w:jc w:val="right"/>
              <w:ind w:right="428"/>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660" w:type="dxa"/>
            <w:vAlign w:val="bottom"/>
            <w:gridSpan w:val="2"/>
          </w:tcPr>
          <w:p>
            <w:pPr>
              <w:jc w:val="right"/>
              <w:ind w:right="388"/>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680" w:type="dxa"/>
            <w:vAlign w:val="bottom"/>
          </w:tcPr>
          <w:p>
            <w:pPr>
              <w:jc w:val="right"/>
              <w:ind w:right="500"/>
              <w:spacing w:after="0"/>
              <w:rPr>
                <w:sz w:val="20"/>
                <w:szCs w:val="20"/>
                <w:color w:val="auto"/>
              </w:rPr>
            </w:pPr>
            <w:r>
              <w:rPr>
                <w:rFonts w:ascii="Arial" w:cs="Arial" w:eastAsia="Arial" w:hAnsi="Arial"/>
                <w:sz w:val="16"/>
                <w:szCs w:val="16"/>
                <w:color w:val="auto"/>
                <w:w w:val="89"/>
              </w:rPr>
              <w:t>$</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3</w:t>
            </w:r>
          </w:p>
        </w:tc>
        <w:tc>
          <w:tcPr>
            <w:tcW w:w="880" w:type="dxa"/>
            <w:vAlign w:val="bottom"/>
            <w:gridSpan w:val="2"/>
          </w:tcPr>
          <w:p>
            <w:pPr>
              <w:jc w:val="right"/>
              <w:ind w:right="608"/>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w w:val="91"/>
              </w:rPr>
              <w:t>(86)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Equity investment in affiliates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8"/>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660" w:type="dxa"/>
            <w:vAlign w:val="bottom"/>
            <w:gridSpan w:val="2"/>
          </w:tcPr>
          <w:p>
            <w:pPr>
              <w:jc w:val="right"/>
              <w:ind w:right="388"/>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8"/>
                <w:szCs w:val="18"/>
                <w:color w:val="auto"/>
              </w:rPr>
            </w:pPr>
          </w:p>
        </w:tc>
        <w:tc>
          <w:tcPr>
            <w:tcW w:w="680" w:type="dxa"/>
            <w:vAlign w:val="bottom"/>
          </w:tcPr>
          <w:p>
            <w:pPr>
              <w:jc w:val="right"/>
              <w:ind w:right="50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880" w:type="dxa"/>
            <w:vAlign w:val="bottom"/>
            <w:gridSpan w:val="2"/>
          </w:tcPr>
          <w:p>
            <w:pPr>
              <w:jc w:val="right"/>
              <w:ind w:right="608"/>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(b)</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8"/>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2,575</w:t>
            </w:r>
          </w:p>
        </w:tc>
        <w:tc>
          <w:tcPr>
            <w:tcW w:w="660" w:type="dxa"/>
            <w:vAlign w:val="bottom"/>
            <w:gridSpan w:val="2"/>
          </w:tcPr>
          <w:p>
            <w:pPr>
              <w:jc w:val="right"/>
              <w:ind w:right="388"/>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7,157</w:t>
            </w:r>
          </w:p>
        </w:tc>
        <w:tc>
          <w:tcPr>
            <w:tcW w:w="120" w:type="dxa"/>
            <w:vAlign w:val="bottom"/>
          </w:tcPr>
          <w:p>
            <w:pPr>
              <w:spacing w:after="0"/>
              <w:rPr>
                <w:sz w:val="18"/>
                <w:szCs w:val="18"/>
                <w:color w:val="auto"/>
              </w:rPr>
            </w:pPr>
          </w:p>
        </w:tc>
        <w:tc>
          <w:tcPr>
            <w:tcW w:w="680" w:type="dxa"/>
            <w:vAlign w:val="bottom"/>
          </w:tcPr>
          <w:p>
            <w:pPr>
              <w:jc w:val="right"/>
              <w:ind w:right="500"/>
              <w:spacing w:after="0"/>
              <w:rPr>
                <w:sz w:val="20"/>
                <w:szCs w:val="20"/>
                <w:color w:val="auto"/>
              </w:rPr>
            </w:pPr>
            <w:r>
              <w:rPr>
                <w:rFonts w:ascii="Arial" w:cs="Arial" w:eastAsia="Arial" w:hAnsi="Arial"/>
                <w:sz w:val="16"/>
                <w:szCs w:val="16"/>
                <w:color w:val="auto"/>
                <w:w w:val="89"/>
              </w:rPr>
              <w:t>$</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627</w:t>
            </w:r>
          </w:p>
        </w:tc>
        <w:tc>
          <w:tcPr>
            <w:tcW w:w="880" w:type="dxa"/>
            <w:vAlign w:val="bottom"/>
            <w:gridSpan w:val="2"/>
          </w:tcPr>
          <w:p>
            <w:pPr>
              <w:jc w:val="right"/>
              <w:ind w:right="608"/>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w w:val="82"/>
              </w:rPr>
              <w:t>129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13544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40" w:hanging="132"/>
        <w:spacing w:after="0"/>
        <w:tabs>
          <w:tab w:leader="none" w:pos="140" w:val="left"/>
        </w:tabs>
        <w:numPr>
          <w:ilvl w:val="0"/>
          <w:numId w:val="76"/>
        </w:numPr>
        <w:rPr>
          <w:rFonts w:ascii="Arial" w:cs="Arial" w:eastAsia="Arial" w:hAnsi="Arial"/>
          <w:sz w:val="16"/>
          <w:szCs w:val="16"/>
          <w:color w:val="auto"/>
          <w:vertAlign w:val="superscript"/>
        </w:rPr>
      </w:pPr>
      <w:r>
        <w:rPr>
          <w:rFonts w:ascii="Arial" w:cs="Arial" w:eastAsia="Arial" w:hAnsi="Arial"/>
          <w:sz w:val="12"/>
          <w:szCs w:val="12"/>
          <w:color w:val="auto"/>
        </w:rPr>
        <w:t>Includes eliminations</w:t>
      </w:r>
    </w:p>
    <w:p>
      <w:pPr>
        <w:ind w:left="160" w:hanging="152"/>
        <w:spacing w:after="0" w:line="197" w:lineRule="auto"/>
        <w:tabs>
          <w:tab w:leader="none" w:pos="16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Includes accruals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660"/>
              <w:spacing w:after="0"/>
              <w:rPr>
                <w:sz w:val="20"/>
                <w:szCs w:val="20"/>
                <w:color w:val="auto"/>
              </w:rPr>
            </w:pPr>
            <w:r>
              <w:rPr>
                <w:rFonts w:ascii="Arial" w:cs="Arial" w:eastAsia="Arial" w:hAnsi="Arial"/>
                <w:sz w:val="14"/>
                <w:szCs w:val="14"/>
                <w:b w:val="1"/>
                <w:bCs w:val="1"/>
                <w:color w:val="auto"/>
                <w:w w:val="92"/>
              </w:rPr>
              <w:t>Year ended December 31, 2019</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9"/>
              </w:rPr>
              <w:t>Thermal</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Impairment losses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Transaction and integration costs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Development costs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debt extinguishment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2"/>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0"/>
        </w:trPr>
        <w:tc>
          <w:tcPr>
            <w:tcW w:w="49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2,753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6,186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492"/>
        </w:trPr>
        <w:tc>
          <w:tcPr>
            <w:tcW w:w="214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940" w:type="dxa"/>
            <w:vAlign w:val="bottom"/>
            <w:gridSpan w:val="2"/>
          </w:tcPr>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 xml:space="preserve"> Includes accruals.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660"/>
              <w:spacing w:after="0"/>
              <w:rPr>
                <w:sz w:val="20"/>
                <w:szCs w:val="20"/>
                <w:color w:val="auto"/>
              </w:rPr>
            </w:pPr>
            <w:r>
              <w:rPr>
                <w:rFonts w:ascii="Arial" w:cs="Arial" w:eastAsia="Arial" w:hAnsi="Arial"/>
                <w:sz w:val="14"/>
                <w:szCs w:val="14"/>
                <w:b w:val="1"/>
                <w:bCs w:val="1"/>
                <w:color w:val="auto"/>
                <w:w w:val="92"/>
              </w:rPr>
              <w:t>Year ended December 31, 2018</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9"/>
              </w:rPr>
              <w:t>Thermal</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Transaction and integration costs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Development costs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75" w:lineRule="exact"/>
        <w:rPr>
          <w:sz w:val="20"/>
          <w:szCs w:val="20"/>
          <w:color w:val="auto"/>
        </w:rPr>
      </w:pPr>
    </w:p>
    <w:p>
      <w:pPr>
        <w:jc w:val="both"/>
        <w:ind w:firstLine="232"/>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affiliates and amounts due to the Company from CEG subsidiaries are recorded as accounts receivable - affiliates in the Company's balance sheet. The disclosures below summarize the Company's material related party transactions with CEG and its subsidiaries that are included in the Company's operating revenues and operating costs.</w:t>
      </w:r>
    </w:p>
    <w:p>
      <w:pPr>
        <w:spacing w:after="0" w:line="103" w:lineRule="exact"/>
        <w:rPr>
          <w:sz w:val="20"/>
          <w:szCs w:val="20"/>
          <w:color w:val="auto"/>
        </w:rPr>
      </w:pPr>
    </w:p>
    <w:p>
      <w:pPr>
        <w:jc w:val="both"/>
        <w:ind w:firstLine="232"/>
        <w:spacing w:after="0" w:line="263"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on August 31, 2018, NRG sold 100% of its interest in CEG to GIP, and as a result, CEG and its subsidiaries are considered related parties during the year ended December 31, 2020 and December 31, 2019, and NRG and its subsidiaries were considered related parties during the first eight months of the year ended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CEG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jc w:val="both"/>
        <w:ind w:firstLine="326"/>
        <w:spacing w:after="0" w:line="275" w:lineRule="auto"/>
        <w:rPr>
          <w:sz w:val="20"/>
          <w:szCs w:val="20"/>
          <w:color w:val="auto"/>
        </w:rPr>
      </w:pPr>
      <w:r>
        <w:rPr>
          <w:rFonts w:ascii="Arial" w:cs="Arial" w:eastAsia="Arial" w:hAnsi="Arial"/>
          <w:sz w:val="17"/>
          <w:szCs w:val="17"/>
          <w:color w:val="auto"/>
        </w:rPr>
        <w:t>Various wholly-owned subsidiaries of the Company in the Renewables segment are party to administrative services agreements with Clearway Renewable Operation &amp; Maintenance LLC, or RENOM, a wholly-owned subsidiary of CEG, which provides operation and maintenance, or O&amp;M, services to these subsidiaries. The Company incurred total expenses for these services of $37 million and $31 million for the year ended December 31, 2020 and 2019, respectively. The Company incurred total expenses of $11 million for the period from September 1, 2018 to December 31, 2018. There was a balance of $10 million and $7 million due to RENOM as of December 31, 2020 and 2019,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23" w:lineRule="exact"/>
        <w:rPr>
          <w:sz w:val="20"/>
          <w:szCs w:val="20"/>
          <w:color w:val="auto"/>
        </w:rPr>
      </w:pPr>
    </w:p>
    <w:p>
      <w:pPr>
        <w:jc w:val="both"/>
        <w:ind w:firstLine="199"/>
        <w:spacing w:after="0" w:line="253" w:lineRule="auto"/>
        <w:rPr>
          <w:sz w:val="20"/>
          <w:szCs w:val="20"/>
          <w:color w:val="auto"/>
        </w:rPr>
      </w:pPr>
      <w:r>
        <w:rPr>
          <w:rFonts w:ascii="Arial" w:cs="Arial" w:eastAsia="Arial" w:hAnsi="Arial"/>
          <w:sz w:val="18"/>
          <w:szCs w:val="18"/>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$10 million and $7 million for the year ended December 31, 2020 and 2019, respectively. The Company incurred expenses under these agreements of $3 million for the period from September 1, 2018 to December 31, 2018. There was a balance of $2 million and $1 million due to CEG as of December 31, 2020 and 2019,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212"/>
        <w:spacing w:after="0" w:line="280" w:lineRule="auto"/>
        <w:rPr>
          <w:sz w:val="20"/>
          <w:szCs w:val="20"/>
          <w:color w:val="auto"/>
        </w:rPr>
      </w:pPr>
      <w:r>
        <w:rPr>
          <w:rFonts w:ascii="Arial" w:cs="Arial" w:eastAsia="Arial" w:hAnsi="Arial"/>
          <w:sz w:val="17"/>
          <w:szCs w:val="17"/>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$2 million and $1 million under these agreements for the year ended December 31, 2020 and 2019,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NRG entities prior to the GIP Transaction</w:t>
      </w:r>
    </w:p>
    <w:p>
      <w:pPr>
        <w:spacing w:after="0" w:line="171" w:lineRule="exact"/>
        <w:rPr>
          <w:sz w:val="20"/>
          <w:szCs w:val="20"/>
          <w:color w:val="auto"/>
        </w:rPr>
      </w:pPr>
    </w:p>
    <w:p>
      <w:pPr>
        <w:jc w:val="both"/>
        <w:ind w:right="20" w:firstLine="220"/>
        <w:spacing w:after="0" w:line="277" w:lineRule="auto"/>
        <w:rPr>
          <w:sz w:val="20"/>
          <w:szCs w:val="20"/>
          <w:color w:val="auto"/>
        </w:rPr>
      </w:pPr>
      <w:r>
        <w:rPr>
          <w:rFonts w:ascii="Arial" w:cs="Arial" w:eastAsia="Arial" w:hAnsi="Arial"/>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NRG Renew Operation &amp; Maintenance LLC</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Various wholly-owned subsidiaries of the Company in the Renewables segment were party to administrative services agreements with NRG Renew Operation &amp; Maintenance LLC, or RENOM, formerly wholly-owned subsidiary of NRG, which provided O&amp;M, services to these subsidiaries. The Company incurred total expenses for these services of $29 million for the eight months ended August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w:t>
      </w:r>
    </w:p>
    <w:p>
      <w:pPr>
        <w:spacing w:after="0" w:line="23" w:lineRule="exact"/>
        <w:rPr>
          <w:sz w:val="20"/>
          <w:szCs w:val="20"/>
          <w:color w:val="auto"/>
        </w:rPr>
      </w:pPr>
    </w:p>
    <w:p>
      <w:pPr>
        <w:jc w:val="both"/>
        <w:ind w:firstLine="233"/>
        <w:spacing w:after="0" w:line="253" w:lineRule="auto"/>
        <w:rPr>
          <w:sz w:val="20"/>
          <w:szCs w:val="20"/>
          <w:color w:val="auto"/>
        </w:rPr>
      </w:pPr>
      <w:r>
        <w:rPr>
          <w:rFonts w:ascii="Arial" w:cs="Arial" w:eastAsia="Arial" w:hAnsi="Arial"/>
          <w:sz w:val="18"/>
          <w:szCs w:val="18"/>
          <w:color w:val="auto"/>
        </w:rPr>
        <w:t>Various wholly-owned subsidiaries of the Company were parties to administrative services agreements with Clearway Asset Services (formerly NRG Asset Services) and Clearway Solar Asset Management (formerly NRG Solar Asset Management), two wholly-owned subsidiaries of CEG, which provided various administrative asset services to the Company's subsidiaries prior to GIP Transaction. The Company reimbursed costs under this agreement of $6 million for the eight months ended August 31, 2018.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248"/>
        <w:spacing w:after="0" w:line="263" w:lineRule="auto"/>
        <w:rPr>
          <w:sz w:val="20"/>
          <w:szCs w:val="20"/>
          <w:color w:val="auto"/>
        </w:rPr>
      </w:pPr>
      <w:r>
        <w:rPr>
          <w:rFonts w:ascii="Arial" w:cs="Arial" w:eastAsia="Arial" w:hAnsi="Arial"/>
          <w:sz w:val="18"/>
          <w:szCs w:val="18"/>
          <w:color w:val="auto"/>
        </w:rPr>
        <w:t>Elbow Creek and Dover were parties to PPAs with NRG Power Marketing and generate revenue under the PPAs, which were recorded to operating revenues in the Company's consolidated statements of operations. For the eight months ended August 31, 2018, Elbow Creek and Dover, collectively, generated revenues of $8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18"/>
          <w:szCs w:val="18"/>
          <w:color w:val="auto"/>
        </w:rPr>
        <w:t>Energy Center Dover LLC, Energy Center Minneapolis, Energy Center Phoenix LLC and Energy Center Paxton LLC, or Thermal entities, were parties to Energy Marketing Services Agreements with NRG Power Marketing, a wholly-owned subsidiary of NRG. Under the agreements, NRG Power Marketing procured fuel and fuel transportation for the operation of Thermal entities. For the eight months ended August 31, 2018, the Thermal entities purchased $7 million of natural gas from NRG Power Marketing.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 Company's subsidiaries and NRG</w:t>
      </w:r>
    </w:p>
    <w:p>
      <w:pPr>
        <w:spacing w:after="0" w:line="171"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these agreements were $27 million for the eight months ended August 31,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right="20" w:firstLine="197"/>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For the eight months ended August 31, 2018, the aggregate fees incurred under the agreements were $4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Marsh Landing is a party to an administrative services agreement with NRG West Coast LLC, a wholly owned subsidiary of NRG. The Company reimbursed costs under this agreement of $11 million for the eight months ended August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Administrative Services Agreement by and between ESEC and NRG West Coast LLC</w:t>
      </w:r>
    </w:p>
    <w:p>
      <w:pPr>
        <w:spacing w:after="0" w:line="171" w:lineRule="exact"/>
        <w:rPr>
          <w:sz w:val="20"/>
          <w:szCs w:val="20"/>
          <w:color w:val="auto"/>
        </w:rPr>
      </w:pPr>
    </w:p>
    <w:p>
      <w:pPr>
        <w:jc w:val="both"/>
        <w:ind w:firstLine="308"/>
        <w:spacing w:after="0" w:line="259" w:lineRule="auto"/>
        <w:rPr>
          <w:sz w:val="20"/>
          <w:szCs w:val="20"/>
          <w:color w:val="auto"/>
        </w:rPr>
      </w:pPr>
      <w:r>
        <w:rPr>
          <w:rFonts w:ascii="Arial" w:cs="Arial" w:eastAsia="Arial" w:hAnsi="Arial"/>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$11 million for the eight months ended August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246"/>
        <w:spacing w:after="0" w:line="279" w:lineRule="auto"/>
        <w:rPr>
          <w:sz w:val="20"/>
          <w:szCs w:val="20"/>
          <w:color w:val="auto"/>
        </w:rPr>
      </w:pPr>
      <w:r>
        <w:rPr>
          <w:rFonts w:ascii="Arial" w:cs="Arial" w:eastAsia="Arial" w:hAnsi="Arial"/>
          <w:sz w:val="17"/>
          <w:szCs w:val="17"/>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The costs incurred under the Management Services Agreement included certain direct expenses incurred by NRG on behalf of the Company in addition to the base management fee. Costs incurred under this agreement were $7 million for the eight months ended August 31, 2018.</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August 31, 2018, in connection with the consummation of the GIP Transaction, Clearway Energy, Inc. entered into a Termination Agreement with Clearway Energy LLC, Clearway Energy Operating LLC and NRG terminating the Management Services Agreement, dated as of July 22, 2013, by and among the Company, Clearway Energy LLC, Clearway Energy Operating LLC and NRG. Concurrently with entering into the Termination Agreement on August 31, 2018, the Company entered into a Transition Services Agreement with NRG, or the NRG TSA,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2" w:name="page143"/>
    <w:bookmarkEnd w:id="142"/>
    <w:p>
      <w:pPr>
        <w:jc w:val="both"/>
        <w:ind w:firstLine="405"/>
        <w:spacing w:after="0" w:line="311" w:lineRule="auto"/>
        <w:rPr>
          <w:sz w:val="20"/>
          <w:szCs w:val="20"/>
          <w:color w:val="auto"/>
        </w:rPr>
      </w:pPr>
      <w:r>
        <w:rPr>
          <w:rFonts w:ascii="Arial" w:cs="Arial" w:eastAsia="Arial" w:hAnsi="Arial"/>
          <w:sz w:val="16"/>
          <w:szCs w:val="16"/>
          <w:color w:val="auto"/>
        </w:rPr>
        <w:t>Subsequent to the GIP Transaction, the Company entered into the NRG TSA, pursuant to which NRG or certain of its affiliates began providing transitional services to the Company following the consummation of the GIP Transaction, in exchange for the payment of a fee in respect of such services. Expenses related to the NRG TSA are recorded in acquisition-related transaction and integration costs in the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Agreement by and between ECP and NRG</w:t>
      </w:r>
    </w:p>
    <w:p>
      <w:pPr>
        <w:spacing w:after="0" w:line="171" w:lineRule="exact"/>
        <w:rPr>
          <w:sz w:val="20"/>
          <w:szCs w:val="20"/>
          <w:color w:val="auto"/>
        </w:rPr>
      </w:pPr>
    </w:p>
    <w:p>
      <w:pPr>
        <w:jc w:val="both"/>
        <w:ind w:firstLine="182"/>
        <w:spacing w:after="0" w:line="293" w:lineRule="auto"/>
        <w:rPr>
          <w:sz w:val="20"/>
          <w:szCs w:val="20"/>
          <w:color w:val="auto"/>
        </w:rPr>
      </w:pPr>
      <w:r>
        <w:rPr>
          <w:rFonts w:ascii="Arial" w:cs="Arial" w:eastAsia="Arial" w:hAnsi="Arial"/>
          <w:sz w:val="16"/>
          <w:szCs w:val="16"/>
          <w:color w:val="auto"/>
        </w:rPr>
        <w:t xml:space="preserve">NRG Business Services LLC, a subsidiary of NRG, and Energy Center Pittsburgh LLC, or ECP, a wholly owned subsidiary of the Company, entered into an EPC agreement for the construction of a 73 MWt district energy system for ECP to provide 150 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ECP purchased the UPMC Thermal Project assets from NRG Business Services LLC for cash consideration of $84 million, subject to working capital adjustments. The Company paid an additional $3 million to NRG upon final completion of the project in January 2019 pursuant to the EPC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Transportation Commitments</w:t>
      </w:r>
    </w:p>
    <w:p>
      <w:pPr>
        <w:spacing w:after="0" w:line="171" w:lineRule="exact"/>
        <w:rPr>
          <w:sz w:val="20"/>
          <w:szCs w:val="20"/>
          <w:color w:val="auto"/>
        </w:rPr>
      </w:pPr>
    </w:p>
    <w:p>
      <w:pPr>
        <w:jc w:val="both"/>
        <w:ind w:firstLine="182"/>
        <w:spacing w:after="0" w:line="301" w:lineRule="auto"/>
        <w:rPr>
          <w:sz w:val="20"/>
          <w:szCs w:val="20"/>
          <w:color w:val="auto"/>
        </w:rPr>
      </w:pPr>
      <w:r>
        <w:rPr>
          <w:rFonts w:ascii="Arial" w:cs="Arial" w:eastAsia="Arial" w:hAnsi="Arial"/>
          <w:sz w:val="16"/>
          <w:szCs w:val="16"/>
          <w:color w:val="auto"/>
        </w:rPr>
        <w:t xml:space="preserve">The Company has entered into contractual arrangements to procure power, fuel and associated transportation services. For the years ended December 31, 2020, 2019 and 2018, the Company purchased $32 million, $38 million, and $39 million, respectively, under such arrangements. As further described in Note 13,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xml:space="preserve"> these purchases include intercompany transactions through August 31, 2018 between certain Thermal entities and NRG Power Marketing under the Energy Marketing Services Agreements in the amount of $7 million for the eight months ended August 31, 2018.</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2020, the Company's commitments under such outstanding agreements are estimated as follows: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4"/>
                <w:szCs w:val="14"/>
                <w:color w:val="auto"/>
              </w:rPr>
            </w:pPr>
          </w:p>
        </w:tc>
        <w:tc>
          <w:tcPr>
            <w:tcW w:w="1360" w:type="dxa"/>
            <w:vAlign w:val="bottom"/>
          </w:tcPr>
          <w:p>
            <w:pPr>
              <w:jc w:val="right"/>
              <w:ind w:right="352"/>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2021</w:t>
            </w:r>
          </w:p>
        </w:tc>
        <w:tc>
          <w:tcPr>
            <w:tcW w:w="9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20" w:type="dxa"/>
            <w:vAlign w:val="bottom"/>
            <w:gridSpan w:val="2"/>
          </w:tcPr>
          <w:p>
            <w:pPr>
              <w:ind w:left="20"/>
              <w:spacing w:after="0"/>
              <w:rPr>
                <w:sz w:val="20"/>
                <w:szCs w:val="20"/>
                <w:color w:val="auto"/>
              </w:rPr>
            </w:pPr>
            <w:r>
              <w:rPr>
                <w:rFonts w:ascii="Arial" w:cs="Arial" w:eastAsia="Arial" w:hAnsi="Arial"/>
                <w:sz w:val="18"/>
                <w:szCs w:val="18"/>
                <w:color w:val="auto"/>
                <w:w w:val="94"/>
              </w:rPr>
              <w:t>2022</w:t>
            </w:r>
          </w:p>
        </w:tc>
        <w:tc>
          <w:tcPr>
            <w:tcW w:w="9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2023</w:t>
            </w:r>
          </w:p>
        </w:tc>
        <w:tc>
          <w:tcPr>
            <w:tcW w:w="9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20" w:type="dxa"/>
            <w:vAlign w:val="bottom"/>
            <w:gridSpan w:val="2"/>
          </w:tcPr>
          <w:p>
            <w:pPr>
              <w:ind w:left="20"/>
              <w:spacing w:after="0"/>
              <w:rPr>
                <w:sz w:val="20"/>
                <w:szCs w:val="20"/>
                <w:color w:val="auto"/>
              </w:rPr>
            </w:pPr>
            <w:r>
              <w:rPr>
                <w:rFonts w:ascii="Arial" w:cs="Arial" w:eastAsia="Arial" w:hAnsi="Arial"/>
                <w:sz w:val="18"/>
                <w:szCs w:val="18"/>
                <w:color w:val="auto"/>
                <w:w w:val="94"/>
              </w:rPr>
              <w:t>2024</w:t>
            </w:r>
          </w:p>
        </w:tc>
        <w:tc>
          <w:tcPr>
            <w:tcW w:w="9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2025</w:t>
            </w:r>
          </w:p>
        </w:tc>
        <w:tc>
          <w:tcPr>
            <w:tcW w:w="9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jc w:val="both"/>
        <w:ind w:firstLine="204"/>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3" w:name="page144"/>
    <w:bookmarkEnd w:id="143"/>
    <w:p>
      <w:pPr>
        <w:ind w:left="18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Argument before the U.S. Court of Appeals for the Eight Circuit is scheduled for March 18, 2021. The Company believes the allegations of NPPD are meritless and the Company is vigorously defending its rights under the PPAs.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302"/>
        <w:spacing w:after="0" w:line="255"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 xml:space="preserve">Note 15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Leases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evaluates each arrangement at inception to determine if it contains a lease. Substantially all of the Company’s leases are operating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71" w:lineRule="exact"/>
        <w:rPr>
          <w:sz w:val="20"/>
          <w:szCs w:val="20"/>
          <w:color w:val="auto"/>
        </w:rPr>
      </w:pPr>
    </w:p>
    <w:p>
      <w:pPr>
        <w:jc w:val="both"/>
        <w:ind w:firstLine="225"/>
        <w:spacing w:after="0" w:line="296" w:lineRule="auto"/>
        <w:rPr>
          <w:sz w:val="20"/>
          <w:szCs w:val="20"/>
          <w:color w:val="auto"/>
        </w:rPr>
      </w:pPr>
      <w:r>
        <w:rPr>
          <w:rFonts w:ascii="Arial" w:cs="Arial" w:eastAsia="Arial" w:hAnsi="Arial"/>
          <w:sz w:val="16"/>
          <w:szCs w:val="16"/>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07" w:lineRule="exact"/>
        <w:rPr>
          <w:sz w:val="20"/>
          <w:szCs w:val="20"/>
          <w:color w:val="auto"/>
        </w:rPr>
      </w:pPr>
    </w:p>
    <w:p>
      <w:pPr>
        <w:jc w:val="both"/>
        <w:ind w:firstLine="177"/>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year ended December 31, 2020 and December 31, 2019 was comprised of the following:</w:t>
      </w:r>
    </w:p>
    <w:p>
      <w:pPr>
        <w:spacing w:after="0" w:line="212"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20"/>
                <w:szCs w:val="20"/>
                <w:color w:val="auto"/>
              </w:rPr>
            </w:pP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w w:val="96"/>
              </w:rPr>
              <w:t>December 31, 2020</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December 31, 2019</w:t>
            </w:r>
          </w:p>
        </w:tc>
      </w:tr>
      <w:tr>
        <w:trPr>
          <w:trHeight w:val="223"/>
        </w:trPr>
        <w:tc>
          <w:tcPr>
            <w:tcW w:w="4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cost - Fixed</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cost - Variable</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46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lease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information as of December 31, 2020 and 2019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term and rate)</w:t>
            </w:r>
          </w:p>
        </w:tc>
        <w:tc>
          <w:tcPr>
            <w:tcW w:w="380" w:type="dxa"/>
            <w:vAlign w:val="bottom"/>
          </w:tcPr>
          <w:p>
            <w:pPr>
              <w:spacing w:after="0"/>
              <w:rPr>
                <w:sz w:val="20"/>
                <w:szCs w:val="20"/>
                <w:color w:val="auto"/>
              </w:rPr>
            </w:pPr>
          </w:p>
        </w:tc>
        <w:tc>
          <w:tcPr>
            <w:tcW w:w="2880" w:type="dxa"/>
            <w:vAlign w:val="bottom"/>
            <w:gridSpan w:val="2"/>
          </w:tcPr>
          <w:p>
            <w:pPr>
              <w:jc w:val="right"/>
              <w:ind w:right="1200"/>
              <w:spacing w:after="0"/>
              <w:rPr>
                <w:sz w:val="20"/>
                <w:szCs w:val="20"/>
                <w:color w:val="auto"/>
              </w:rPr>
            </w:pPr>
            <w:r>
              <w:rPr>
                <w:rFonts w:ascii="Arial" w:cs="Arial" w:eastAsia="Arial" w:hAnsi="Arial"/>
                <w:sz w:val="18"/>
                <w:szCs w:val="18"/>
                <w:color w:val="auto"/>
              </w:rPr>
              <w:t>December 31, 2020</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December 31, 2019</w:t>
            </w:r>
          </w:p>
        </w:tc>
      </w:tr>
      <w:tr>
        <w:trPr>
          <w:trHeight w:val="229"/>
        </w:trPr>
        <w:tc>
          <w:tcPr>
            <w:tcW w:w="53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ROU Assets - operating leases, net </w:t>
            </w:r>
            <w:r>
              <w:rPr>
                <w:rFonts w:ascii="Arial" w:cs="Arial" w:eastAsia="Arial" w:hAnsi="Arial"/>
                <w:sz w:val="23"/>
                <w:szCs w:val="23"/>
                <w:color w:val="auto"/>
                <w:vertAlign w:val="superscript"/>
              </w:rPr>
              <w:t>(a)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337</w:t>
            </w:r>
          </w:p>
        </w:tc>
        <w:tc>
          <w:tcPr>
            <w:tcW w:w="1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223</w:t>
            </w:r>
          </w:p>
        </w:tc>
      </w:tr>
      <w:tr>
        <w:trPr>
          <w:trHeight w:val="142"/>
        </w:trPr>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lease liability - operating leases (b)</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30"/>
        </w:trPr>
        <w:tc>
          <w:tcPr>
            <w:tcW w:w="53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Long-term lease liability - operating leases </w:t>
            </w:r>
            <w:r>
              <w:rPr>
                <w:rFonts w:ascii="Arial" w:cs="Arial" w:eastAsia="Arial" w:hAnsi="Arial"/>
                <w:sz w:val="23"/>
                <w:szCs w:val="23"/>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345</w:t>
            </w:r>
          </w:p>
        </w:tc>
        <w:tc>
          <w:tcPr>
            <w:tcW w:w="1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227</w:t>
            </w:r>
          </w:p>
        </w:tc>
      </w:tr>
      <w:tr>
        <w:trPr>
          <w:trHeight w:val="248"/>
        </w:trPr>
        <w:tc>
          <w:tcPr>
            <w:tcW w:w="53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Total lease liability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353</w:t>
            </w: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remaining lease term (in years)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4.3 %</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162"/>
        </w:trPr>
        <w:tc>
          <w:tcPr>
            <w:tcW w:w="5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Cash paid for 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1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13798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20" w:hanging="131"/>
        <w:spacing w:after="0"/>
        <w:tabs>
          <w:tab w:leader="none" w:pos="220" w:val="left"/>
        </w:tabs>
        <w:numPr>
          <w:ilvl w:val="0"/>
          <w:numId w:val="77"/>
        </w:numPr>
        <w:rPr>
          <w:rFonts w:ascii="Arial" w:cs="Arial" w:eastAsia="Arial" w:hAnsi="Arial"/>
          <w:sz w:val="9"/>
          <w:szCs w:val="9"/>
          <w:color w:val="auto"/>
        </w:rPr>
      </w:pPr>
      <w:r>
        <w:rPr>
          <w:rFonts w:ascii="Arial" w:cs="Arial" w:eastAsia="Arial" w:hAnsi="Arial"/>
          <w:sz w:val="14"/>
          <w:szCs w:val="14"/>
          <w:color w:val="auto"/>
        </w:rPr>
        <w:t xml:space="preserve">Increase in ROU Assets and lease liabilities is primarily due to the acquisition of Drop Down Assets, as further described in Note 3, </w:t>
      </w:r>
      <w:r>
        <w:rPr>
          <w:rFonts w:ascii="Arial" w:cs="Arial" w:eastAsia="Arial" w:hAnsi="Arial"/>
          <w:sz w:val="14"/>
          <w:szCs w:val="14"/>
          <w:i w:val="1"/>
          <w:iCs w:val="1"/>
          <w:color w:val="auto"/>
        </w:rPr>
        <w:t>Acquisitions and Dispositions</w:t>
      </w:r>
    </w:p>
    <w:p>
      <w:pPr>
        <w:spacing w:after="0" w:line="55" w:lineRule="exact"/>
        <w:rPr>
          <w:rFonts w:ascii="Arial" w:cs="Arial" w:eastAsia="Arial" w:hAnsi="Arial"/>
          <w:sz w:val="9"/>
          <w:szCs w:val="9"/>
          <w:color w:val="auto"/>
        </w:rPr>
      </w:pPr>
    </w:p>
    <w:p>
      <w:pPr>
        <w:ind w:left="180" w:right="800" w:hanging="91"/>
        <w:spacing w:after="0" w:line="273" w:lineRule="auto"/>
        <w:tabs>
          <w:tab w:leader="none" w:pos="244" w:val="left"/>
        </w:tabs>
        <w:numPr>
          <w:ilvl w:val="0"/>
          <w:numId w:val="77"/>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December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Maturities of operating lease liabilities as of December 31, 2020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9"/>
        </w:trPr>
        <w:tc>
          <w:tcPr>
            <w:tcW w:w="8760" w:type="dxa"/>
            <w:vAlign w:val="bottom"/>
          </w:tcPr>
          <w:p>
            <w:pPr>
              <w:ind w:left="220"/>
              <w:spacing w:after="0"/>
              <w:rPr>
                <w:sz w:val="20"/>
                <w:szCs w:val="20"/>
                <w:color w:val="auto"/>
              </w:rPr>
            </w:pPr>
            <w:r>
              <w:rPr>
                <w:rFonts w:ascii="Arial" w:cs="Arial" w:eastAsia="Arial" w:hAnsi="Arial"/>
                <w:sz w:val="18"/>
                <w:szCs w:val="18"/>
                <w:color w:val="auto"/>
              </w:rPr>
              <w:t>2021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760" w:type="dxa"/>
            <w:vAlign w:val="bottom"/>
          </w:tcPr>
          <w:p>
            <w:pPr>
              <w:ind w:left="220"/>
              <w:spacing w:after="0"/>
              <w:rPr>
                <w:sz w:val="20"/>
                <w:szCs w:val="20"/>
                <w:color w:val="auto"/>
              </w:rPr>
            </w:pPr>
            <w:r>
              <w:rPr>
                <w:rFonts w:ascii="Arial" w:cs="Arial" w:eastAsia="Arial" w:hAnsi="Arial"/>
                <w:sz w:val="18"/>
                <w:szCs w:val="18"/>
                <w:color w:val="auto"/>
              </w:rPr>
              <w:t>2023</w:t>
            </w: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760" w:type="dxa"/>
            <w:vAlign w:val="bottom"/>
          </w:tcPr>
          <w:p>
            <w:pPr>
              <w:ind w:left="220"/>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3"/>
        </w:trPr>
        <w:tc>
          <w:tcPr>
            <w:tcW w:w="876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29"/>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imputed interest</w:t>
            </w:r>
          </w:p>
        </w:tc>
        <w:tc>
          <w:tcPr>
            <w:tcW w:w="9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3"/>
        </w:trPr>
        <w:tc>
          <w:tcPr>
            <w:tcW w:w="8760" w:type="dxa"/>
            <w:vAlign w:val="bottom"/>
          </w:tcPr>
          <w:p>
            <w:pPr>
              <w:ind w:left="220"/>
              <w:spacing w:after="0"/>
              <w:rPr>
                <w:sz w:val="20"/>
                <w:szCs w:val="20"/>
                <w:color w:val="auto"/>
              </w:rPr>
            </w:pPr>
            <w:r>
              <w:rPr>
                <w:rFonts w:ascii="Arial" w:cs="Arial" w:eastAsia="Arial" w:hAnsi="Arial"/>
                <w:sz w:val="18"/>
                <w:szCs w:val="18"/>
                <w:b w:val="1"/>
                <w:bCs w:val="1"/>
                <w:color w:val="auto"/>
              </w:rPr>
              <w:t>Total lease liability - operating leases</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8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Oahu Solar Lease Agreements</w:t>
      </w:r>
    </w:p>
    <w:p>
      <w:pPr>
        <w:spacing w:after="0" w:line="158"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$20 million and $21 million as of December 31, 2020 and 2019 and corresponding right-of-use asset of $18 million and $19 million related to the leases as of December 31, 2020 and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Rosamond Lease Agreement</w:t>
      </w:r>
    </w:p>
    <w:p>
      <w:pPr>
        <w:spacing w:after="0" w:line="144"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Rosamond Central project is party to a land lease agreement with a wholly owned subsidiary of CEG. The project is leasing the land for a period of 35 years, with the ability to renew the lease for two additional five year periods. The Company has a lease liability of $12 million as of December 31, 2020 and corresponding right-of-use asset of $11 million related to the lease as of December 31, 2020.</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71" w:lineRule="exact"/>
        <w:rPr>
          <w:sz w:val="20"/>
          <w:szCs w:val="20"/>
          <w:color w:val="auto"/>
        </w:rPr>
      </w:pPr>
    </w:p>
    <w:p>
      <w:pPr>
        <w:jc w:val="both"/>
        <w:ind w:firstLine="246"/>
        <w:spacing w:after="0" w:line="293" w:lineRule="auto"/>
        <w:rPr>
          <w:sz w:val="20"/>
          <w:szCs w:val="20"/>
          <w:color w:val="auto"/>
        </w:rPr>
      </w:pPr>
      <w:r>
        <w:rPr>
          <w:rFonts w:ascii="Arial" w:cs="Arial" w:eastAsia="Arial" w:hAnsi="Arial"/>
          <w:sz w:val="16"/>
          <w:szCs w:val="16"/>
          <w:color w:val="auto"/>
        </w:rPr>
        <w:t>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Properties of this Form 10-K. Many of the leases have renewal options at the end of the lease term. Termination may be allowed under specific circumstances in the lease arrangements, such as under an event of default. All but one of the Company’s leases are operating leases. The remaining lease met the criteria of a sales-type lease and the impact of this sales-type lease to the consolidated financial statements was immaterial. Certain of these leases have both lease and non-lease components, and the Company allocates the transaction price to the components based on standalone selling prices.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of energy and capacity revenue are related to the Company’s operating leases.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Conventional Generation</w:t>
            </w:r>
          </w:p>
        </w:tc>
        <w:tc>
          <w:tcPr>
            <w:tcW w:w="1240" w:type="dxa"/>
            <w:vAlign w:val="bottom"/>
          </w:tcPr>
          <w:p>
            <w:pPr>
              <w:ind w:left="400"/>
              <w:spacing w:after="0"/>
              <w:rPr>
                <w:sz w:val="20"/>
                <w:szCs w:val="20"/>
                <w:color w:val="auto"/>
              </w:rPr>
            </w:pPr>
            <w:r>
              <w:rPr>
                <w:rFonts w:ascii="Arial" w:cs="Arial" w:eastAsia="Arial" w:hAnsi="Arial"/>
                <w:sz w:val="16"/>
                <w:szCs w:val="16"/>
                <w:b w:val="1"/>
                <w:bCs w:val="1"/>
                <w:color w:val="auto"/>
                <w:w w:val="88"/>
              </w:rPr>
              <w:t>Renewables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ind w:left="440"/>
              <w:spacing w:after="0"/>
              <w:rPr>
                <w:sz w:val="20"/>
                <w:szCs w:val="20"/>
                <w:color w:val="auto"/>
              </w:rPr>
            </w:pPr>
            <w:r>
              <w:rPr>
                <w:rFonts w:ascii="Arial" w:cs="Arial" w:eastAsia="Arial" w:hAnsi="Arial"/>
                <w:sz w:val="16"/>
                <w:szCs w:val="16"/>
                <w:b w:val="1"/>
                <w:bCs w:val="1"/>
                <w:color w:val="auto"/>
              </w:rPr>
              <w:t>Thermal</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226"/>
        </w:trPr>
        <w:tc>
          <w:tcPr>
            <w:tcW w:w="3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Energy revenue</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566</w:t>
            </w:r>
          </w:p>
        </w:tc>
      </w:tr>
      <w:tr>
        <w:trPr>
          <w:trHeight w:val="230"/>
        </w:trPr>
        <w:tc>
          <w:tcPr>
            <w:tcW w:w="3100" w:type="dxa"/>
            <w:vAlign w:val="bottom"/>
          </w:tcPr>
          <w:p>
            <w:pPr>
              <w:ind w:left="220"/>
              <w:spacing w:after="0"/>
              <w:rPr>
                <w:sz w:val="20"/>
                <w:szCs w:val="20"/>
                <w:color w:val="auto"/>
              </w:rPr>
            </w:pPr>
            <w:r>
              <w:rPr>
                <w:rFonts w:ascii="Arial" w:cs="Arial" w:eastAsia="Arial" w:hAnsi="Arial"/>
                <w:sz w:val="16"/>
                <w:szCs w:val="16"/>
                <w:color w:val="auto"/>
              </w:rPr>
              <w:t>Capacity revenue</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451</w:t>
            </w:r>
          </w:p>
        </w:tc>
      </w:tr>
      <w:tr>
        <w:trPr>
          <w:trHeight w:val="209"/>
        </w:trPr>
        <w:tc>
          <w:tcPr>
            <w:tcW w:w="3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revenue</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554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1,017</w:t>
            </w:r>
          </w:p>
        </w:tc>
      </w:tr>
      <w:tr>
        <w:trPr>
          <w:trHeight w:val="717"/>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December 31, 2019</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Conventional Generation</w:t>
            </w:r>
          </w:p>
        </w:tc>
        <w:tc>
          <w:tcPr>
            <w:tcW w:w="1240" w:type="dxa"/>
            <w:vAlign w:val="bottom"/>
          </w:tcPr>
          <w:p>
            <w:pPr>
              <w:ind w:left="400"/>
              <w:spacing w:after="0"/>
              <w:rPr>
                <w:sz w:val="20"/>
                <w:szCs w:val="20"/>
                <w:color w:val="auto"/>
              </w:rPr>
            </w:pPr>
            <w:r>
              <w:rPr>
                <w:rFonts w:ascii="Arial" w:cs="Arial" w:eastAsia="Arial" w:hAnsi="Arial"/>
                <w:sz w:val="16"/>
                <w:szCs w:val="16"/>
                <w:b w:val="1"/>
                <w:bCs w:val="1"/>
                <w:color w:val="auto"/>
                <w:w w:val="88"/>
              </w:rPr>
              <w:t>Renewables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ind w:left="440"/>
              <w:spacing w:after="0"/>
              <w:rPr>
                <w:sz w:val="20"/>
                <w:szCs w:val="20"/>
                <w:color w:val="auto"/>
              </w:rPr>
            </w:pPr>
            <w:r>
              <w:rPr>
                <w:rFonts w:ascii="Arial" w:cs="Arial" w:eastAsia="Arial" w:hAnsi="Arial"/>
                <w:sz w:val="16"/>
                <w:szCs w:val="16"/>
                <w:b w:val="1"/>
                <w:bCs w:val="1"/>
                <w:color w:val="auto"/>
              </w:rPr>
              <w:t>Thermal</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Total</w:t>
            </w:r>
          </w:p>
        </w:tc>
      </w:tr>
      <w:tr>
        <w:trPr>
          <w:trHeight w:val="213"/>
        </w:trPr>
        <w:tc>
          <w:tcPr>
            <w:tcW w:w="3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Energy revenue</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509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r>
      <w:tr>
        <w:trPr>
          <w:trHeight w:val="213"/>
        </w:trPr>
        <w:tc>
          <w:tcPr>
            <w:tcW w:w="3100" w:type="dxa"/>
            <w:vAlign w:val="bottom"/>
          </w:tcPr>
          <w:p>
            <w:pPr>
              <w:ind w:left="220"/>
              <w:spacing w:after="0"/>
              <w:rPr>
                <w:sz w:val="20"/>
                <w:szCs w:val="20"/>
                <w:color w:val="auto"/>
              </w:rPr>
            </w:pPr>
            <w:r>
              <w:rPr>
                <w:rFonts w:ascii="Arial" w:cs="Arial" w:eastAsia="Arial" w:hAnsi="Arial"/>
                <w:sz w:val="16"/>
                <w:szCs w:val="16"/>
                <w:color w:val="auto"/>
              </w:rPr>
              <w:t>Capacity revenue</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r>
      <w:tr>
        <w:trPr>
          <w:trHeight w:val="213"/>
        </w:trPr>
        <w:tc>
          <w:tcPr>
            <w:tcW w:w="3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revenue</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509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46" w:name="page147"/>
    <w:bookmarkEnd w:id="146"/>
    <w:p>
      <w:pPr>
        <w:ind w:left="180"/>
        <w:spacing w:after="0"/>
        <w:rPr>
          <w:sz w:val="20"/>
          <w:szCs w:val="20"/>
          <w:color w:val="auto"/>
        </w:rPr>
      </w:pPr>
      <w:r>
        <w:rPr>
          <w:rFonts w:ascii="Arial" w:cs="Arial" w:eastAsia="Arial" w:hAnsi="Arial"/>
          <w:sz w:val="16"/>
          <w:szCs w:val="16"/>
          <w:color w:val="auto"/>
        </w:rPr>
        <w:t>Minimum future rent payments for the remaining periods related to the Conventional segment operating leases were as follows as of December 31, 2020:</w:t>
      </w:r>
    </w:p>
    <w:p>
      <w:pPr>
        <w:spacing w:after="0" w:line="222"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 millions)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2021</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23"/>
        </w:trPr>
        <w:tc>
          <w:tcPr>
            <w:tcW w:w="6540" w:type="dxa"/>
            <w:vAlign w:val="bottom"/>
          </w:tcPr>
          <w:p>
            <w:pPr>
              <w:ind w:left="460"/>
              <w:spacing w:after="0"/>
              <w:rPr>
                <w:sz w:val="20"/>
                <w:szCs w:val="20"/>
                <w:color w:val="auto"/>
              </w:rPr>
            </w:pPr>
            <w:r>
              <w:rPr>
                <w:rFonts w:ascii="Arial" w:cs="Arial" w:eastAsia="Arial" w:hAnsi="Arial"/>
                <w:sz w:val="18"/>
                <w:szCs w:val="18"/>
                <w:b w:val="1"/>
                <w:bCs w:val="1"/>
                <w:color w:val="auto"/>
              </w:rPr>
              <w:t>Total lease payments</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w:t>
            </w:r>
          </w:p>
        </w:tc>
      </w:tr>
      <w:tr>
        <w:trPr>
          <w:trHeight w:val="21"/>
        </w:trPr>
        <w:tc>
          <w:tcPr>
            <w:tcW w:w="6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net related to the Company’s operating leases were as follows:</w:t>
      </w:r>
    </w:p>
    <w:p>
      <w:pPr>
        <w:spacing w:after="0" w:line="190"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88"/>
              </w:rPr>
              <w:t>7,201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88"/>
              </w:rPr>
              <w:t>6,942</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95"/>
              <w:spacing w:after="0"/>
              <w:rPr>
                <w:sz w:val="20"/>
                <w:szCs w:val="20"/>
                <w:color w:val="auto"/>
              </w:rPr>
            </w:pPr>
            <w:r>
              <w:rPr>
                <w:rFonts w:ascii="Arial" w:cs="Arial" w:eastAsia="Arial" w:hAnsi="Arial"/>
                <w:sz w:val="18"/>
                <w:szCs w:val="18"/>
                <w:color w:val="auto"/>
                <w:w w:val="91"/>
              </w:rPr>
              <w:t>(1,964)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95"/>
              <w:spacing w:after="0"/>
              <w:rPr>
                <w:sz w:val="20"/>
                <w:szCs w:val="20"/>
                <w:color w:val="auto"/>
              </w:rPr>
            </w:pPr>
            <w:r>
              <w:rPr>
                <w:rFonts w:ascii="Arial" w:cs="Arial" w:eastAsia="Arial" w:hAnsi="Arial"/>
                <w:sz w:val="18"/>
                <w:szCs w:val="18"/>
                <w:color w:val="auto"/>
                <w:w w:val="91"/>
              </w:rPr>
              <w:t>(1,649)</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property, plant and equipment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88"/>
              </w:rPr>
              <w:t>5,237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88"/>
              </w:rPr>
              <w:t>5,293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Energy Center Caguas Sales-Type Lease Agreement</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November 1, 2018, the Company, through its indirect subsidiary Energy Center Caguas LLC, entered into an Energy Services Agreement (ESA) for its Viatris (formerly Mylan) facility in Puerto Rico. The ESA was determined to be a sales-type lease, as the present value of the lease payments is greater than substantially all of the fair value of the facility. As a result, upon the service commencement date of the contract, the Company recorded a lease receivable of approximately $12 million which represents the net present value of the lease investment. The Company is permitted to receive approximately $1 million per year in fixed payments under the ESA, which expires in September 2032 based upon a service commencement date in September 2020, with options to extend the term for two additional five year periods upon mutual agreement of the parties.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Minimum future rent payments for the remaining periods related to the Thermal segment sales-type lease were as follows as of December 31, 2020:</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sales-type lease payments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Note 16 — Unaudited Quarterly Data</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summarized unaudited quarterly financial data for the periods ending December 31, 2020 and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280</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332</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329</w:t>
            </w:r>
          </w:p>
        </w:tc>
        <w:tc>
          <w:tcPr>
            <w:tcW w:w="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57"/>
        </w:trPr>
        <w:tc>
          <w:tcPr>
            <w:tcW w:w="4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28</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123</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131</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57"/>
        </w:trPr>
        <w:tc>
          <w:tcPr>
            <w:tcW w:w="4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51</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358"/>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left="562"/>
              <w:spacing w:after="0"/>
              <w:rPr>
                <w:sz w:val="20"/>
                <w:szCs w:val="20"/>
                <w:color w:val="auto"/>
              </w:rPr>
            </w:pPr>
            <w:r>
              <w:rPr>
                <w:rFonts w:ascii="Arial" w:cs="Arial" w:eastAsia="Arial" w:hAnsi="Arial"/>
                <w:sz w:val="14"/>
                <w:szCs w:val="14"/>
                <w:b w:val="1"/>
                <w:bCs w:val="1"/>
                <w:color w:val="auto"/>
                <w:w w:val="96"/>
              </w:rPr>
              <w:t>Quarter Ended</w:t>
            </w: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7"/>
        </w:trPr>
        <w:tc>
          <w:tcPr>
            <w:tcW w:w="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1002"/>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center"/>
              <w:ind w:left="582"/>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40" w:type="dxa"/>
            <w:vAlign w:val="bottom"/>
          </w:tcPr>
          <w:p>
            <w:pPr>
              <w:spacing w:after="0"/>
              <w:rPr>
                <w:sz w:val="20"/>
                <w:szCs w:val="20"/>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296</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4"/>
        </w:trPr>
        <w:tc>
          <w:tcPr>
            <w:tcW w:w="7100" w:type="dxa"/>
            <w:vAlign w:val="bottom"/>
            <w:vMerge w:val="restart"/>
          </w:tcPr>
          <w:p>
            <w:pPr>
              <w:jc w:val="center"/>
              <w:ind w:left="4052"/>
              <w:spacing w:after="0"/>
              <w:rPr>
                <w:sz w:val="20"/>
                <w:szCs w:val="20"/>
                <w:color w:val="auto"/>
              </w:rPr>
            </w:pPr>
            <w:r>
              <w:rPr>
                <w:rFonts w:ascii="Arial" w:cs="Arial" w:eastAsia="Arial" w:hAnsi="Arial"/>
                <w:sz w:val="18"/>
                <w:szCs w:val="18"/>
                <w:b w:val="1"/>
                <w:bCs w:val="1"/>
                <w:color w:val="auto"/>
                <w:w w:val="94"/>
              </w:rPr>
              <w:t>Clearway Energy LLC (Parent)</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198"/>
        </w:trPr>
        <w:tc>
          <w:tcPr>
            <w:tcW w:w="71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jc w:val="center"/>
              <w:ind w:left="3612"/>
              <w:spacing w:after="0"/>
              <w:rPr>
                <w:sz w:val="20"/>
                <w:szCs w:val="20"/>
                <w:color w:val="auto"/>
              </w:rPr>
            </w:pPr>
            <w:r>
              <w:rPr>
                <w:rFonts w:ascii="Arial" w:cs="Arial" w:eastAsia="Arial" w:hAnsi="Arial"/>
                <w:sz w:val="18"/>
                <w:szCs w:val="18"/>
                <w:b w:val="1"/>
                <w:bCs w:val="1"/>
                <w:color w:val="auto"/>
                <w:w w:val="90"/>
              </w:rPr>
              <w:t>Condensed Financial Information of Registrant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tcPr>
          <w:p>
            <w:pPr>
              <w:jc w:val="center"/>
              <w:ind w:left="4052"/>
              <w:spacing w:after="0"/>
              <w:rPr>
                <w:sz w:val="20"/>
                <w:szCs w:val="20"/>
                <w:color w:val="auto"/>
              </w:rPr>
            </w:pPr>
            <w:r>
              <w:rPr>
                <w:rFonts w:ascii="Arial" w:cs="Arial" w:eastAsia="Arial" w:hAnsi="Arial"/>
                <w:sz w:val="18"/>
                <w:szCs w:val="18"/>
                <w:b w:val="1"/>
                <w:bCs w:val="1"/>
                <w:color w:val="auto"/>
                <w:w w:val="88"/>
              </w:rPr>
              <w:t>Condensed Statements of Operations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5"/>
        </w:trPr>
        <w:tc>
          <w:tcPr>
            <w:tcW w:w="7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earnings (losses) of consolidated affiliates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income, net</w:t>
            </w: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Clearway Energy LLC</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8360" w:type="dxa"/>
            <w:vAlign w:val="bottom"/>
            <w:vMerge w:val="restart"/>
          </w:tcPr>
          <w:p>
            <w:pPr>
              <w:ind w:left="4380"/>
              <w:spacing w:after="0"/>
              <w:rPr>
                <w:sz w:val="20"/>
                <w:szCs w:val="20"/>
                <w:color w:val="auto"/>
              </w:rPr>
            </w:pPr>
            <w:r>
              <w:rPr>
                <w:rFonts w:ascii="Arial" w:cs="Arial" w:eastAsia="Arial" w:hAnsi="Arial"/>
                <w:sz w:val="18"/>
                <w:szCs w:val="18"/>
                <w:b w:val="1"/>
                <w:bCs w:val="1"/>
                <w:color w:val="auto"/>
              </w:rPr>
              <w:t>Clearway Energy LLC (Parent)</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b w:val="1"/>
                <w:bCs w:val="1"/>
                <w:color w:val="auto"/>
                <w:w w:val="86"/>
              </w:rPr>
              <w:t>Schedule I</w:t>
            </w:r>
          </w:p>
        </w:tc>
        <w:tc>
          <w:tcPr>
            <w:tcW w:w="0" w:type="dxa"/>
            <w:vAlign w:val="bottom"/>
          </w:tcPr>
          <w:p>
            <w:pPr>
              <w:spacing w:after="0"/>
              <w:rPr>
                <w:sz w:val="1"/>
                <w:szCs w:val="1"/>
                <w:color w:val="auto"/>
              </w:rPr>
            </w:pPr>
          </w:p>
        </w:tc>
      </w:tr>
      <w:tr>
        <w:trPr>
          <w:trHeight w:val="198"/>
        </w:trPr>
        <w:tc>
          <w:tcPr>
            <w:tcW w:w="83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580"/>
              <w:spacing w:after="0"/>
              <w:rPr>
                <w:sz w:val="20"/>
                <w:szCs w:val="20"/>
                <w:color w:val="auto"/>
              </w:rPr>
            </w:pPr>
            <w:r>
              <w:rPr>
                <w:rFonts w:ascii="Arial" w:cs="Arial" w:eastAsia="Arial" w:hAnsi="Arial"/>
                <w:sz w:val="18"/>
                <w:szCs w:val="18"/>
                <w:b w:val="1"/>
                <w:bCs w:val="1"/>
                <w:color w:val="auto"/>
              </w:rPr>
              <w:t>Condensed Balance Sheets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60" w:type="dxa"/>
            <w:vAlign w:val="bottom"/>
          </w:tcPr>
          <w:p>
            <w:pPr>
              <w:spacing w:after="0"/>
              <w:rPr>
                <w:sz w:val="24"/>
                <w:szCs w:val="24"/>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3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6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860" w:type="dxa"/>
            <w:vAlign w:val="bottom"/>
          </w:tcPr>
          <w:p>
            <w:pPr>
              <w:spacing w:after="0"/>
              <w:rPr>
                <w:sz w:val="18"/>
                <w:szCs w:val="18"/>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4"/>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Investment in consolidated subsidiaries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520"/>
              <w:spacing w:after="0"/>
              <w:rPr>
                <w:sz w:val="20"/>
                <w:szCs w:val="20"/>
                <w:color w:val="auto"/>
              </w:rPr>
            </w:pPr>
            <w:r>
              <w:rPr>
                <w:rFonts w:ascii="Arial" w:cs="Arial" w:eastAsia="Arial" w:hAnsi="Arial"/>
                <w:sz w:val="18"/>
                <w:szCs w:val="18"/>
                <w:b w:val="1"/>
                <w:bCs w:val="1"/>
                <w:color w:val="auto"/>
              </w:rPr>
              <w:t>LIABILITIES AND MEMBERS' EQUITY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Accounts payable — affiliates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Contributed capital</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 retained earnings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86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w w:val="86"/>
              </w:rPr>
              <w:t>Schedule I</w:t>
            </w:r>
          </w:p>
        </w:tc>
      </w:tr>
      <w:tr>
        <w:trPr>
          <w:trHeight w:val="279"/>
        </w:trPr>
        <w:tc>
          <w:tcPr>
            <w:tcW w:w="7080" w:type="dxa"/>
            <w:vAlign w:val="bottom"/>
          </w:tcPr>
          <w:p>
            <w:pPr>
              <w:ind w:left="4360"/>
              <w:spacing w:after="0"/>
              <w:rPr>
                <w:sz w:val="20"/>
                <w:szCs w:val="20"/>
                <w:color w:val="auto"/>
              </w:rPr>
            </w:pPr>
            <w:r>
              <w:rPr>
                <w:rFonts w:ascii="Arial" w:cs="Arial" w:eastAsia="Arial" w:hAnsi="Arial"/>
                <w:sz w:val="18"/>
                <w:szCs w:val="18"/>
                <w:b w:val="1"/>
                <w:bCs w:val="1"/>
                <w:color w:val="auto"/>
              </w:rPr>
              <w:t>Clearway Energy LLC (Parent)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080" w:type="dxa"/>
            <w:vAlign w:val="bottom"/>
          </w:tcPr>
          <w:p>
            <w:pPr>
              <w:ind w:left="4140"/>
              <w:spacing w:after="0"/>
              <w:rPr>
                <w:sz w:val="20"/>
                <w:szCs w:val="20"/>
                <w:color w:val="auto"/>
              </w:rPr>
            </w:pPr>
            <w:r>
              <w:rPr>
                <w:rFonts w:ascii="Arial" w:cs="Arial" w:eastAsia="Arial" w:hAnsi="Arial"/>
                <w:sz w:val="18"/>
                <w:szCs w:val="18"/>
                <w:b w:val="1"/>
                <w:bCs w:val="1"/>
                <w:color w:val="auto"/>
                <w:w w:val="89"/>
              </w:rPr>
              <w:t>Condensed Statements of Cash Flows</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09"/>
        </w:trPr>
        <w:tc>
          <w:tcPr>
            <w:tcW w:w="70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72"/>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70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Investments in consolidated affiliates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r>
      <w:tr>
        <w:trPr>
          <w:trHeight w:val="223"/>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 of funds under intercompany cash management arrangement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080" w:type="dxa"/>
            <w:vAlign w:val="bottom"/>
          </w:tcPr>
          <w:p>
            <w:pPr>
              <w:ind w:left="200"/>
              <w:spacing w:after="0"/>
              <w:rPr>
                <w:sz w:val="20"/>
                <w:szCs w:val="20"/>
                <w:color w:val="auto"/>
              </w:rPr>
            </w:pPr>
            <w:r>
              <w:rPr>
                <w:rFonts w:ascii="Arial" w:cs="Arial" w:eastAsia="Arial" w:hAnsi="Arial"/>
                <w:sz w:val="18"/>
                <w:szCs w:val="18"/>
                <w:color w:val="auto"/>
              </w:rPr>
              <w:t>Proceeds from issuance of Class C units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r>
      <w:tr>
        <w:trPr>
          <w:trHeight w:val="229"/>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distributions</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r>
      <w:tr>
        <w:trPr>
          <w:trHeight w:val="229"/>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r>
      <w:tr>
        <w:trPr>
          <w:trHeight w:val="230"/>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48"/>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21"/>
                <w:szCs w:val="2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98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 (Parent)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Clearway Energy LLC, together with its consolidated subsidiaries, or the Company, is an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GIP, referred to hereinafter as the GIP Transaction. As a result of the GIP Transaction, GIP indirectly acquired a 45.2% economic interest in the Company and a 55% voting interest in Clearway, Inc. GIP is an independent fund manager that invests in infrastructure assets in energy and transport sectors. The Company is sponsored by GIP through its portfolio company, CEG.</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one of the largest renewable energy owners in the U.S. with over 4,200 net MW of installed wind and solar generation projects. The Company also owns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Clearway Energy, Inc. consolidates the results of Clearway Energy LLC through its controlling interest, with CEG's interest shown as noncontrolling interest in the financial statements. The holders of Clearway, Inc.'s outstanding shares of Class A and Class C common stock are entitled to dividends as declared. CEG receives its distributions from Clearway Energy LLC through its ownership of Clearway Energy LLC Class B and Class D units.</w:t>
      </w:r>
    </w:p>
    <w:p>
      <w:pPr>
        <w:spacing w:after="0" w:line="9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a result of the Clearway, Inc. Class C common stock issuances during the year ended December 31, 2020, Clearway, Inc. currently owns 57.61% of the economic interests of the Company, with CEG retaining 42.39% of the economic interests of the Company. For further discussion, 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11, </w:t>
      </w:r>
      <w:r>
        <w:rPr>
          <w:rFonts w:ascii="Arial" w:cs="Arial" w:eastAsia="Arial" w:hAnsi="Arial"/>
          <w:sz w:val="18"/>
          <w:szCs w:val="18"/>
          <w:i w:val="1"/>
          <w:iCs w:val="1"/>
          <w:color w:val="auto"/>
        </w:rPr>
        <w:t>Members' Equity.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condensed parent-only company financial statements have been prepared in accordance with Rule 12-04 of Regulation S-X, as the restricted net assets of Clearway Energy LLC's subsidiaries exceed 25% of the consolidated net assets of Clearway Energy LLC.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LLC.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Long-Term Debt</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For a discussion of Clearway Energy LLC’s financing arrangements,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Company's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Contingencies and Guarantees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Company's consolidated financial statements for a detailed discussion of Clearway Energy LLC’s commitments and contingencies.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Dividends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distributions paid on the Company's Class A, Class B, Class C and Class D units, were $211 million, $155 million, and $238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2" w:name="page153"/>
    <w:bookmarkEnd w:id="152"/>
    <w:p>
      <w:pPr>
        <w:spacing w:after="0" w:line="315" w:lineRule="exact"/>
        <w:rPr>
          <w:sz w:val="20"/>
          <w:szCs w:val="20"/>
          <w:color w:val="auto"/>
        </w:rPr>
      </w:pPr>
    </w:p>
    <w:p>
      <w:pPr>
        <w:spacing w:after="0" w:line="353" w:lineRule="auto"/>
        <w:rPr>
          <w:sz w:val="20"/>
          <w:szCs w:val="20"/>
          <w:color w:val="auto"/>
        </w:rPr>
      </w:pPr>
      <w:r>
        <w:rPr>
          <w:rFonts w:ascii="Arial" w:cs="Arial" w:eastAsia="Arial" w:hAnsi="Arial"/>
          <w:sz w:val="15"/>
          <w:szCs w:val="15"/>
          <w:b w:val="1"/>
          <w:bCs w:val="1"/>
          <w:color w:val="auto"/>
        </w:rPr>
        <w:t xml:space="preserve">Number </w:t>
      </w: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br w:type="column"/>
      </w:r>
    </w:p>
    <w:p>
      <w:pPr>
        <w:ind w:left="4000"/>
        <w:spacing w:after="0"/>
        <w:rPr>
          <w:sz w:val="20"/>
          <w:szCs w:val="20"/>
          <w:color w:val="auto"/>
        </w:rPr>
      </w:pPr>
      <w:r>
        <w:rPr>
          <w:rFonts w:ascii="Arial" w:cs="Arial" w:eastAsia="Arial" w:hAnsi="Arial"/>
          <w:sz w:val="18"/>
          <w:szCs w:val="18"/>
          <w:b w:val="1"/>
          <w:bCs w:val="1"/>
          <w:color w:val="auto"/>
        </w:rPr>
        <w:t>EXHIBIT INDEX</w:t>
      </w:r>
    </w:p>
    <w:p>
      <w:pPr>
        <w:spacing w:after="0" w:line="108" w:lineRule="exact"/>
        <w:rPr>
          <w:sz w:val="20"/>
          <w:szCs w:val="20"/>
          <w:color w:val="auto"/>
        </w:rPr>
      </w:pPr>
    </w:p>
    <w:p>
      <w:pPr>
        <w:spacing w:after="0"/>
        <w:tabs>
          <w:tab w:leader="none" w:pos="51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Method of Filing</w:t>
      </w:r>
    </w:p>
    <w:p>
      <w:pPr>
        <w:spacing w:after="0" w:line="188" w:lineRule="auto"/>
        <w:rPr>
          <w:rFonts w:ascii="Arial" w:cs="Arial" w:eastAsia="Arial" w:hAnsi="Arial"/>
          <w:sz w:val="16"/>
          <w:szCs w:val="16"/>
          <w:u w:val="single" w:color="auto"/>
          <w:color w:val="0000FF"/>
        </w:rPr>
      </w:pPr>
      <w:hyperlink r:id="rId205">
        <w:r>
          <w:rPr>
            <w:rFonts w:ascii="Arial" w:cs="Arial" w:eastAsia="Arial" w:hAnsi="Arial"/>
            <w:sz w:val="16"/>
            <w:szCs w:val="16"/>
            <w:u w:val="single" w:color="auto"/>
            <w:color w:val="0000FF"/>
          </w:rPr>
          <w:t>Purchase and Sale Agreement, dated as of February 6, 2018, by and between</w:t>
        </w:r>
      </w:hyperlink>
    </w:p>
    <w:p>
      <w:pPr>
        <w:spacing w:after="0" w:line="188" w:lineRule="auto"/>
        <w:tabs>
          <w:tab w:leader="none" w:pos="5100" w:val="left"/>
        </w:tabs>
        <w:rPr>
          <w:rFonts w:ascii="Arial" w:cs="Arial" w:eastAsia="Arial" w:hAnsi="Arial"/>
          <w:sz w:val="12"/>
          <w:szCs w:val="12"/>
          <w:color w:val="0000FF"/>
        </w:rPr>
      </w:pPr>
      <w:hyperlink r:id="rId205">
        <w:r>
          <w:rPr>
            <w:rFonts w:ascii="Arial" w:cs="Arial" w:eastAsia="Arial" w:hAnsi="Arial"/>
            <w:sz w:val="12"/>
            <w:szCs w:val="12"/>
            <w:u w:val="single" w:color="auto"/>
            <w:color w:val="0000FF"/>
          </w:rPr>
          <w:t>NRG Gas Development Company, LLC and NRG Yield Operating LLC.</w:t>
        </w:r>
      </w:hyperlink>
      <w:r>
        <w:rPr>
          <w:rFonts w:ascii="Arial" w:cs="Arial" w:eastAsia="Arial" w:hAnsi="Arial"/>
          <w:sz w:val="12"/>
          <w:szCs w:val="12"/>
          <w:color w:val="0000FF"/>
        </w:rPr>
        <w:tab/>
      </w:r>
      <w:r>
        <w:rPr>
          <w:rFonts w:ascii="Arial" w:cs="Arial" w:eastAsia="Arial" w:hAnsi="Arial"/>
          <w:sz w:val="18"/>
          <w:szCs w:val="18"/>
          <w:color w:val="0000FF"/>
          <w:vertAlign w:val="superscript"/>
        </w:rPr>
        <w:t>Incorporated herein by reference to Exhibit 2.10 to</w:t>
      </w:r>
    </w:p>
    <w:p>
      <w:pPr>
        <w:ind w:left="5120"/>
        <w:spacing w:after="0"/>
        <w:rPr>
          <w:sz w:val="20"/>
          <w:szCs w:val="20"/>
          <w:color w:val="auto"/>
        </w:rPr>
      </w:pPr>
      <w:r>
        <w:rPr>
          <w:rFonts w:ascii="Arial" w:cs="Arial" w:eastAsia="Arial" w:hAnsi="Arial"/>
          <w:sz w:val="14"/>
          <w:szCs w:val="14"/>
          <w:color w:val="auto"/>
        </w:rPr>
        <w:t>Clearway Energy, Inc.'s Annual Report on Form 10-K</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filed on March 1, 2018.</w:t>
      </w:r>
    </w:p>
    <w:p>
      <w:pPr>
        <w:spacing w:after="0" w:line="99" w:lineRule="exact"/>
        <w:rPr>
          <w:sz w:val="20"/>
          <w:szCs w:val="20"/>
          <w:color w:val="auto"/>
        </w:rPr>
      </w:pPr>
    </w:p>
    <w:p>
      <w:pPr>
        <w:sectPr>
          <w:pgSz w:w="11900" w:h="16838" w:orient="portrait"/>
          <w:cols w:equalWidth="0" w:num="2">
            <w:col w:w="580" w:space="320"/>
            <w:col w:w="9219"/>
          </w:cols>
          <w:pgMar w:left="340" w:top="891" w:right="1440" w:bottom="1440" w:gutter="0" w:footer="0" w:header="0"/>
        </w:sectPr>
      </w:pPr>
    </w:p>
    <w:p>
      <w:pPr>
        <w:spacing w:after="0"/>
        <w:rPr>
          <w:sz w:val="20"/>
          <w:szCs w:val="20"/>
          <w:color w:val="auto"/>
        </w:rPr>
      </w:pPr>
      <w:r>
        <w:rPr>
          <w:rFonts w:ascii="Arial" w:cs="Arial" w:eastAsia="Arial" w:hAnsi="Arial"/>
          <w:sz w:val="15"/>
          <w:szCs w:val="15"/>
          <w:color w:val="auto"/>
        </w:rPr>
        <w:t>2.2*</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br w:type="column"/>
      </w:r>
    </w:p>
    <w:p>
      <w:pPr>
        <w:ind w:right="140"/>
        <w:spacing w:after="0" w:line="230" w:lineRule="auto"/>
        <w:rPr>
          <w:rFonts w:ascii="Arial" w:cs="Arial" w:eastAsia="Arial" w:hAnsi="Arial"/>
          <w:sz w:val="16"/>
          <w:szCs w:val="16"/>
          <w:u w:val="single" w:color="auto"/>
          <w:color w:val="0000FF"/>
        </w:rPr>
      </w:pPr>
      <w:hyperlink r:id="rId206">
        <w:r>
          <w:rPr>
            <w:rFonts w:ascii="Arial" w:cs="Arial" w:eastAsia="Arial" w:hAnsi="Arial"/>
            <w:sz w:val="16"/>
            <w:szCs w:val="16"/>
            <w:u w:val="single" w:color="auto"/>
            <w:color w:val="0000FF"/>
          </w:rPr>
          <w:t>Purchase and Sale Agreement, dated as of December 6, 2019, by and</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between Clearway Energy Operating LLC and GIP III Zephyr Carlsbad</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Holdings, LLC.</w:t>
        </w:r>
      </w:hyperlink>
    </w:p>
    <w:p>
      <w:pPr>
        <w:spacing w:after="0" w:line="187" w:lineRule="exact"/>
        <w:rPr>
          <w:rFonts w:ascii="Arial" w:cs="Arial" w:eastAsia="Arial" w:hAnsi="Arial"/>
          <w:sz w:val="16"/>
          <w:szCs w:val="16"/>
          <w:u w:val="single" w:color="auto"/>
          <w:color w:val="0000FF"/>
        </w:rPr>
      </w:pPr>
    </w:p>
    <w:p>
      <w:pPr>
        <w:spacing w:after="0" w:line="309" w:lineRule="auto"/>
        <w:rPr>
          <w:rFonts w:ascii="Arial" w:cs="Arial" w:eastAsia="Arial" w:hAnsi="Arial"/>
          <w:sz w:val="14"/>
          <w:szCs w:val="14"/>
          <w:u w:val="single" w:color="auto"/>
          <w:color w:val="0000FF"/>
        </w:rPr>
      </w:pPr>
      <w:hyperlink r:id="rId207">
        <w:r>
          <w:rPr>
            <w:rFonts w:ascii="Arial" w:cs="Arial" w:eastAsia="Arial" w:hAnsi="Arial"/>
            <w:sz w:val="14"/>
            <w:szCs w:val="14"/>
            <w:u w:val="single" w:color="auto"/>
            <w:color w:val="0000FF"/>
          </w:rPr>
          <w:t>Purchase and Sale Agreement, dated as of November 19, 2020, by and</w:t>
        </w:r>
      </w:hyperlink>
      <w:r>
        <w:rPr>
          <w:rFonts w:ascii="Arial" w:cs="Arial" w:eastAsia="Arial" w:hAnsi="Arial"/>
          <w:sz w:val="14"/>
          <w:szCs w:val="14"/>
          <w:u w:val="single" w:color="auto"/>
          <w:color w:val="0000FF"/>
        </w:rPr>
        <w:t xml:space="preserve"> </w:t>
      </w:r>
      <w:hyperlink r:id="rId207">
        <w:r>
          <w:rPr>
            <w:rFonts w:ascii="Arial" w:cs="Arial" w:eastAsia="Arial" w:hAnsi="Arial"/>
            <w:sz w:val="14"/>
            <w:szCs w:val="14"/>
            <w:u w:val="single" w:color="auto"/>
            <w:color w:val="0000FF"/>
          </w:rPr>
          <w:t>between NRG Solar Sunrise LLC and Clearway AC Solar Holdings LLC.</w:t>
        </w:r>
      </w:hyperlink>
    </w:p>
    <w:p>
      <w:pPr>
        <w:spacing w:after="0" w:line="125" w:lineRule="exact"/>
        <w:rPr>
          <w:sz w:val="20"/>
          <w:szCs w:val="20"/>
          <w:color w:val="auto"/>
        </w:rPr>
      </w:pPr>
    </w:p>
    <w:p>
      <w:pPr>
        <w:spacing w:after="0"/>
        <w:rPr>
          <w:rFonts w:ascii="Arial" w:cs="Arial" w:eastAsia="Arial" w:hAnsi="Arial"/>
          <w:sz w:val="16"/>
          <w:szCs w:val="16"/>
          <w:u w:val="single" w:color="auto"/>
          <w:color w:val="0000FF"/>
        </w:rPr>
      </w:pPr>
      <w:hyperlink r:id="rId208">
        <w:r>
          <w:rPr>
            <w:rFonts w:ascii="Arial" w:cs="Arial" w:eastAsia="Arial" w:hAnsi="Arial"/>
            <w:sz w:val="16"/>
            <w:szCs w:val="16"/>
            <w:u w:val="single" w:color="auto"/>
            <w:color w:val="0000FF"/>
          </w:rPr>
          <w:t>Certificate of Formation of NRG Yield Operating LLC.</w:t>
        </w:r>
      </w:hyperlink>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2.1 to the Registrant's Current Report on Form 8-K, filed on December 9, 2019.</w:t>
      </w:r>
    </w:p>
    <w:p>
      <w:pPr>
        <w:spacing w:after="0" w:line="92"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2.1 to the Company's Current Report on Form 8-K filed on November 20, 2020.</w:t>
      </w:r>
    </w:p>
    <w:p>
      <w:pPr>
        <w:spacing w:after="0" w:line="11" w:lineRule="exact"/>
        <w:rPr>
          <w:sz w:val="20"/>
          <w:szCs w:val="20"/>
          <w:color w:val="auto"/>
        </w:rPr>
      </w:pPr>
    </w:p>
    <w:p>
      <w:pPr>
        <w:jc w:val="both"/>
        <w:ind w:right="379"/>
        <w:spacing w:after="0" w:line="230" w:lineRule="auto"/>
        <w:rPr>
          <w:sz w:val="20"/>
          <w:szCs w:val="20"/>
          <w:color w:val="auto"/>
        </w:rPr>
      </w:pPr>
      <w:r>
        <w:rPr>
          <w:rFonts w:ascii="Arial" w:cs="Arial" w:eastAsia="Arial" w:hAnsi="Arial"/>
          <w:sz w:val="16"/>
          <w:szCs w:val="16"/>
          <w:color w:val="auto"/>
        </w:rPr>
        <w:t>Incorporated herein by reference to Exhibit 3.01(a) to the Company's Registration Statement on Form S-4 filed on April 13, 2015.</w:t>
      </w:r>
    </w:p>
    <w:p>
      <w:pPr>
        <w:spacing w:after="0" w:line="11" w:lineRule="exact"/>
        <w:rPr>
          <w:sz w:val="20"/>
          <w:szCs w:val="20"/>
          <w:color w:val="auto"/>
        </w:rPr>
      </w:pPr>
    </w:p>
    <w:p>
      <w:pPr>
        <w:sectPr>
          <w:pgSz w:w="11900" w:h="16838" w:orient="portrait"/>
          <w:cols w:equalWidth="0" w:num="3">
            <w:col w:w="280" w:space="620"/>
            <w:col w:w="4780" w:space="340"/>
            <w:col w:w="4099"/>
          </w:cols>
          <w:pgMar w:left="340" w:top="891" w:right="1440" w:bottom="1440" w:gutter="0" w:footer="0" w:header="0"/>
          <w:type w:val="continuous"/>
        </w:sectPr>
      </w:pPr>
    </w:p>
    <w:p>
      <w:pPr>
        <w:spacing w:after="0"/>
        <w:rPr>
          <w:sz w:val="20"/>
          <w:szCs w:val="20"/>
          <w:color w:val="auto"/>
        </w:rPr>
      </w:pPr>
      <w:r>
        <w:rPr>
          <w:rFonts w:ascii="Arial" w:cs="Arial" w:eastAsia="Arial" w:hAnsi="Arial"/>
          <w:sz w:val="14"/>
          <w:szCs w:val="14"/>
          <w:color w:val="auto"/>
        </w:rPr>
        <w:t>3.2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380"/>
        <w:spacing w:after="0"/>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Certificate of Amendment of Certificate of Formation of NRG Yield</w:t>
        </w:r>
      </w:hyperlink>
      <w:r>
        <w:rPr>
          <w:rFonts w:ascii="Arial" w:cs="Arial" w:eastAsia="Arial" w:hAnsi="Arial"/>
          <w:sz w:val="16"/>
          <w:szCs w:val="16"/>
          <w:u w:val="single" w:color="auto"/>
          <w:color w:val="0000FF"/>
        </w:rPr>
        <w:t xml:space="preserve"> </w:t>
      </w:r>
      <w:hyperlink r:id="rId209">
        <w:r>
          <w:rPr>
            <w:rFonts w:ascii="Arial" w:cs="Arial" w:eastAsia="Arial" w:hAnsi="Arial"/>
            <w:sz w:val="16"/>
            <w:szCs w:val="16"/>
            <w:u w:val="single" w:color="auto"/>
            <w:color w:val="0000FF"/>
          </w:rPr>
          <w:t>Operating LLC.</w:t>
        </w:r>
      </w:hyperlink>
    </w:p>
    <w:p>
      <w:pPr>
        <w:spacing w:after="0" w:line="253" w:lineRule="exact"/>
        <w:rPr>
          <w:sz w:val="20"/>
          <w:szCs w:val="20"/>
          <w:color w:val="auto"/>
        </w:rPr>
      </w:pPr>
    </w:p>
    <w:p>
      <w:pPr>
        <w:ind w:right="160"/>
        <w:spacing w:after="0"/>
        <w:rPr>
          <w:rFonts w:ascii="Arial" w:cs="Arial" w:eastAsia="Arial" w:hAnsi="Arial"/>
          <w:sz w:val="16"/>
          <w:szCs w:val="16"/>
          <w:u w:val="single" w:color="auto"/>
          <w:color w:val="0000FF"/>
        </w:rPr>
      </w:pPr>
      <w:hyperlink r:id="rId210">
        <w:r>
          <w:rPr>
            <w:rFonts w:ascii="Arial" w:cs="Arial" w:eastAsia="Arial" w:hAnsi="Arial"/>
            <w:sz w:val="16"/>
            <w:szCs w:val="16"/>
            <w:u w:val="single" w:color="auto"/>
            <w:color w:val="0000FF"/>
          </w:rPr>
          <w:t>Third Amended and Restated Limited Liability Company Agreement of</w:t>
        </w:r>
      </w:hyperlink>
      <w:r>
        <w:rPr>
          <w:rFonts w:ascii="Arial" w:cs="Arial" w:eastAsia="Arial" w:hAnsi="Arial"/>
          <w:sz w:val="16"/>
          <w:szCs w:val="16"/>
          <w:u w:val="single" w:color="auto"/>
          <w:color w:val="0000FF"/>
        </w:rPr>
        <w:t xml:space="preserve"> </w:t>
      </w:r>
      <w:hyperlink r:id="rId210">
        <w:r>
          <w:rPr>
            <w:rFonts w:ascii="Arial" w:cs="Arial" w:eastAsia="Arial" w:hAnsi="Arial"/>
            <w:sz w:val="16"/>
            <w:szCs w:val="16"/>
            <w:u w:val="single" w:color="auto"/>
            <w:color w:val="0000FF"/>
          </w:rPr>
          <w:t>Clearway Energy Operating LLC.</w:t>
        </w:r>
      </w:hyperlink>
    </w:p>
    <w:p>
      <w:pPr>
        <w:spacing w:after="0" w:line="348" w:lineRule="exact"/>
        <w:rPr>
          <w:sz w:val="20"/>
          <w:szCs w:val="20"/>
          <w:color w:val="auto"/>
        </w:rPr>
      </w:pPr>
    </w:p>
    <w:p>
      <w:pPr>
        <w:spacing w:after="0"/>
        <w:rPr>
          <w:rFonts w:ascii="Arial" w:cs="Arial" w:eastAsia="Arial" w:hAnsi="Arial"/>
          <w:sz w:val="16"/>
          <w:szCs w:val="16"/>
          <w:u w:val="single" w:color="auto"/>
          <w:color w:val="0000FF"/>
        </w:rPr>
      </w:pPr>
      <w:hyperlink r:id="rId211">
        <w:r>
          <w:rPr>
            <w:rFonts w:ascii="Arial" w:cs="Arial" w:eastAsia="Arial" w:hAnsi="Arial"/>
            <w:sz w:val="16"/>
            <w:szCs w:val="16"/>
            <w:u w:val="single" w:color="auto"/>
            <w:color w:val="0000FF"/>
          </w:rPr>
          <w:t>Certificate of Formation of NRG Yield LLC.</w:t>
        </w:r>
      </w:hyperlink>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5"/>
          <w:szCs w:val="15"/>
          <w:u w:val="single" w:color="auto"/>
          <w:color w:val="0000FF"/>
        </w:rPr>
      </w:pPr>
      <w:hyperlink r:id="rId212">
        <w:r>
          <w:rPr>
            <w:rFonts w:ascii="Arial" w:cs="Arial" w:eastAsia="Arial" w:hAnsi="Arial"/>
            <w:sz w:val="15"/>
            <w:szCs w:val="15"/>
            <w:u w:val="single" w:color="auto"/>
            <w:color w:val="0000FF"/>
          </w:rPr>
          <w:t>Certificate of Amendment of Certificate of Formation of NRG Yield LLC.</w:t>
        </w:r>
      </w:hyperlink>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ind w:right="379"/>
        <w:spacing w:after="0" w:line="230" w:lineRule="auto"/>
        <w:rPr>
          <w:sz w:val="20"/>
          <w:szCs w:val="20"/>
          <w:color w:val="auto"/>
        </w:rPr>
      </w:pPr>
      <w:r>
        <w:rPr>
          <w:rFonts w:ascii="Arial" w:cs="Arial" w:eastAsia="Arial" w:hAnsi="Arial"/>
          <w:sz w:val="16"/>
          <w:szCs w:val="16"/>
          <w:color w:val="auto"/>
        </w:rPr>
        <w:t>Incorporated herein by reference to Exhibit 3.01(b) to the Company's Registration Statement on Form S-4 filed on April 13, 2015.</w:t>
      </w:r>
    </w:p>
    <w:p>
      <w:pPr>
        <w:spacing w:after="0" w:line="187" w:lineRule="exact"/>
        <w:rPr>
          <w:sz w:val="20"/>
          <w:szCs w:val="20"/>
          <w:color w:val="auto"/>
        </w:rPr>
      </w:pPr>
    </w:p>
    <w:p>
      <w:pPr>
        <w:ind w:right="599"/>
        <w:spacing w:after="0" w:line="230" w:lineRule="auto"/>
        <w:rPr>
          <w:sz w:val="20"/>
          <w:szCs w:val="20"/>
          <w:color w:val="auto"/>
        </w:rPr>
      </w:pPr>
      <w:r>
        <w:rPr>
          <w:rFonts w:ascii="Arial" w:cs="Arial" w:eastAsia="Arial" w:hAnsi="Arial"/>
          <w:sz w:val="16"/>
          <w:szCs w:val="16"/>
          <w:color w:val="auto"/>
        </w:rPr>
        <w:t>Incorporated herein by reference to Exhibit 3.3. to the Company's Annual Report on Form 10-K filed on February 28, 2019.</w:t>
      </w:r>
    </w:p>
    <w:p>
      <w:pPr>
        <w:spacing w:after="0" w:line="187" w:lineRule="exact"/>
        <w:rPr>
          <w:sz w:val="20"/>
          <w:szCs w:val="20"/>
          <w:color w:val="auto"/>
        </w:rPr>
      </w:pPr>
    </w:p>
    <w:p>
      <w:pPr>
        <w:jc w:val="both"/>
        <w:ind w:right="379"/>
        <w:spacing w:after="0" w:line="230" w:lineRule="auto"/>
        <w:rPr>
          <w:sz w:val="20"/>
          <w:szCs w:val="20"/>
          <w:color w:val="auto"/>
        </w:rPr>
      </w:pPr>
      <w:r>
        <w:rPr>
          <w:rFonts w:ascii="Arial" w:cs="Arial" w:eastAsia="Arial" w:hAnsi="Arial"/>
          <w:sz w:val="16"/>
          <w:szCs w:val="16"/>
          <w:color w:val="auto"/>
        </w:rPr>
        <w:t>Incorporated herein by reference to Exhibit 3.03(a) to the Company's Registration Statement on Form S-4 filed on April 13, 2015.</w:t>
      </w:r>
    </w:p>
    <w:p>
      <w:pPr>
        <w:spacing w:after="0" w:line="187" w:lineRule="exact"/>
        <w:rPr>
          <w:sz w:val="20"/>
          <w:szCs w:val="20"/>
          <w:color w:val="auto"/>
        </w:rPr>
      </w:pPr>
    </w:p>
    <w:p>
      <w:pPr>
        <w:jc w:val="both"/>
        <w:ind w:right="379"/>
        <w:spacing w:after="0" w:line="230" w:lineRule="auto"/>
        <w:rPr>
          <w:sz w:val="20"/>
          <w:szCs w:val="20"/>
          <w:color w:val="auto"/>
        </w:rPr>
      </w:pPr>
      <w:r>
        <w:rPr>
          <w:rFonts w:ascii="Arial" w:cs="Arial" w:eastAsia="Arial" w:hAnsi="Arial"/>
          <w:sz w:val="16"/>
          <w:szCs w:val="16"/>
          <w:color w:val="auto"/>
        </w:rPr>
        <w:t>Incorporated herein by reference to Exhibit 3.03(b) to the Company's Registration Statement on Form S-4 filed on April 13, 2015.</w:t>
      </w:r>
    </w:p>
    <w:p>
      <w:pPr>
        <w:spacing w:after="0" w:line="92" w:lineRule="exact"/>
        <w:rPr>
          <w:sz w:val="20"/>
          <w:szCs w:val="20"/>
          <w:color w:val="auto"/>
        </w:rPr>
      </w:pPr>
    </w:p>
    <w:p>
      <w:pPr>
        <w:sectPr>
          <w:pgSz w:w="11900" w:h="16838" w:orient="portrait"/>
          <w:cols w:equalWidth="0" w:num="3">
            <w:col w:w="200" w:space="700"/>
            <w:col w:w="4820" w:space="300"/>
            <w:col w:w="4099"/>
          </w:cols>
          <w:pgMar w:left="340" w:top="891" w:right="1440" w:bottom="1440" w:gutter="0" w:footer="0" w:header="0"/>
          <w:type w:val="continuous"/>
        </w:sectPr>
      </w:pPr>
    </w:p>
    <w:p>
      <w:pPr>
        <w:spacing w:after="0"/>
        <w:rPr>
          <w:sz w:val="20"/>
          <w:szCs w:val="20"/>
          <w:color w:val="auto"/>
        </w:rPr>
      </w:pPr>
      <w:r>
        <w:rPr>
          <w:rFonts w:ascii="Arial" w:cs="Arial" w:eastAsia="Arial" w:hAnsi="Arial"/>
          <w:sz w:val="14"/>
          <w:szCs w:val="14"/>
          <w:color w:val="auto"/>
        </w:rPr>
        <w:t>3.6</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80"/>
        <w:spacing w:after="0" w:line="230" w:lineRule="auto"/>
        <w:rPr>
          <w:rFonts w:ascii="Arial" w:cs="Arial" w:eastAsia="Arial" w:hAnsi="Arial"/>
          <w:sz w:val="16"/>
          <w:szCs w:val="16"/>
          <w:u w:val="single" w:color="auto"/>
          <w:color w:val="0000FF"/>
        </w:rPr>
      </w:pPr>
      <w:hyperlink r:id="rId213">
        <w:r>
          <w:rPr>
            <w:rFonts w:ascii="Arial" w:cs="Arial" w:eastAsia="Arial" w:hAnsi="Arial"/>
            <w:sz w:val="16"/>
            <w:szCs w:val="16"/>
            <w:u w:val="single" w:color="auto"/>
            <w:color w:val="0000FF"/>
          </w:rPr>
          <w:t>Fourth Amended and Restated Limited Liability Company Agreement of</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NRG Yield LLC, dated as of August 31, 2018, by and between NRG Yield,</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Inc. and Zephyr Renewables LLC.</w:t>
        </w:r>
      </w:hyperlink>
    </w:p>
    <w:p>
      <w:pPr>
        <w:spacing w:after="0" w:line="92" w:lineRule="exact"/>
        <w:rPr>
          <w:rFonts w:ascii="Arial" w:cs="Arial" w:eastAsia="Arial" w:hAnsi="Arial"/>
          <w:sz w:val="16"/>
          <w:szCs w:val="16"/>
          <w:u w:val="single" w:color="auto"/>
          <w:color w:val="0000FF"/>
        </w:rPr>
      </w:pPr>
    </w:p>
    <w:p>
      <w:pPr>
        <w:ind w:right="40"/>
        <w:spacing w:after="0" w:line="309" w:lineRule="auto"/>
        <w:rPr>
          <w:rFonts w:ascii="Arial" w:cs="Arial" w:eastAsia="Arial" w:hAnsi="Arial"/>
          <w:sz w:val="14"/>
          <w:szCs w:val="14"/>
          <w:u w:val="single" w:color="auto"/>
          <w:color w:val="0000FF"/>
        </w:rPr>
      </w:pPr>
      <w:hyperlink r:id="rId214">
        <w:r>
          <w:rPr>
            <w:rFonts w:ascii="Arial" w:cs="Arial" w:eastAsia="Arial" w:hAnsi="Arial"/>
            <w:sz w:val="14"/>
            <w:szCs w:val="14"/>
            <w:u w:val="single" w:color="auto"/>
            <w:color w:val="0000FF"/>
          </w:rPr>
          <w:t>Indenture, dated August 5, 2014, among NRG Yield Operating LLC, the</w:t>
        </w:r>
      </w:hyperlink>
      <w:r>
        <w:rPr>
          <w:rFonts w:ascii="Arial" w:cs="Arial" w:eastAsia="Arial" w:hAnsi="Arial"/>
          <w:sz w:val="14"/>
          <w:szCs w:val="14"/>
          <w:u w:val="single" w:color="auto"/>
          <w:color w:val="0000FF"/>
        </w:rPr>
        <w:t xml:space="preserve"> </w:t>
      </w:r>
      <w:hyperlink r:id="rId214">
        <w:r>
          <w:rPr>
            <w:rFonts w:ascii="Arial" w:cs="Arial" w:eastAsia="Arial" w:hAnsi="Arial"/>
            <w:sz w:val="14"/>
            <w:szCs w:val="14"/>
            <w:u w:val="single" w:color="auto"/>
            <w:color w:val="0000FF"/>
          </w:rPr>
          <w:t>guarantors named therein and Law Debenture Trust Company of New York.</w:t>
        </w:r>
      </w:hyperlink>
    </w:p>
    <w:p>
      <w:pPr>
        <w:spacing w:after="0" w:line="125" w:lineRule="exact"/>
        <w:rPr>
          <w:sz w:val="20"/>
          <w:szCs w:val="20"/>
          <w:color w:val="auto"/>
        </w:rPr>
      </w:pPr>
    </w:p>
    <w:p>
      <w:pPr>
        <w:spacing w:after="0"/>
        <w:rPr>
          <w:rFonts w:ascii="Arial" w:cs="Arial" w:eastAsia="Arial" w:hAnsi="Arial"/>
          <w:sz w:val="16"/>
          <w:szCs w:val="16"/>
          <w:color w:val="0000FF"/>
        </w:rPr>
      </w:pPr>
      <w:hyperlink r:id="rId214">
        <w:r>
          <w:rPr>
            <w:rFonts w:ascii="Arial" w:cs="Arial" w:eastAsia="Arial" w:hAnsi="Arial"/>
            <w:sz w:val="16"/>
            <w:szCs w:val="16"/>
            <w:u w:val="single" w:color="auto"/>
            <w:color w:val="0000FF"/>
          </w:rPr>
          <w:t>Form of 5.375% Senior Note due 2024</w:t>
        </w:r>
        <w:r>
          <w:rPr>
            <w:rFonts w:ascii="Arial" w:cs="Arial" w:eastAsia="Arial" w:hAnsi="Arial"/>
            <w:sz w:val="16"/>
            <w:szCs w:val="16"/>
            <w:color w:val="0000FF"/>
          </w:rPr>
          <w:t>.</w:t>
        </w:r>
      </w:hyperlink>
    </w:p>
    <w:p>
      <w:pPr>
        <w:spacing w:after="0" w:line="200" w:lineRule="exact"/>
        <w:rPr>
          <w:sz w:val="20"/>
          <w:szCs w:val="20"/>
          <w:color w:val="auto"/>
        </w:rPr>
      </w:pPr>
    </w:p>
    <w:p>
      <w:pPr>
        <w:spacing w:after="0" w:line="251" w:lineRule="exact"/>
        <w:rPr>
          <w:sz w:val="20"/>
          <w:szCs w:val="20"/>
          <w:color w:val="auto"/>
        </w:rPr>
      </w:pPr>
    </w:p>
    <w:p>
      <w:pPr>
        <w:ind w:right="240"/>
        <w:spacing w:after="0" w:line="248" w:lineRule="auto"/>
        <w:rPr>
          <w:rFonts w:ascii="Arial" w:cs="Arial" w:eastAsia="Arial" w:hAnsi="Arial"/>
          <w:sz w:val="15"/>
          <w:szCs w:val="15"/>
          <w:u w:val="single" w:color="auto"/>
          <w:color w:val="0000FF"/>
        </w:rPr>
      </w:pPr>
      <w:hyperlink r:id="rId215">
        <w:r>
          <w:rPr>
            <w:rFonts w:ascii="Arial" w:cs="Arial" w:eastAsia="Arial" w:hAnsi="Arial"/>
            <w:sz w:val="15"/>
            <w:szCs w:val="15"/>
            <w:u w:val="single" w:color="auto"/>
            <w:color w:val="0000FF"/>
          </w:rPr>
          <w:t>Registration Rights Agreement, dated October 1, 2018, among Clearway</w:t>
        </w:r>
      </w:hyperlink>
      <w:r>
        <w:rPr>
          <w:rFonts w:ascii="Arial" w:cs="Arial" w:eastAsia="Arial" w:hAnsi="Arial"/>
          <w:sz w:val="15"/>
          <w:szCs w:val="15"/>
          <w:u w:val="single" w:color="auto"/>
          <w:color w:val="0000FF"/>
        </w:rPr>
        <w:t xml:space="preserve"> </w:t>
      </w:r>
      <w:hyperlink r:id="rId215">
        <w:r>
          <w:rPr>
            <w:rFonts w:ascii="Arial" w:cs="Arial" w:eastAsia="Arial" w:hAnsi="Arial"/>
            <w:sz w:val="15"/>
            <w:szCs w:val="15"/>
            <w:u w:val="single" w:color="auto"/>
            <w:color w:val="0000FF"/>
          </w:rPr>
          <w:t>Energy Operating LLC, the guarantors named therein and RBC Capital</w:t>
        </w:r>
      </w:hyperlink>
      <w:r>
        <w:rPr>
          <w:rFonts w:ascii="Arial" w:cs="Arial" w:eastAsia="Arial" w:hAnsi="Arial"/>
          <w:sz w:val="15"/>
          <w:szCs w:val="15"/>
          <w:u w:val="single" w:color="auto"/>
          <w:color w:val="0000FF"/>
        </w:rPr>
        <w:t xml:space="preserve"> </w:t>
      </w:r>
      <w:hyperlink r:id="rId215">
        <w:r>
          <w:rPr>
            <w:rFonts w:ascii="Arial" w:cs="Arial" w:eastAsia="Arial" w:hAnsi="Arial"/>
            <w:sz w:val="15"/>
            <w:szCs w:val="15"/>
            <w:u w:val="single" w:color="auto"/>
            <w:color w:val="0000FF"/>
          </w:rPr>
          <w:t>Markets, LLC, as representative of the initial purchasers.</w:t>
        </w:r>
      </w:hyperlink>
    </w:p>
    <w:p>
      <w:pPr>
        <w:spacing w:after="0" w:line="329" w:lineRule="exact"/>
        <w:rPr>
          <w:rFonts w:ascii="Arial" w:cs="Arial" w:eastAsia="Arial" w:hAnsi="Arial"/>
          <w:sz w:val="15"/>
          <w:szCs w:val="15"/>
          <w:u w:val="single" w:color="auto"/>
          <w:color w:val="0000FF"/>
        </w:rPr>
      </w:pPr>
    </w:p>
    <w:p>
      <w:pPr>
        <w:ind w:right="80"/>
        <w:spacing w:after="0" w:line="230" w:lineRule="auto"/>
        <w:rPr>
          <w:rFonts w:ascii="Arial" w:cs="Arial" w:eastAsia="Arial" w:hAnsi="Arial"/>
          <w:sz w:val="16"/>
          <w:szCs w:val="16"/>
          <w:u w:val="single" w:color="auto"/>
          <w:color w:val="0000FF"/>
        </w:rPr>
      </w:pPr>
      <w:hyperlink r:id="rId216">
        <w:r>
          <w:rPr>
            <w:rFonts w:ascii="Arial" w:cs="Arial" w:eastAsia="Arial" w:hAnsi="Arial"/>
            <w:sz w:val="16"/>
            <w:szCs w:val="16"/>
            <w:u w:val="single" w:color="auto"/>
            <w:color w:val="0000FF"/>
          </w:rPr>
          <w:t>Supplemental Indenture, dated as of November 7, 2014, among NRG Yield</w:t>
        </w:r>
      </w:hyperlink>
      <w:r>
        <w:rPr>
          <w:rFonts w:ascii="Arial" w:cs="Arial" w:eastAsia="Arial" w:hAnsi="Arial"/>
          <w:sz w:val="16"/>
          <w:szCs w:val="16"/>
          <w:u w:val="single" w:color="auto"/>
          <w:color w:val="0000FF"/>
        </w:rPr>
        <w:t xml:space="preserve"> </w:t>
      </w:r>
      <w:hyperlink r:id="rId216">
        <w:r>
          <w:rPr>
            <w:rFonts w:ascii="Arial" w:cs="Arial" w:eastAsia="Arial" w:hAnsi="Arial"/>
            <w:sz w:val="16"/>
            <w:szCs w:val="16"/>
            <w:u w:val="single" w:color="auto"/>
            <w:color w:val="0000FF"/>
          </w:rPr>
          <w:t>Operating LLC, the guarantors named therein and Law Debenture Trust</w:t>
        </w:r>
      </w:hyperlink>
      <w:r>
        <w:rPr>
          <w:rFonts w:ascii="Arial" w:cs="Arial" w:eastAsia="Arial" w:hAnsi="Arial"/>
          <w:sz w:val="16"/>
          <w:szCs w:val="16"/>
          <w:u w:val="single" w:color="auto"/>
          <w:color w:val="0000FF"/>
        </w:rPr>
        <w:t xml:space="preserve"> </w:t>
      </w:r>
      <w:hyperlink r:id="rId216">
        <w:r>
          <w:rPr>
            <w:rFonts w:ascii="Arial" w:cs="Arial" w:eastAsia="Arial" w:hAnsi="Arial"/>
            <w:sz w:val="16"/>
            <w:szCs w:val="16"/>
            <w:u w:val="single" w:color="auto"/>
            <w:color w:val="0000FF"/>
          </w:rPr>
          <w:t>Company of New York.</w:t>
        </w:r>
      </w:hyperlink>
    </w:p>
    <w:p>
      <w:pPr>
        <w:spacing w:after="0" w:line="11" w:lineRule="exact"/>
        <w:rPr>
          <w:rFonts w:ascii="Arial" w:cs="Arial" w:eastAsia="Arial" w:hAnsi="Arial"/>
          <w:sz w:val="16"/>
          <w:szCs w:val="16"/>
          <w:u w:val="single" w:color="auto"/>
          <w:color w:val="0000FF"/>
        </w:rPr>
      </w:pPr>
    </w:p>
    <w:p>
      <w:pPr>
        <w:ind w:right="100"/>
        <w:spacing w:after="0" w:line="230" w:lineRule="auto"/>
        <w:rPr>
          <w:rFonts w:ascii="Arial" w:cs="Arial" w:eastAsia="Arial" w:hAnsi="Arial"/>
          <w:sz w:val="16"/>
          <w:szCs w:val="16"/>
          <w:u w:val="single" w:color="auto"/>
          <w:color w:val="0000FF"/>
        </w:rPr>
      </w:pPr>
      <w:hyperlink r:id="rId217">
        <w:r>
          <w:rPr>
            <w:rFonts w:ascii="Arial" w:cs="Arial" w:eastAsia="Arial" w:hAnsi="Arial"/>
            <w:sz w:val="16"/>
            <w:szCs w:val="16"/>
            <w:u w:val="single" w:color="auto"/>
            <w:color w:val="0000FF"/>
          </w:rPr>
          <w:t>Supplemental Indenture, dated as of February 25, 2015, among NRG Yield</w:t>
        </w:r>
      </w:hyperlink>
      <w:r>
        <w:rPr>
          <w:rFonts w:ascii="Arial" w:cs="Arial" w:eastAsia="Arial" w:hAnsi="Arial"/>
          <w:sz w:val="16"/>
          <w:szCs w:val="16"/>
          <w:u w:val="single" w:color="auto"/>
          <w:color w:val="0000FF"/>
        </w:rPr>
        <w:t xml:space="preserve"> </w:t>
      </w:r>
      <w:hyperlink r:id="rId217">
        <w:r>
          <w:rPr>
            <w:rFonts w:ascii="Arial" w:cs="Arial" w:eastAsia="Arial" w:hAnsi="Arial"/>
            <w:sz w:val="16"/>
            <w:szCs w:val="16"/>
            <w:u w:val="single" w:color="auto"/>
            <w:color w:val="0000FF"/>
          </w:rPr>
          <w:t>Operating LLC, the guarantors named therein and Law Debenture Trust</w:t>
        </w:r>
      </w:hyperlink>
      <w:r>
        <w:rPr>
          <w:rFonts w:ascii="Arial" w:cs="Arial" w:eastAsia="Arial" w:hAnsi="Arial"/>
          <w:sz w:val="16"/>
          <w:szCs w:val="16"/>
          <w:u w:val="single" w:color="auto"/>
          <w:color w:val="0000FF"/>
        </w:rPr>
        <w:t xml:space="preserve"> </w:t>
      </w:r>
      <w:hyperlink r:id="rId217">
        <w:r>
          <w:rPr>
            <w:rFonts w:ascii="Arial" w:cs="Arial" w:eastAsia="Arial" w:hAnsi="Arial"/>
            <w:sz w:val="16"/>
            <w:szCs w:val="16"/>
            <w:u w:val="single" w:color="auto"/>
            <w:color w:val="0000FF"/>
          </w:rPr>
          <w:t>Company of New York.</w:t>
        </w:r>
      </w:hyperlink>
    </w:p>
    <w:p>
      <w:pPr>
        <w:spacing w:after="0" w:line="281" w:lineRule="exact"/>
        <w:rPr>
          <w:rFonts w:ascii="Arial" w:cs="Arial" w:eastAsia="Arial" w:hAnsi="Arial"/>
          <w:sz w:val="16"/>
          <w:szCs w:val="16"/>
          <w:u w:val="single" w:color="auto"/>
          <w:color w:val="0000FF"/>
        </w:rPr>
      </w:pPr>
    </w:p>
    <w:p>
      <w:pPr>
        <w:ind w:right="80"/>
        <w:spacing w:after="0" w:line="230" w:lineRule="auto"/>
        <w:rPr>
          <w:rFonts w:ascii="Arial" w:cs="Arial" w:eastAsia="Arial" w:hAnsi="Arial"/>
          <w:sz w:val="16"/>
          <w:szCs w:val="16"/>
          <w:u w:val="single" w:color="auto"/>
          <w:color w:val="0000FF"/>
        </w:rPr>
      </w:pPr>
      <w:hyperlink r:id="rId218">
        <w:r>
          <w:rPr>
            <w:rFonts w:ascii="Arial" w:cs="Arial" w:eastAsia="Arial" w:hAnsi="Arial"/>
            <w:sz w:val="16"/>
            <w:szCs w:val="16"/>
            <w:u w:val="single" w:color="auto"/>
            <w:color w:val="0000FF"/>
          </w:rPr>
          <w:t>Third Supplemental Indenture, dated as of April 10, 2015, among NRG</w:t>
        </w:r>
      </w:hyperlink>
      <w:r>
        <w:rPr>
          <w:rFonts w:ascii="Arial" w:cs="Arial" w:eastAsia="Arial" w:hAnsi="Arial"/>
          <w:sz w:val="16"/>
          <w:szCs w:val="16"/>
          <w:u w:val="single" w:color="auto"/>
          <w:color w:val="0000FF"/>
        </w:rPr>
        <w:t xml:space="preserve"> </w:t>
      </w:r>
      <w:hyperlink r:id="rId218">
        <w:r>
          <w:rPr>
            <w:rFonts w:ascii="Arial" w:cs="Arial" w:eastAsia="Arial" w:hAnsi="Arial"/>
            <w:sz w:val="16"/>
            <w:szCs w:val="16"/>
            <w:u w:val="single" w:color="auto"/>
            <w:color w:val="0000FF"/>
          </w:rPr>
          <w:t>Yield Operating LLC, NRG Yield LLC, the other guarantors named therein</w:t>
        </w:r>
      </w:hyperlink>
      <w:r>
        <w:rPr>
          <w:rFonts w:ascii="Arial" w:cs="Arial" w:eastAsia="Arial" w:hAnsi="Arial"/>
          <w:sz w:val="16"/>
          <w:szCs w:val="16"/>
          <w:u w:val="single" w:color="auto"/>
          <w:color w:val="0000FF"/>
        </w:rPr>
        <w:t xml:space="preserve"> </w:t>
      </w:r>
      <w:hyperlink r:id="rId218">
        <w:r>
          <w:rPr>
            <w:rFonts w:ascii="Arial" w:cs="Arial" w:eastAsia="Arial" w:hAnsi="Arial"/>
            <w:sz w:val="16"/>
            <w:szCs w:val="16"/>
            <w:u w:val="single" w:color="auto"/>
            <w:color w:val="0000FF"/>
          </w:rPr>
          <w:t>and Law Debenture Trust Company of New York.</w:t>
        </w:r>
      </w:hyperlink>
    </w:p>
    <w:p>
      <w:pPr>
        <w:spacing w:after="0" w:line="187" w:lineRule="exact"/>
        <w:rPr>
          <w:rFonts w:ascii="Arial" w:cs="Arial" w:eastAsia="Arial" w:hAnsi="Arial"/>
          <w:sz w:val="16"/>
          <w:szCs w:val="16"/>
          <w:u w:val="single" w:color="auto"/>
          <w:color w:val="0000FF"/>
        </w:rPr>
      </w:pPr>
    </w:p>
    <w:p>
      <w:pPr>
        <w:spacing w:after="0" w:line="230" w:lineRule="auto"/>
        <w:rPr>
          <w:rFonts w:ascii="Arial" w:cs="Arial" w:eastAsia="Arial" w:hAnsi="Arial"/>
          <w:sz w:val="16"/>
          <w:szCs w:val="16"/>
          <w:u w:val="single" w:color="auto"/>
          <w:color w:val="0000FF"/>
        </w:rPr>
      </w:pPr>
      <w:hyperlink r:id="rId219">
        <w:r>
          <w:rPr>
            <w:rFonts w:ascii="Arial" w:cs="Arial" w:eastAsia="Arial" w:hAnsi="Arial"/>
            <w:sz w:val="16"/>
            <w:szCs w:val="16"/>
            <w:u w:val="single" w:color="auto"/>
            <w:color w:val="0000FF"/>
          </w:rPr>
          <w:t>Fourth Supplemental Indenture, dated as of May 8, 2015, among NRG Yield</w:t>
        </w:r>
      </w:hyperlink>
      <w:r>
        <w:rPr>
          <w:rFonts w:ascii="Arial" w:cs="Arial" w:eastAsia="Arial" w:hAnsi="Arial"/>
          <w:sz w:val="16"/>
          <w:szCs w:val="16"/>
          <w:u w:val="single" w:color="auto"/>
          <w:color w:val="0000FF"/>
        </w:rPr>
        <w:t xml:space="preserve"> </w:t>
      </w:r>
      <w:hyperlink r:id="rId219">
        <w:r>
          <w:rPr>
            <w:rFonts w:ascii="Arial" w:cs="Arial" w:eastAsia="Arial" w:hAnsi="Arial"/>
            <w:sz w:val="16"/>
            <w:szCs w:val="16"/>
            <w:u w:val="single" w:color="auto"/>
            <w:color w:val="0000FF"/>
          </w:rPr>
          <w:t>Operating LLC, the guarantors named therein and Law Debenture Trust</w:t>
        </w:r>
      </w:hyperlink>
      <w:r>
        <w:rPr>
          <w:rFonts w:ascii="Arial" w:cs="Arial" w:eastAsia="Arial" w:hAnsi="Arial"/>
          <w:sz w:val="16"/>
          <w:szCs w:val="16"/>
          <w:u w:val="single" w:color="auto"/>
          <w:color w:val="0000FF"/>
        </w:rPr>
        <w:t xml:space="preserve"> </w:t>
      </w:r>
      <w:hyperlink r:id="rId219">
        <w:r>
          <w:rPr>
            <w:rFonts w:ascii="Arial" w:cs="Arial" w:eastAsia="Arial" w:hAnsi="Arial"/>
            <w:sz w:val="16"/>
            <w:szCs w:val="16"/>
            <w:u w:val="single" w:color="auto"/>
            <w:color w:val="0000FF"/>
          </w:rPr>
          <w:t>Company of New York.</w:t>
        </w:r>
      </w:hyperlink>
    </w:p>
    <w:p>
      <w:pPr>
        <w:spacing w:after="0" w:line="187" w:lineRule="exact"/>
        <w:rPr>
          <w:rFonts w:ascii="Arial" w:cs="Arial" w:eastAsia="Arial" w:hAnsi="Arial"/>
          <w:sz w:val="16"/>
          <w:szCs w:val="16"/>
          <w:u w:val="single" w:color="auto"/>
          <w:color w:val="0000FF"/>
        </w:rPr>
      </w:pPr>
    </w:p>
    <w:p>
      <w:pPr>
        <w:ind w:right="40"/>
        <w:spacing w:after="0" w:line="230" w:lineRule="auto"/>
        <w:rPr>
          <w:rFonts w:ascii="Arial" w:cs="Arial" w:eastAsia="Arial" w:hAnsi="Arial"/>
          <w:sz w:val="16"/>
          <w:szCs w:val="16"/>
          <w:u w:val="single" w:color="auto"/>
          <w:color w:val="0000FF"/>
        </w:rPr>
      </w:pPr>
      <w:hyperlink r:id="rId220">
        <w:r>
          <w:rPr>
            <w:rFonts w:ascii="Arial" w:cs="Arial" w:eastAsia="Arial" w:hAnsi="Arial"/>
            <w:sz w:val="16"/>
            <w:szCs w:val="16"/>
            <w:u w:val="single" w:color="auto"/>
            <w:color w:val="0000FF"/>
          </w:rPr>
          <w:t>Indenture, dated June 29, 2015, among NRG Yield, Inc., NRG Yield</w:t>
        </w:r>
      </w:hyperlink>
      <w:r>
        <w:rPr>
          <w:rFonts w:ascii="Arial" w:cs="Arial" w:eastAsia="Arial" w:hAnsi="Arial"/>
          <w:sz w:val="16"/>
          <w:szCs w:val="16"/>
          <w:u w:val="single" w:color="auto"/>
          <w:color w:val="0000FF"/>
        </w:rPr>
        <w:t xml:space="preserve"> </w:t>
      </w:r>
      <w:hyperlink r:id="rId220">
        <w:r>
          <w:rPr>
            <w:rFonts w:ascii="Arial" w:cs="Arial" w:eastAsia="Arial" w:hAnsi="Arial"/>
            <w:sz w:val="16"/>
            <w:szCs w:val="16"/>
            <w:u w:val="single" w:color="auto"/>
            <w:color w:val="0000FF"/>
          </w:rPr>
          <w:t>Operating LLC and NRG Yield LLC, as Guarantors, and Wilmington Trust,</w:t>
        </w:r>
      </w:hyperlink>
      <w:r>
        <w:rPr>
          <w:rFonts w:ascii="Arial" w:cs="Arial" w:eastAsia="Arial" w:hAnsi="Arial"/>
          <w:sz w:val="16"/>
          <w:szCs w:val="16"/>
          <w:u w:val="single" w:color="auto"/>
          <w:color w:val="0000FF"/>
        </w:rPr>
        <w:t xml:space="preserve"> </w:t>
      </w:r>
      <w:hyperlink r:id="rId220">
        <w:r>
          <w:rPr>
            <w:rFonts w:ascii="Arial" w:cs="Arial" w:eastAsia="Arial" w:hAnsi="Arial"/>
            <w:sz w:val="16"/>
            <w:szCs w:val="16"/>
            <w:u w:val="single" w:color="auto"/>
            <w:color w:val="0000FF"/>
          </w:rPr>
          <w:t>National Association, as Trustee.</w:t>
        </w:r>
      </w:hyperlink>
    </w:p>
    <w:p>
      <w:pPr>
        <w:spacing w:after="0" w:line="187"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220">
        <w:r>
          <w:rPr>
            <w:rFonts w:ascii="Arial" w:cs="Arial" w:eastAsia="Arial" w:hAnsi="Arial"/>
            <w:sz w:val="16"/>
            <w:szCs w:val="16"/>
            <w:u w:val="single" w:color="auto"/>
            <w:color w:val="0000FF"/>
          </w:rPr>
          <w:t>Form of 3.25% Convertible Senior Note due 2020.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5" w:lineRule="exact"/>
        <w:rPr>
          <w:rFonts w:ascii="Arial" w:cs="Arial" w:eastAsia="Arial" w:hAnsi="Arial"/>
          <w:sz w:val="16"/>
          <w:szCs w:val="16"/>
          <w:u w:val="single" w:color="auto"/>
          <w:color w:val="0000FF"/>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10.6 to Clearway Energy, Inc.'s Current Report on Form 8-K filed on September 5, 2018.</w:t>
      </w:r>
    </w:p>
    <w:p>
      <w:pPr>
        <w:spacing w:after="0" w:line="92" w:lineRule="exact"/>
        <w:rPr>
          <w:rFonts w:ascii="Arial" w:cs="Arial" w:eastAsia="Arial" w:hAnsi="Arial"/>
          <w:sz w:val="16"/>
          <w:szCs w:val="16"/>
          <w:u w:val="single" w:color="auto"/>
          <w:color w:val="0000FF"/>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August 5, 2014.</w:t>
      </w:r>
    </w:p>
    <w:p>
      <w:pPr>
        <w:spacing w:after="0" w:line="11" w:lineRule="exact"/>
        <w:rPr>
          <w:rFonts w:ascii="Arial" w:cs="Arial" w:eastAsia="Arial" w:hAnsi="Arial"/>
          <w:sz w:val="16"/>
          <w:szCs w:val="16"/>
          <w:u w:val="single" w:color="auto"/>
          <w:color w:val="0000FF"/>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4.2 to Clearway Energy, Inc.'s Current Report on Form 8-K filed on August 5, 2014.</w:t>
      </w:r>
    </w:p>
    <w:p>
      <w:pPr>
        <w:spacing w:after="0" w:line="11" w:lineRule="exact"/>
        <w:rPr>
          <w:rFonts w:ascii="Arial" w:cs="Arial" w:eastAsia="Arial" w:hAnsi="Arial"/>
          <w:sz w:val="16"/>
          <w:szCs w:val="16"/>
          <w:u w:val="single" w:color="auto"/>
          <w:color w:val="0000FF"/>
        </w:rPr>
      </w:pPr>
    </w:p>
    <w:p>
      <w:pPr>
        <w:ind w:right="35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October 2, 2018.</w:t>
      </w:r>
    </w:p>
    <w:p>
      <w:pPr>
        <w:spacing w:after="0" w:line="200" w:lineRule="exact"/>
        <w:rPr>
          <w:rFonts w:ascii="Arial" w:cs="Arial" w:eastAsia="Arial" w:hAnsi="Arial"/>
          <w:sz w:val="16"/>
          <w:szCs w:val="16"/>
          <w:u w:val="single" w:color="auto"/>
          <w:color w:val="0000FF"/>
        </w:rPr>
      </w:pPr>
    </w:p>
    <w:p>
      <w:pPr>
        <w:spacing w:after="0" w:line="230" w:lineRule="exact"/>
        <w:rPr>
          <w:rFonts w:ascii="Arial" w:cs="Arial" w:eastAsia="Arial" w:hAnsi="Arial"/>
          <w:sz w:val="16"/>
          <w:szCs w:val="16"/>
          <w:u w:val="single" w:color="auto"/>
          <w:color w:val="0000FF"/>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November 13, 2014.</w:t>
      </w:r>
    </w:p>
    <w:p>
      <w:pPr>
        <w:spacing w:after="0" w:line="106" w:lineRule="exact"/>
        <w:rPr>
          <w:rFonts w:ascii="Arial" w:cs="Arial" w:eastAsia="Arial" w:hAnsi="Arial"/>
          <w:sz w:val="16"/>
          <w:szCs w:val="16"/>
          <w:u w:val="single" w:color="auto"/>
          <w:color w:val="0000FF"/>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February 27, 2015.</w:t>
      </w:r>
    </w:p>
    <w:p>
      <w:pPr>
        <w:spacing w:after="0" w:line="187" w:lineRule="exact"/>
        <w:rPr>
          <w:rFonts w:ascii="Arial" w:cs="Arial" w:eastAsia="Arial" w:hAnsi="Arial"/>
          <w:sz w:val="16"/>
          <w:szCs w:val="16"/>
          <w:u w:val="single" w:color="auto"/>
          <w:color w:val="0000FF"/>
        </w:rPr>
      </w:pPr>
    </w:p>
    <w:p>
      <w:pPr>
        <w:ind w:right="459"/>
        <w:spacing w:after="0" w:line="230" w:lineRule="auto"/>
        <w:rPr>
          <w:sz w:val="20"/>
          <w:szCs w:val="20"/>
          <w:color w:val="auto"/>
        </w:rPr>
      </w:pPr>
      <w:r>
        <w:rPr>
          <w:rFonts w:ascii="Arial" w:cs="Arial" w:eastAsia="Arial" w:hAnsi="Arial"/>
          <w:sz w:val="16"/>
          <w:szCs w:val="16"/>
          <w:color w:val="auto"/>
        </w:rPr>
        <w:t>Incorporated herein by reference to Exhibit 4.07 to the Company's Registration Statement on Form S-4 filed on April 13, 2015.</w:t>
      </w:r>
    </w:p>
    <w:p>
      <w:pPr>
        <w:spacing w:after="0" w:line="187" w:lineRule="exact"/>
        <w:rPr>
          <w:rFonts w:ascii="Arial" w:cs="Arial" w:eastAsia="Arial" w:hAnsi="Arial"/>
          <w:sz w:val="16"/>
          <w:szCs w:val="16"/>
          <w:u w:val="single" w:color="auto"/>
          <w:color w:val="0000FF"/>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May 8, 2015.</w:t>
      </w:r>
    </w:p>
    <w:p>
      <w:pPr>
        <w:spacing w:after="0" w:line="187" w:lineRule="exact"/>
        <w:rPr>
          <w:rFonts w:ascii="Arial" w:cs="Arial" w:eastAsia="Arial" w:hAnsi="Arial"/>
          <w:sz w:val="16"/>
          <w:szCs w:val="16"/>
          <w:u w:val="single" w:color="auto"/>
          <w:color w:val="0000FF"/>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June 29, 2015.</w:t>
      </w:r>
    </w:p>
    <w:p>
      <w:pPr>
        <w:spacing w:after="0" w:line="182" w:lineRule="exact"/>
        <w:rPr>
          <w:rFonts w:ascii="Arial" w:cs="Arial" w:eastAsia="Arial" w:hAnsi="Arial"/>
          <w:sz w:val="16"/>
          <w:szCs w:val="16"/>
          <w:u w:val="single" w:color="auto"/>
          <w:color w:val="0000FF"/>
        </w:rPr>
      </w:pPr>
    </w:p>
    <w:p>
      <w:pPr>
        <w:ind w:right="399"/>
        <w:spacing w:after="0" w:line="224" w:lineRule="auto"/>
        <w:rPr>
          <w:sz w:val="20"/>
          <w:szCs w:val="20"/>
          <w:color w:val="auto"/>
        </w:rPr>
      </w:pPr>
      <w:r>
        <w:rPr>
          <w:rFonts w:ascii="Arial" w:cs="Arial" w:eastAsia="Arial" w:hAnsi="Arial"/>
          <w:sz w:val="18"/>
          <w:szCs w:val="18"/>
          <w:color w:val="auto"/>
        </w:rPr>
        <w:t>Incorporated herein by reference to Exhibit 4.2 to Clearway Energy, Inc.'s Current Report on Form 8-K filed on June 29, 2015.</w:t>
      </w:r>
    </w:p>
    <w:p>
      <w:pPr>
        <w:spacing w:after="0" w:line="200" w:lineRule="exact"/>
        <w:rPr>
          <w:rFonts w:ascii="Arial" w:cs="Arial" w:eastAsia="Arial" w:hAnsi="Arial"/>
          <w:sz w:val="16"/>
          <w:szCs w:val="16"/>
          <w:u w:val="single" w:color="auto"/>
          <w:color w:val="0000FF"/>
        </w:rPr>
      </w:pPr>
    </w:p>
    <w:p>
      <w:pPr>
        <w:sectPr>
          <w:pgSz w:w="11900" w:h="16838" w:orient="portrait"/>
          <w:cols w:equalWidth="0" w:num="3">
            <w:col w:w="200" w:space="700"/>
            <w:col w:w="4960" w:space="160"/>
            <w:col w:w="4099"/>
          </w:cols>
          <w:pgMar w:left="340" w:top="891" w:right="1440"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330" w:lineRule="exact"/>
        <w:rPr>
          <w:rFonts w:ascii="Arial" w:cs="Arial" w:eastAsia="Arial" w:hAnsi="Arial"/>
          <w:sz w:val="16"/>
          <w:szCs w:val="16"/>
          <w:u w:val="single" w:color="auto"/>
          <w:color w:val="0000FF"/>
        </w:rPr>
      </w:pPr>
    </w:p>
    <w:p>
      <w:pPr>
        <w:ind w:left="5460"/>
        <w:spacing w:after="0"/>
        <w:rPr>
          <w:sz w:val="20"/>
          <w:szCs w:val="20"/>
          <w:color w:val="auto"/>
        </w:rPr>
      </w:pPr>
      <w:r>
        <w:rPr>
          <w:rFonts w:ascii="Arial" w:cs="Arial" w:eastAsia="Arial" w:hAnsi="Arial"/>
          <w:sz w:val="16"/>
          <w:szCs w:val="16"/>
          <w:color w:val="auto"/>
        </w:rPr>
        <w:t>153</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891" w:right="1440"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4"/>
          <w:szCs w:val="14"/>
          <w:color w:val="auto"/>
        </w:rPr>
        <w:t>4.10</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4.11</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Borders>
              <w:bottom w:val="single" w:sz="8" w:color="0000FF"/>
            </w:tcBorders>
          </w:tcPr>
          <w:p>
            <w:pPr>
              <w:spacing w:after="0"/>
              <w:rPr>
                <w:rFonts w:ascii="Arial" w:cs="Arial" w:eastAsia="Arial" w:hAnsi="Arial"/>
                <w:sz w:val="16"/>
                <w:szCs w:val="16"/>
                <w:color w:val="0000FF"/>
                <w:w w:val="92"/>
              </w:rPr>
            </w:pPr>
            <w:hyperlink r:id="rId222">
              <w:r>
                <w:rPr>
                  <w:rFonts w:ascii="Arial" w:cs="Arial" w:eastAsia="Arial" w:hAnsi="Arial"/>
                  <w:sz w:val="16"/>
                  <w:szCs w:val="16"/>
                  <w:color w:val="0000FF"/>
                  <w:w w:val="92"/>
                </w:rPr>
                <w:t>Indenture, dated August 18, 2016, among NRG Yield Operating LLC, the</w:t>
              </w:r>
            </w:hyperlink>
          </w:p>
        </w:tc>
        <w:tc>
          <w:tcPr>
            <w:tcW w:w="240" w:type="dxa"/>
            <w:vAlign w:val="bottom"/>
          </w:tcPr>
          <w:p>
            <w:pPr>
              <w:spacing w:after="0"/>
              <w:rPr>
                <w:sz w:val="16"/>
                <w:szCs w:val="16"/>
                <w:color w:val="auto"/>
              </w:rPr>
            </w:pPr>
          </w:p>
        </w:tc>
        <w:tc>
          <w:tcPr>
            <w:tcW w:w="356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w:t>
            </w:r>
          </w:p>
        </w:tc>
      </w:tr>
      <w:tr>
        <w:trPr>
          <w:trHeight w:val="132"/>
        </w:trPr>
        <w:tc>
          <w:tcPr>
            <w:tcW w:w="5020" w:type="dxa"/>
            <w:vAlign w:val="bottom"/>
            <w:gridSpan w:val="2"/>
          </w:tcPr>
          <w:p>
            <w:pPr>
              <w:spacing w:after="0" w:line="132" w:lineRule="exact"/>
              <w:rPr>
                <w:rFonts w:ascii="Arial" w:cs="Arial" w:eastAsia="Arial" w:hAnsi="Arial"/>
                <w:sz w:val="15"/>
                <w:szCs w:val="15"/>
                <w:u w:val="single" w:color="auto"/>
                <w:color w:val="0000FF"/>
                <w:w w:val="99"/>
              </w:rPr>
            </w:pPr>
            <w:hyperlink r:id="rId222">
              <w:r>
                <w:rPr>
                  <w:rFonts w:ascii="Arial" w:cs="Arial" w:eastAsia="Arial" w:hAnsi="Arial"/>
                  <w:sz w:val="15"/>
                  <w:szCs w:val="15"/>
                  <w:u w:val="single" w:color="auto"/>
                  <w:color w:val="0000FF"/>
                  <w:w w:val="99"/>
                </w:rPr>
                <w:t>guarantors named therein and Law Debenture Trust Company of New York.</w:t>
              </w:r>
            </w:hyperlink>
          </w:p>
        </w:tc>
        <w:tc>
          <w:tcPr>
            <w:tcW w:w="3560" w:type="dxa"/>
            <w:vAlign w:val="bottom"/>
          </w:tcPr>
          <w:p>
            <w:pPr>
              <w:ind w:left="100"/>
              <w:spacing w:after="0" w:line="132" w:lineRule="exact"/>
              <w:rPr>
                <w:sz w:val="20"/>
                <w:szCs w:val="20"/>
                <w:color w:val="auto"/>
              </w:rPr>
            </w:pPr>
            <w:r>
              <w:rPr>
                <w:rFonts w:ascii="Arial" w:cs="Arial" w:eastAsia="Arial" w:hAnsi="Arial"/>
                <w:sz w:val="15"/>
                <w:szCs w:val="15"/>
                <w:color w:val="auto"/>
              </w:rPr>
              <w:t>Registrant's Current Report on Form 8-K, filed on</w:t>
            </w:r>
          </w:p>
        </w:tc>
      </w:tr>
      <w:tr>
        <w:trPr>
          <w:trHeight w:val="20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Pr>
          <w:p>
            <w:pPr>
              <w:ind w:left="100"/>
              <w:spacing w:after="0"/>
              <w:rPr>
                <w:sz w:val="20"/>
                <w:szCs w:val="20"/>
                <w:color w:val="auto"/>
              </w:rPr>
            </w:pPr>
            <w:r>
              <w:rPr>
                <w:rFonts w:ascii="Arial" w:cs="Arial" w:eastAsia="Arial" w:hAnsi="Arial"/>
                <w:sz w:val="16"/>
                <w:szCs w:val="16"/>
                <w:color w:val="auto"/>
              </w:rPr>
              <w:t>August 18, 2016.</w:t>
            </w:r>
          </w:p>
        </w:tc>
      </w:tr>
      <w:tr>
        <w:trPr>
          <w:trHeight w:val="347"/>
        </w:trPr>
        <w:tc>
          <w:tcPr>
            <w:tcW w:w="5020" w:type="dxa"/>
            <w:vAlign w:val="bottom"/>
            <w:gridSpan w:val="2"/>
          </w:tcPr>
          <w:p>
            <w:pPr>
              <w:spacing w:after="0"/>
              <w:rPr>
                <w:rFonts w:ascii="Arial" w:cs="Arial" w:eastAsia="Arial" w:hAnsi="Arial"/>
                <w:sz w:val="16"/>
                <w:szCs w:val="16"/>
                <w:color w:val="0000FF"/>
              </w:rPr>
            </w:pPr>
            <w:hyperlink r:id="rId222">
              <w:r>
                <w:rPr>
                  <w:rFonts w:ascii="Arial" w:cs="Arial" w:eastAsia="Arial" w:hAnsi="Arial"/>
                  <w:sz w:val="16"/>
                  <w:szCs w:val="16"/>
                  <w:u w:val="single" w:color="auto"/>
                  <w:color w:val="0000FF"/>
                </w:rPr>
                <w:t>Form of 5.000% Senior Note due 2026</w:t>
              </w:r>
              <w:r>
                <w:rPr>
                  <w:rFonts w:ascii="Arial" w:cs="Arial" w:eastAsia="Arial" w:hAnsi="Arial"/>
                  <w:sz w:val="16"/>
                  <w:szCs w:val="16"/>
                  <w:color w:val="0000FF"/>
                </w:rPr>
                <w:t>.</w:t>
              </w:r>
            </w:hyperlink>
          </w:p>
        </w:tc>
        <w:tc>
          <w:tcPr>
            <w:tcW w:w="356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4.2 to the</w:t>
            </w:r>
          </w:p>
        </w:tc>
      </w:tr>
      <w:tr>
        <w:trPr>
          <w:trHeight w:val="162"/>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tcPr>
          <w:p>
            <w:pPr>
              <w:ind w:left="100"/>
              <w:spacing w:after="0" w:line="162" w:lineRule="exact"/>
              <w:rPr>
                <w:sz w:val="20"/>
                <w:szCs w:val="20"/>
                <w:color w:val="auto"/>
              </w:rPr>
            </w:pPr>
            <w:r>
              <w:rPr>
                <w:rFonts w:ascii="Arial" w:cs="Arial" w:eastAsia="Arial" w:hAnsi="Arial"/>
                <w:sz w:val="16"/>
                <w:szCs w:val="16"/>
                <w:color w:val="auto"/>
                <w:w w:val="98"/>
              </w:rPr>
              <w:t>Registrant's Current Report on Form 8-K, filed on</w:t>
            </w:r>
          </w:p>
        </w:tc>
      </w:tr>
      <w:tr>
        <w:trPr>
          <w:trHeight w:val="20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Pr>
          <w:p>
            <w:pPr>
              <w:ind w:left="100"/>
              <w:spacing w:after="0"/>
              <w:rPr>
                <w:sz w:val="20"/>
                <w:szCs w:val="20"/>
                <w:color w:val="auto"/>
              </w:rPr>
            </w:pPr>
            <w:r>
              <w:rPr>
                <w:rFonts w:ascii="Arial" w:cs="Arial" w:eastAsia="Arial" w:hAnsi="Arial"/>
                <w:sz w:val="16"/>
                <w:szCs w:val="16"/>
                <w:color w:val="auto"/>
              </w:rPr>
              <w:t>August 18, 2016.</w:t>
            </w:r>
          </w:p>
        </w:tc>
      </w:tr>
    </w:tbl>
    <w:p>
      <w:pPr>
        <w:spacing w:after="0" w:line="91" w:lineRule="exact"/>
        <w:rPr>
          <w:sz w:val="20"/>
          <w:szCs w:val="20"/>
          <w:color w:val="auto"/>
        </w:rPr>
      </w:pPr>
    </w:p>
    <w:p>
      <w:pPr>
        <w:sectPr>
          <w:pgSz w:w="11900" w:h="16838" w:orient="portrait"/>
          <w:cols w:equalWidth="0" w:num="2">
            <w:col w:w="280" w:space="620"/>
            <w:col w:w="9219"/>
          </w:cols>
          <w:pgMar w:left="340" w:top="940" w:right="1440" w:bottom="103" w:gutter="0" w:footer="0" w:header="0"/>
        </w:sectPr>
      </w:pPr>
    </w:p>
    <w:p>
      <w:pPr>
        <w:spacing w:after="0"/>
        <w:rPr>
          <w:sz w:val="20"/>
          <w:szCs w:val="20"/>
          <w:color w:val="auto"/>
        </w:rPr>
      </w:pPr>
      <w:r>
        <w:rPr>
          <w:rFonts w:ascii="Arial" w:cs="Arial" w:eastAsia="Arial" w:hAnsi="Arial"/>
          <w:sz w:val="14"/>
          <w:szCs w:val="14"/>
          <w:color w:val="auto"/>
        </w:rPr>
        <w:t>4.12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4.13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4.25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20"/>
        <w:spacing w:after="0" w:line="230" w:lineRule="auto"/>
        <w:rPr>
          <w:rFonts w:ascii="Arial" w:cs="Arial" w:eastAsia="Arial" w:hAnsi="Arial"/>
          <w:sz w:val="16"/>
          <w:szCs w:val="16"/>
          <w:u w:val="single" w:color="auto"/>
          <w:color w:val="0000FF"/>
        </w:rPr>
      </w:pPr>
      <w:hyperlink r:id="rId223">
        <w:r>
          <w:rPr>
            <w:rFonts w:ascii="Arial" w:cs="Arial" w:eastAsia="Arial" w:hAnsi="Arial"/>
            <w:sz w:val="16"/>
            <w:szCs w:val="16"/>
            <w:u w:val="single" w:color="auto"/>
            <w:color w:val="0000FF"/>
          </w:rPr>
          <w:t>Registration Rights Agreement, dated August 18, 2016, among NRG Yield</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Operating LLC, the guarantors named therein and J.P. Morgan Securities</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LLC, as representative of the initial purchasers.</w:t>
        </w:r>
      </w:hyperlink>
    </w:p>
    <w:p>
      <w:pPr>
        <w:spacing w:after="0" w:line="187"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224">
        <w:r>
          <w:rPr>
            <w:rFonts w:ascii="Arial" w:cs="Arial" w:eastAsia="Arial" w:hAnsi="Arial"/>
            <w:sz w:val="16"/>
            <w:szCs w:val="16"/>
            <w:u w:val="single" w:color="auto"/>
            <w:color w:val="0000FF"/>
          </w:rPr>
          <w:t>Fifth Supplemental Indenture, dated as of January 29, 2018, among NRG</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Yield Operating LLC, the guarantors named therein and Delaware Trust</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Company (as successor in interest to Law Debenture Trust Company of New</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York).</w:t>
        </w:r>
      </w:hyperlink>
    </w:p>
    <w:p>
      <w:pPr>
        <w:spacing w:after="0" w:line="188" w:lineRule="exact"/>
        <w:rPr>
          <w:rFonts w:ascii="Arial" w:cs="Arial" w:eastAsia="Arial" w:hAnsi="Arial"/>
          <w:sz w:val="16"/>
          <w:szCs w:val="16"/>
          <w:u w:val="single" w:color="auto"/>
          <w:color w:val="0000FF"/>
        </w:rPr>
      </w:pPr>
    </w:p>
    <w:p>
      <w:pPr>
        <w:jc w:val="both"/>
        <w:ind w:right="20"/>
        <w:spacing w:after="0" w:line="275" w:lineRule="auto"/>
        <w:rPr>
          <w:rFonts w:ascii="Arial" w:cs="Arial" w:eastAsia="Arial" w:hAnsi="Arial"/>
          <w:sz w:val="14"/>
          <w:szCs w:val="14"/>
          <w:u w:val="single" w:color="auto"/>
          <w:color w:val="0000FF"/>
        </w:rPr>
      </w:pPr>
      <w:hyperlink r:id="rId225">
        <w:r>
          <w:rPr>
            <w:rFonts w:ascii="Arial" w:cs="Arial" w:eastAsia="Arial" w:hAnsi="Arial"/>
            <w:sz w:val="14"/>
            <w:szCs w:val="14"/>
            <w:u w:val="single" w:color="auto"/>
            <w:color w:val="0000FF"/>
          </w:rPr>
          <w:t>Sixth Supplemental Indenture, dated as of June 12, 2018, among NRG Yield</w:t>
        </w:r>
      </w:hyperlink>
      <w:r>
        <w:rPr>
          <w:rFonts w:ascii="Arial" w:cs="Arial" w:eastAsia="Arial" w:hAnsi="Arial"/>
          <w:sz w:val="14"/>
          <w:szCs w:val="14"/>
          <w:u w:val="single" w:color="auto"/>
          <w:color w:val="0000FF"/>
        </w:rPr>
        <w:t xml:space="preserve"> </w:t>
      </w:r>
      <w:hyperlink r:id="rId225">
        <w:r>
          <w:rPr>
            <w:rFonts w:ascii="Arial" w:cs="Arial" w:eastAsia="Arial" w:hAnsi="Arial"/>
            <w:sz w:val="14"/>
            <w:szCs w:val="14"/>
            <w:u w:val="single" w:color="auto"/>
            <w:color w:val="0000FF"/>
          </w:rPr>
          <w:t>Operating LLC, the guarantors named therein and Delaware Trust Company</w:t>
        </w:r>
      </w:hyperlink>
      <w:r>
        <w:rPr>
          <w:rFonts w:ascii="Arial" w:cs="Arial" w:eastAsia="Arial" w:hAnsi="Arial"/>
          <w:sz w:val="14"/>
          <w:szCs w:val="14"/>
          <w:u w:val="single" w:color="auto"/>
          <w:color w:val="0000FF"/>
        </w:rPr>
        <w:t xml:space="preserve"> </w:t>
      </w:r>
      <w:hyperlink r:id="rId225">
        <w:r>
          <w:rPr>
            <w:rFonts w:ascii="Arial" w:cs="Arial" w:eastAsia="Arial" w:hAnsi="Arial"/>
            <w:sz w:val="14"/>
            <w:szCs w:val="14"/>
            <w:u w:val="single" w:color="auto"/>
            <w:color w:val="0000FF"/>
          </w:rPr>
          <w:t>(as successor in interest to Law Debenture Trust Company of New York).</w:t>
        </w:r>
      </w:hyperlink>
    </w:p>
    <w:p>
      <w:pPr>
        <w:spacing w:after="0" w:line="200" w:lineRule="exact"/>
        <w:rPr>
          <w:rFonts w:ascii="Arial" w:cs="Arial" w:eastAsia="Arial" w:hAnsi="Arial"/>
          <w:sz w:val="14"/>
          <w:szCs w:val="14"/>
          <w:u w:val="single" w:color="auto"/>
          <w:color w:val="0000FF"/>
        </w:rPr>
      </w:pPr>
    </w:p>
    <w:p>
      <w:pPr>
        <w:spacing w:after="0" w:line="300" w:lineRule="exact"/>
        <w:rPr>
          <w:rFonts w:ascii="Arial" w:cs="Arial" w:eastAsia="Arial" w:hAnsi="Arial"/>
          <w:sz w:val="14"/>
          <w:szCs w:val="14"/>
          <w:u w:val="single" w:color="auto"/>
          <w:color w:val="0000FF"/>
        </w:rPr>
      </w:pPr>
    </w:p>
    <w:p>
      <w:pPr>
        <w:spacing w:after="0" w:line="225" w:lineRule="auto"/>
        <w:rPr>
          <w:rFonts w:ascii="Arial" w:cs="Arial" w:eastAsia="Arial" w:hAnsi="Arial"/>
          <w:sz w:val="16"/>
          <w:szCs w:val="16"/>
          <w:u w:val="single" w:color="auto"/>
          <w:color w:val="0000FF"/>
        </w:rPr>
      </w:pPr>
      <w:hyperlink r:id="rId226">
        <w:r>
          <w:rPr>
            <w:rFonts w:ascii="Arial" w:cs="Arial" w:eastAsia="Arial" w:hAnsi="Arial"/>
            <w:sz w:val="16"/>
            <w:szCs w:val="16"/>
            <w:u w:val="single" w:color="auto"/>
            <w:color w:val="0000FF"/>
          </w:rPr>
          <w:t>Supplemental Indenture, dated as of January 29, 2018, among NRG Yield</w:t>
        </w:r>
      </w:hyperlink>
      <w:r>
        <w:rPr>
          <w:rFonts w:ascii="Arial" w:cs="Arial" w:eastAsia="Arial" w:hAnsi="Arial"/>
          <w:sz w:val="16"/>
          <w:szCs w:val="16"/>
          <w:u w:val="single" w:color="auto"/>
          <w:color w:val="0000FF"/>
        </w:rPr>
        <w:t xml:space="preserve"> </w:t>
      </w:r>
      <w:hyperlink r:id="rId226">
        <w:r>
          <w:rPr>
            <w:rFonts w:ascii="Arial" w:cs="Arial" w:eastAsia="Arial" w:hAnsi="Arial"/>
            <w:sz w:val="16"/>
            <w:szCs w:val="16"/>
            <w:u w:val="single" w:color="auto"/>
            <w:color w:val="0000FF"/>
          </w:rPr>
          <w:t>Operating LLC, the guarantors named therein and the Delaware Trust</w:t>
        </w:r>
      </w:hyperlink>
      <w:r>
        <w:rPr>
          <w:rFonts w:ascii="Arial" w:cs="Arial" w:eastAsia="Arial" w:hAnsi="Arial"/>
          <w:sz w:val="16"/>
          <w:szCs w:val="16"/>
          <w:u w:val="single" w:color="auto"/>
          <w:color w:val="0000FF"/>
        </w:rPr>
        <w:t xml:space="preserve"> </w:t>
      </w:r>
      <w:hyperlink r:id="rId226">
        <w:r>
          <w:rPr>
            <w:rFonts w:ascii="Arial" w:cs="Arial" w:eastAsia="Arial" w:hAnsi="Arial"/>
            <w:sz w:val="16"/>
            <w:szCs w:val="16"/>
            <w:u w:val="single" w:color="auto"/>
            <w:color w:val="0000FF"/>
          </w:rPr>
          <w:t>Company (as successor in interest to Law Debenture Trust Company of New</w:t>
        </w:r>
      </w:hyperlink>
      <w:r>
        <w:rPr>
          <w:rFonts w:ascii="Arial" w:cs="Arial" w:eastAsia="Arial" w:hAnsi="Arial"/>
          <w:sz w:val="16"/>
          <w:szCs w:val="16"/>
          <w:u w:val="single" w:color="auto"/>
          <w:color w:val="0000FF"/>
        </w:rPr>
        <w:t xml:space="preserve"> </w:t>
      </w:r>
      <w:hyperlink r:id="rId226">
        <w:r>
          <w:rPr>
            <w:rFonts w:ascii="Arial" w:cs="Arial" w:eastAsia="Arial" w:hAnsi="Arial"/>
            <w:sz w:val="16"/>
            <w:szCs w:val="16"/>
            <w:u w:val="single" w:color="auto"/>
            <w:color w:val="0000FF"/>
          </w:rPr>
          <w:t>York).</w:t>
        </w:r>
      </w:hyperlink>
    </w:p>
    <w:p>
      <w:pPr>
        <w:spacing w:after="0" w:line="363"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227">
        <w:r>
          <w:rPr>
            <w:rFonts w:ascii="Arial" w:cs="Arial" w:eastAsia="Arial" w:hAnsi="Arial"/>
            <w:sz w:val="16"/>
            <w:szCs w:val="16"/>
            <w:u w:val="single" w:color="auto"/>
            <w:color w:val="0000FF"/>
          </w:rPr>
          <w:t>Second Supplemental Indenture, dated as of June 12, 2018, among NRG</w:t>
        </w:r>
      </w:hyperlink>
      <w:r>
        <w:rPr>
          <w:rFonts w:ascii="Arial" w:cs="Arial" w:eastAsia="Arial" w:hAnsi="Arial"/>
          <w:sz w:val="16"/>
          <w:szCs w:val="16"/>
          <w:u w:val="single" w:color="auto"/>
          <w:color w:val="0000FF"/>
        </w:rPr>
        <w:t xml:space="preserve"> </w:t>
      </w:r>
      <w:hyperlink r:id="rId227">
        <w:r>
          <w:rPr>
            <w:rFonts w:ascii="Arial" w:cs="Arial" w:eastAsia="Arial" w:hAnsi="Arial"/>
            <w:sz w:val="16"/>
            <w:szCs w:val="16"/>
            <w:u w:val="single" w:color="auto"/>
            <w:color w:val="0000FF"/>
          </w:rPr>
          <w:t>Yield Operating LLC, the guarantors named therein and Delaware Trust</w:t>
        </w:r>
      </w:hyperlink>
      <w:r>
        <w:rPr>
          <w:rFonts w:ascii="Arial" w:cs="Arial" w:eastAsia="Arial" w:hAnsi="Arial"/>
          <w:sz w:val="16"/>
          <w:szCs w:val="16"/>
          <w:u w:val="single" w:color="auto"/>
          <w:color w:val="0000FF"/>
        </w:rPr>
        <w:t xml:space="preserve"> </w:t>
      </w:r>
      <w:hyperlink r:id="rId227">
        <w:r>
          <w:rPr>
            <w:rFonts w:ascii="Arial" w:cs="Arial" w:eastAsia="Arial" w:hAnsi="Arial"/>
            <w:sz w:val="16"/>
            <w:szCs w:val="16"/>
            <w:u w:val="single" w:color="auto"/>
            <w:color w:val="0000FF"/>
          </w:rPr>
          <w:t>Company (as successor in interest to Law Debenture Trust Company of New</w:t>
        </w:r>
      </w:hyperlink>
      <w:r>
        <w:rPr>
          <w:rFonts w:ascii="Arial" w:cs="Arial" w:eastAsia="Arial" w:hAnsi="Arial"/>
          <w:sz w:val="16"/>
          <w:szCs w:val="16"/>
          <w:u w:val="single" w:color="auto"/>
          <w:color w:val="0000FF"/>
        </w:rPr>
        <w:t xml:space="preserve"> </w:t>
      </w:r>
      <w:hyperlink r:id="rId227">
        <w:r>
          <w:rPr>
            <w:rFonts w:ascii="Arial" w:cs="Arial" w:eastAsia="Arial" w:hAnsi="Arial"/>
            <w:sz w:val="16"/>
            <w:szCs w:val="16"/>
            <w:u w:val="single" w:color="auto"/>
            <w:color w:val="0000FF"/>
          </w:rPr>
          <w:t>York).</w:t>
        </w:r>
      </w:hyperlink>
    </w:p>
    <w:p>
      <w:pPr>
        <w:spacing w:after="0" w:line="363" w:lineRule="exact"/>
        <w:rPr>
          <w:rFonts w:ascii="Arial" w:cs="Arial" w:eastAsia="Arial" w:hAnsi="Arial"/>
          <w:sz w:val="16"/>
          <w:szCs w:val="16"/>
          <w:u w:val="single" w:color="auto"/>
          <w:color w:val="0000FF"/>
        </w:rPr>
      </w:pPr>
    </w:p>
    <w:p>
      <w:pPr>
        <w:spacing w:after="0" w:line="225" w:lineRule="auto"/>
        <w:rPr>
          <w:sz w:val="20"/>
          <w:szCs w:val="20"/>
          <w:color w:val="auto"/>
        </w:rPr>
      </w:pPr>
      <w:r>
        <w:rPr>
          <w:rFonts w:ascii="Arial" w:cs="Arial" w:eastAsia="Arial" w:hAnsi="Arial"/>
          <w:sz w:val="16"/>
          <w:szCs w:val="16"/>
          <w:u w:val="single" w:color="auto"/>
          <w:color w:val="0000FF"/>
        </w:rPr>
        <w:t>Seventh Supplemental Indenture, dated as of July 17, 2018, among NRG Yield Operating LLC, the guarantors named therein and Delaware Trust Company (as successor in interest to Law Debenture Trust Company of New York).</w:t>
      </w:r>
    </w:p>
    <w:p>
      <w:pPr>
        <w:spacing w:after="0" w:line="363" w:lineRule="exact"/>
        <w:rPr>
          <w:rFonts w:ascii="Arial" w:cs="Arial" w:eastAsia="Arial" w:hAnsi="Arial"/>
          <w:sz w:val="16"/>
          <w:szCs w:val="16"/>
          <w:u w:val="single" w:color="auto"/>
          <w:color w:val="0000FF"/>
        </w:rPr>
      </w:pPr>
    </w:p>
    <w:p>
      <w:pPr>
        <w:jc w:val="both"/>
        <w:ind w:right="40"/>
        <w:spacing w:after="0" w:line="275" w:lineRule="auto"/>
        <w:rPr>
          <w:rFonts w:ascii="Arial" w:cs="Arial" w:eastAsia="Arial" w:hAnsi="Arial"/>
          <w:sz w:val="14"/>
          <w:szCs w:val="14"/>
          <w:u w:val="single" w:color="auto"/>
          <w:color w:val="0000FF"/>
        </w:rPr>
      </w:pPr>
      <w:hyperlink r:id="rId228">
        <w:r>
          <w:rPr>
            <w:rFonts w:ascii="Arial" w:cs="Arial" w:eastAsia="Arial" w:hAnsi="Arial"/>
            <w:sz w:val="14"/>
            <w:szCs w:val="14"/>
            <w:u w:val="single" w:color="auto"/>
            <w:color w:val="0000FF"/>
          </w:rPr>
          <w:t>Third Supplemental Indenture, dated as of July 17, 2018, among NRG Yield</w:t>
        </w:r>
      </w:hyperlink>
      <w:r>
        <w:rPr>
          <w:rFonts w:ascii="Arial" w:cs="Arial" w:eastAsia="Arial" w:hAnsi="Arial"/>
          <w:sz w:val="14"/>
          <w:szCs w:val="14"/>
          <w:u w:val="single" w:color="auto"/>
          <w:color w:val="0000FF"/>
        </w:rPr>
        <w:t xml:space="preserve"> </w:t>
      </w:r>
      <w:hyperlink r:id="rId228">
        <w:r>
          <w:rPr>
            <w:rFonts w:ascii="Arial" w:cs="Arial" w:eastAsia="Arial" w:hAnsi="Arial"/>
            <w:sz w:val="14"/>
            <w:szCs w:val="14"/>
            <w:u w:val="single" w:color="auto"/>
            <w:color w:val="0000FF"/>
          </w:rPr>
          <w:t>Operating LLC, the guarantors named therein and Delaware Trust Company</w:t>
        </w:r>
      </w:hyperlink>
      <w:r>
        <w:rPr>
          <w:rFonts w:ascii="Arial" w:cs="Arial" w:eastAsia="Arial" w:hAnsi="Arial"/>
          <w:sz w:val="14"/>
          <w:szCs w:val="14"/>
          <w:u w:val="single" w:color="auto"/>
          <w:color w:val="0000FF"/>
        </w:rPr>
        <w:t xml:space="preserve"> </w:t>
      </w:r>
      <w:hyperlink r:id="rId228">
        <w:r>
          <w:rPr>
            <w:rFonts w:ascii="Arial" w:cs="Arial" w:eastAsia="Arial" w:hAnsi="Arial"/>
            <w:sz w:val="14"/>
            <w:szCs w:val="14"/>
            <w:u w:val="single" w:color="auto"/>
            <w:color w:val="0000FF"/>
          </w:rPr>
          <w:t>(as successor in interest to Law Debenture Trust Company of New York).</w:t>
        </w:r>
      </w:hyperlink>
    </w:p>
    <w:p>
      <w:pPr>
        <w:spacing w:after="0" w:line="200" w:lineRule="exact"/>
        <w:rPr>
          <w:rFonts w:ascii="Arial" w:cs="Arial" w:eastAsia="Arial" w:hAnsi="Arial"/>
          <w:sz w:val="14"/>
          <w:szCs w:val="14"/>
          <w:u w:val="single" w:color="auto"/>
          <w:color w:val="0000FF"/>
        </w:rPr>
      </w:pPr>
    </w:p>
    <w:p>
      <w:pPr>
        <w:spacing w:after="0" w:line="300" w:lineRule="exact"/>
        <w:rPr>
          <w:rFonts w:ascii="Arial" w:cs="Arial" w:eastAsia="Arial" w:hAnsi="Arial"/>
          <w:sz w:val="14"/>
          <w:szCs w:val="14"/>
          <w:u w:val="single" w:color="auto"/>
          <w:color w:val="0000FF"/>
        </w:rPr>
      </w:pPr>
    </w:p>
    <w:p>
      <w:pPr>
        <w:spacing w:after="0" w:line="225" w:lineRule="auto"/>
        <w:rPr>
          <w:rFonts w:ascii="Arial" w:cs="Arial" w:eastAsia="Arial" w:hAnsi="Arial"/>
          <w:sz w:val="16"/>
          <w:szCs w:val="16"/>
          <w:u w:val="single" w:color="auto"/>
          <w:color w:val="0000FF"/>
        </w:rPr>
      </w:pPr>
      <w:hyperlink r:id="rId229">
        <w:r>
          <w:rPr>
            <w:rFonts w:ascii="Arial" w:cs="Arial" w:eastAsia="Arial" w:hAnsi="Arial"/>
            <w:sz w:val="16"/>
            <w:szCs w:val="16"/>
            <w:u w:val="single" w:color="auto"/>
            <w:color w:val="0000FF"/>
          </w:rPr>
          <w:t>Eighth Supplemental Indenture, dated as of August 30, 2018, among NRG</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Yield Operating LLC, the guarantors named therein and Delaware Trust</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Company (as successor in interest to Law Debenture Trust Company of New</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York).</w:t>
        </w:r>
      </w:hyperlink>
    </w:p>
    <w:p>
      <w:pPr>
        <w:spacing w:after="0" w:line="363"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230">
        <w:r>
          <w:rPr>
            <w:rFonts w:ascii="Arial" w:cs="Arial" w:eastAsia="Arial" w:hAnsi="Arial"/>
            <w:sz w:val="16"/>
            <w:szCs w:val="16"/>
            <w:u w:val="single" w:color="auto"/>
            <w:color w:val="0000FF"/>
          </w:rPr>
          <w:t>Fourth Supplemental Indenture, dated as of August 30, 2018, among NRG</w:t>
        </w:r>
      </w:hyperlink>
      <w:r>
        <w:rPr>
          <w:rFonts w:ascii="Arial" w:cs="Arial" w:eastAsia="Arial" w:hAnsi="Arial"/>
          <w:sz w:val="16"/>
          <w:szCs w:val="16"/>
          <w:u w:val="single" w:color="auto"/>
          <w:color w:val="0000FF"/>
        </w:rPr>
        <w:t xml:space="preserve"> </w:t>
      </w:r>
      <w:hyperlink r:id="rId230">
        <w:r>
          <w:rPr>
            <w:rFonts w:ascii="Arial" w:cs="Arial" w:eastAsia="Arial" w:hAnsi="Arial"/>
            <w:sz w:val="16"/>
            <w:szCs w:val="16"/>
            <w:u w:val="single" w:color="auto"/>
            <w:color w:val="0000FF"/>
          </w:rPr>
          <w:t>Yield Operating LLC, the guarantors named therein and Delaware Trust</w:t>
        </w:r>
      </w:hyperlink>
      <w:r>
        <w:rPr>
          <w:rFonts w:ascii="Arial" w:cs="Arial" w:eastAsia="Arial" w:hAnsi="Arial"/>
          <w:sz w:val="16"/>
          <w:szCs w:val="16"/>
          <w:u w:val="single" w:color="auto"/>
          <w:color w:val="0000FF"/>
        </w:rPr>
        <w:t xml:space="preserve"> </w:t>
      </w:r>
      <w:hyperlink r:id="rId230">
        <w:r>
          <w:rPr>
            <w:rFonts w:ascii="Arial" w:cs="Arial" w:eastAsia="Arial" w:hAnsi="Arial"/>
            <w:sz w:val="16"/>
            <w:szCs w:val="16"/>
            <w:u w:val="single" w:color="auto"/>
            <w:color w:val="0000FF"/>
          </w:rPr>
          <w:t>Company (as successor in interest to Law Debenture Trust Company of New</w:t>
        </w:r>
      </w:hyperlink>
      <w:r>
        <w:rPr>
          <w:rFonts w:ascii="Arial" w:cs="Arial" w:eastAsia="Arial" w:hAnsi="Arial"/>
          <w:sz w:val="16"/>
          <w:szCs w:val="16"/>
          <w:u w:val="single" w:color="auto"/>
          <w:color w:val="0000FF"/>
        </w:rPr>
        <w:t xml:space="preserve"> </w:t>
      </w:r>
      <w:hyperlink r:id="rId230">
        <w:r>
          <w:rPr>
            <w:rFonts w:ascii="Arial" w:cs="Arial" w:eastAsia="Arial" w:hAnsi="Arial"/>
            <w:sz w:val="16"/>
            <w:szCs w:val="16"/>
            <w:u w:val="single" w:color="auto"/>
            <w:color w:val="0000FF"/>
          </w:rPr>
          <w:t>York).</w:t>
        </w:r>
      </w:hyperlink>
    </w:p>
    <w:p>
      <w:pPr>
        <w:spacing w:after="0" w:line="363" w:lineRule="exact"/>
        <w:rPr>
          <w:rFonts w:ascii="Arial" w:cs="Arial" w:eastAsia="Arial" w:hAnsi="Arial"/>
          <w:sz w:val="16"/>
          <w:szCs w:val="16"/>
          <w:u w:val="single" w:color="auto"/>
          <w:color w:val="0000FF"/>
        </w:rPr>
      </w:pPr>
    </w:p>
    <w:p>
      <w:pPr>
        <w:ind w:right="80"/>
        <w:spacing w:after="0" w:line="309" w:lineRule="auto"/>
        <w:rPr>
          <w:rFonts w:ascii="Arial" w:cs="Arial" w:eastAsia="Arial" w:hAnsi="Arial"/>
          <w:sz w:val="14"/>
          <w:szCs w:val="14"/>
          <w:u w:val="single" w:color="auto"/>
          <w:color w:val="0000FF"/>
        </w:rPr>
      </w:pPr>
      <w:hyperlink r:id="rId231">
        <w:r>
          <w:rPr>
            <w:rFonts w:ascii="Arial" w:cs="Arial" w:eastAsia="Arial" w:hAnsi="Arial"/>
            <w:sz w:val="14"/>
            <w:szCs w:val="14"/>
            <w:u w:val="single" w:color="auto"/>
            <w:color w:val="0000FF"/>
          </w:rPr>
          <w:t>Indenture, dated October 1, 2018, among Clearway Energy Operating LLC,</w:t>
        </w:r>
      </w:hyperlink>
      <w:r>
        <w:rPr>
          <w:rFonts w:ascii="Arial" w:cs="Arial" w:eastAsia="Arial" w:hAnsi="Arial"/>
          <w:sz w:val="14"/>
          <w:szCs w:val="14"/>
          <w:u w:val="single" w:color="auto"/>
          <w:color w:val="0000FF"/>
        </w:rPr>
        <w:t xml:space="preserve"> </w:t>
      </w:r>
      <w:hyperlink r:id="rId231">
        <w:r>
          <w:rPr>
            <w:rFonts w:ascii="Arial" w:cs="Arial" w:eastAsia="Arial" w:hAnsi="Arial"/>
            <w:sz w:val="14"/>
            <w:szCs w:val="14"/>
            <w:u w:val="single" w:color="auto"/>
            <w:color w:val="0000FF"/>
          </w:rPr>
          <w:t>the guarantors named therein and Delaware Trust Company, as trustee.</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rFonts w:ascii="Arial" w:cs="Arial" w:eastAsia="Arial" w:hAnsi="Arial"/>
          <w:sz w:val="16"/>
          <w:szCs w:val="16"/>
          <w:u w:val="single" w:color="auto"/>
          <w:color w:val="0000FF"/>
        </w:rPr>
      </w:pPr>
      <w:hyperlink r:id="rId231">
        <w:r>
          <w:rPr>
            <w:rFonts w:ascii="Arial" w:cs="Arial" w:eastAsia="Arial" w:hAnsi="Arial"/>
            <w:sz w:val="16"/>
            <w:szCs w:val="16"/>
            <w:u w:val="single" w:color="auto"/>
            <w:color w:val="0000FF"/>
          </w:rPr>
          <w:t>Form of 5.750% Senior Notes due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25" w:lineRule="auto"/>
        <w:rPr>
          <w:rFonts w:ascii="Arial" w:cs="Arial" w:eastAsia="Arial" w:hAnsi="Arial"/>
          <w:sz w:val="16"/>
          <w:szCs w:val="16"/>
          <w:u w:val="single" w:color="auto"/>
          <w:color w:val="0000FF"/>
        </w:rPr>
      </w:pPr>
      <w:hyperlink r:id="rId232">
        <w:r>
          <w:rPr>
            <w:rFonts w:ascii="Arial" w:cs="Arial" w:eastAsia="Arial" w:hAnsi="Arial"/>
            <w:sz w:val="16"/>
            <w:szCs w:val="16"/>
            <w:u w:val="single" w:color="auto"/>
            <w:color w:val="0000FF"/>
          </w:rPr>
          <w:t>Ninth Supplemental Indenture, dated as of October 25, 2018, among</w:t>
        </w:r>
      </w:hyperlink>
      <w:r>
        <w:rPr>
          <w:rFonts w:ascii="Arial" w:cs="Arial" w:eastAsia="Arial" w:hAnsi="Arial"/>
          <w:sz w:val="16"/>
          <w:szCs w:val="16"/>
          <w:u w:val="single" w:color="auto"/>
          <w:color w:val="0000FF"/>
        </w:rPr>
        <w:t xml:space="preserve"> </w:t>
      </w:r>
      <w:hyperlink r:id="rId232">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32">
        <w:r>
          <w:rPr>
            <w:rFonts w:ascii="Arial" w:cs="Arial" w:eastAsia="Arial" w:hAnsi="Arial"/>
            <w:sz w:val="16"/>
            <w:szCs w:val="16"/>
            <w:u w:val="single" w:color="auto"/>
            <w:color w:val="0000FF"/>
          </w:rPr>
          <w:t>Delaware Trust Company (as successor in interest to Law Debenture Trust</w:t>
        </w:r>
      </w:hyperlink>
      <w:r>
        <w:rPr>
          <w:rFonts w:ascii="Arial" w:cs="Arial" w:eastAsia="Arial" w:hAnsi="Arial"/>
          <w:sz w:val="16"/>
          <w:szCs w:val="16"/>
          <w:u w:val="single" w:color="auto"/>
          <w:color w:val="0000FF"/>
        </w:rPr>
        <w:t xml:space="preserve"> </w:t>
      </w:r>
      <w:hyperlink r:id="rId232">
        <w:r>
          <w:rPr>
            <w:rFonts w:ascii="Arial" w:cs="Arial" w:eastAsia="Arial" w:hAnsi="Arial"/>
            <w:sz w:val="16"/>
            <w:szCs w:val="16"/>
            <w:u w:val="single" w:color="auto"/>
            <w:color w:val="0000FF"/>
          </w:rPr>
          <w:t>Company of New York).</w:t>
        </w:r>
      </w:hyperlink>
    </w:p>
    <w:p>
      <w:pPr>
        <w:spacing w:after="0" w:line="363" w:lineRule="exact"/>
        <w:rPr>
          <w:rFonts w:ascii="Arial" w:cs="Arial" w:eastAsia="Arial" w:hAnsi="Arial"/>
          <w:sz w:val="16"/>
          <w:szCs w:val="16"/>
          <w:u w:val="single" w:color="auto"/>
          <w:color w:val="0000FF"/>
        </w:rPr>
      </w:pPr>
    </w:p>
    <w:p>
      <w:pPr>
        <w:ind w:right="160"/>
        <w:spacing w:after="0" w:line="225" w:lineRule="auto"/>
        <w:rPr>
          <w:rFonts w:ascii="Arial" w:cs="Arial" w:eastAsia="Arial" w:hAnsi="Arial"/>
          <w:sz w:val="16"/>
          <w:szCs w:val="16"/>
          <w:u w:val="single" w:color="auto"/>
          <w:color w:val="0000FF"/>
        </w:rPr>
      </w:pPr>
      <w:hyperlink r:id="rId233">
        <w:r>
          <w:rPr>
            <w:rFonts w:ascii="Arial" w:cs="Arial" w:eastAsia="Arial" w:hAnsi="Arial"/>
            <w:sz w:val="16"/>
            <w:szCs w:val="16"/>
            <w:u w:val="single" w:color="auto"/>
            <w:color w:val="0000FF"/>
          </w:rPr>
          <w:t>Fifth Supplemental Indenture, dated as of October 25, 2018, among</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Delaware Trust Company (as successor in interest to Law Debenture Trust</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Company of New York).</w:t>
        </w:r>
      </w:hyperlink>
    </w:p>
    <w:p>
      <w:pPr>
        <w:spacing w:after="0" w:line="363" w:lineRule="exact"/>
        <w:rPr>
          <w:rFonts w:ascii="Arial" w:cs="Arial" w:eastAsia="Arial" w:hAnsi="Arial"/>
          <w:sz w:val="16"/>
          <w:szCs w:val="16"/>
          <w:u w:val="single" w:color="auto"/>
          <w:color w:val="0000FF"/>
        </w:rPr>
      </w:pPr>
    </w:p>
    <w:p>
      <w:pPr>
        <w:jc w:val="both"/>
        <w:ind w:right="580"/>
        <w:spacing w:after="0" w:line="230" w:lineRule="auto"/>
        <w:rPr>
          <w:rFonts w:ascii="Arial" w:cs="Arial" w:eastAsia="Arial" w:hAnsi="Arial"/>
          <w:sz w:val="16"/>
          <w:szCs w:val="16"/>
          <w:u w:val="single" w:color="auto"/>
          <w:color w:val="0000FF"/>
        </w:rPr>
      </w:pPr>
      <w:hyperlink r:id="rId234">
        <w:r>
          <w:rPr>
            <w:rFonts w:ascii="Arial" w:cs="Arial" w:eastAsia="Arial" w:hAnsi="Arial"/>
            <w:sz w:val="16"/>
            <w:szCs w:val="16"/>
            <w:u w:val="single" w:color="auto"/>
            <w:color w:val="0000FF"/>
          </w:rPr>
          <w:t>First Supplemental Indenture, dated as of October 25, 2018, among</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Delaware Trust Company.</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4"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Registrant's Current Report on Form 8-K, filed on August 18, 2016.</w:t>
      </w:r>
    </w:p>
    <w:p>
      <w:pPr>
        <w:spacing w:after="0" w:line="187"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Registrant's Current Report on Form 8-K, filed on January 31, 2018.</w:t>
      </w:r>
    </w:p>
    <w:p>
      <w:pPr>
        <w:spacing w:after="0" w:line="349" w:lineRule="exact"/>
        <w:rPr>
          <w:rFonts w:ascii="Arial" w:cs="Arial" w:eastAsia="Arial" w:hAnsi="Arial"/>
          <w:sz w:val="16"/>
          <w:szCs w:val="16"/>
          <w:u w:val="single" w:color="auto"/>
          <w:color w:val="0000FF"/>
        </w:rPr>
      </w:pPr>
    </w:p>
    <w:p>
      <w:pPr>
        <w:jc w:val="both"/>
        <w:ind w:right="59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June 12,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Registrant's Current Report on Form 8-K, filed on January 31,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jc w:val="both"/>
        <w:ind w:right="59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June 12,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jc w:val="both"/>
        <w:ind w:right="639"/>
        <w:spacing w:after="0" w:line="230" w:lineRule="auto"/>
        <w:rPr>
          <w:sz w:val="20"/>
          <w:szCs w:val="20"/>
          <w:color w:val="auto"/>
        </w:rPr>
      </w:pPr>
      <w:r>
        <w:rPr>
          <w:rFonts w:ascii="Arial" w:cs="Arial" w:eastAsia="Arial" w:hAnsi="Arial"/>
          <w:sz w:val="16"/>
          <w:szCs w:val="16"/>
          <w:color w:val="auto"/>
        </w:rPr>
        <w:t>Incorporated herein by reference to Exhibit 4.3 to the Company's Quarterly Report on Form 10-Q filed on August 2,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jc w:val="both"/>
        <w:ind w:right="639"/>
        <w:spacing w:after="0" w:line="230" w:lineRule="auto"/>
        <w:rPr>
          <w:sz w:val="20"/>
          <w:szCs w:val="20"/>
          <w:color w:val="auto"/>
        </w:rPr>
      </w:pPr>
      <w:r>
        <w:rPr>
          <w:rFonts w:ascii="Arial" w:cs="Arial" w:eastAsia="Arial" w:hAnsi="Arial"/>
          <w:sz w:val="16"/>
          <w:szCs w:val="16"/>
          <w:color w:val="auto"/>
        </w:rPr>
        <w:t>Incorporated herein by reference to Exhibit 4.4 to the Company's Quarterly Report on Form 10-Q filed on August 2,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September 6,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September 6,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35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October 2,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35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2,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35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October 31,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35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31, 2018.</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Registrant's Current Report on Form 8-K filed on October 31, 2018.</w:t>
      </w:r>
    </w:p>
    <w:p>
      <w:pPr>
        <w:sectPr>
          <w:pgSz w:w="11900" w:h="16838" w:orient="portrait"/>
          <w:cols w:equalWidth="0" w:num="3">
            <w:col w:w="280" w:space="620"/>
            <w:col w:w="4980" w:space="140"/>
            <w:col w:w="4099"/>
          </w:cols>
          <w:pgMar w:left="340" w:top="940" w:right="1440" w:bottom="103" w:gutter="0" w:footer="0" w:header="0"/>
          <w:type w:val="continuous"/>
        </w:sectPr>
      </w:pPr>
    </w:p>
    <w:bookmarkStart w:id="154" w:name="page155"/>
    <w:bookmarkEnd w:id="154"/>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color w:val="auto"/>
        </w:rPr>
        <w:t>4.26</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4.27</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4.28</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4.29</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4.30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4.31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4.32</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25" w:lineRule="auto"/>
        <w:rPr>
          <w:rFonts w:ascii="Arial" w:cs="Arial" w:eastAsia="Arial" w:hAnsi="Arial"/>
          <w:sz w:val="16"/>
          <w:szCs w:val="16"/>
          <w:u w:val="single" w:color="auto"/>
          <w:color w:val="0000FF"/>
        </w:rPr>
      </w:pPr>
      <w:hyperlink r:id="rId236">
        <w:r>
          <w:rPr>
            <w:rFonts w:ascii="Arial" w:cs="Arial" w:eastAsia="Arial" w:hAnsi="Arial"/>
            <w:sz w:val="16"/>
            <w:szCs w:val="16"/>
            <w:u w:val="single" w:color="auto"/>
            <w:color w:val="0000FF"/>
          </w:rPr>
          <w:t>Tenth Supplemental Indenture, dated as of December 7, 2018, among</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Delaware Trust Company (as successor in interest to Law Debenture Trust</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Company of New York).</w:t>
        </w:r>
      </w:hyperlink>
    </w:p>
    <w:p>
      <w:pPr>
        <w:spacing w:after="0" w:line="188"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237">
        <w:r>
          <w:rPr>
            <w:rFonts w:ascii="Arial" w:cs="Arial" w:eastAsia="Arial" w:hAnsi="Arial"/>
            <w:sz w:val="16"/>
            <w:szCs w:val="16"/>
            <w:u w:val="single" w:color="auto"/>
            <w:color w:val="0000FF"/>
          </w:rPr>
          <w:t>Sixth Supplemental Indenture, dated as of December 7, 2018, among</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Delaware Trust Company (as successor in interest to Law Debenture Trust</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Company of New York).</w:t>
        </w:r>
      </w:hyperlink>
    </w:p>
    <w:p>
      <w:pPr>
        <w:spacing w:after="0" w:line="188" w:lineRule="exact"/>
        <w:rPr>
          <w:rFonts w:ascii="Arial" w:cs="Arial" w:eastAsia="Arial" w:hAnsi="Arial"/>
          <w:sz w:val="16"/>
          <w:szCs w:val="16"/>
          <w:u w:val="single" w:color="auto"/>
          <w:color w:val="0000FF"/>
        </w:rPr>
      </w:pPr>
    </w:p>
    <w:p>
      <w:pPr>
        <w:ind w:right="220"/>
        <w:spacing w:after="0" w:line="230" w:lineRule="auto"/>
        <w:rPr>
          <w:rFonts w:ascii="Arial" w:cs="Arial" w:eastAsia="Arial" w:hAnsi="Arial"/>
          <w:sz w:val="16"/>
          <w:szCs w:val="16"/>
          <w:u w:val="single" w:color="auto"/>
          <w:color w:val="0000FF"/>
        </w:rPr>
      </w:pPr>
      <w:hyperlink r:id="rId238">
        <w:r>
          <w:rPr>
            <w:rFonts w:ascii="Arial" w:cs="Arial" w:eastAsia="Arial" w:hAnsi="Arial"/>
            <w:sz w:val="16"/>
            <w:szCs w:val="16"/>
            <w:u w:val="single" w:color="auto"/>
            <w:color w:val="0000FF"/>
          </w:rPr>
          <w:t>Second Supplemental Indenture, dated as of December 7, 2018, among</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Delaware Trust Company.</w:t>
        </w:r>
      </w:hyperlink>
    </w:p>
    <w:p>
      <w:pPr>
        <w:spacing w:after="0" w:line="187"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Eleventh Supplement Indenture, dated as of September 6, 2019, among</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Delaware Trust Company (as successor in interest to Law Debenture Trust</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Company of New York).</w:t>
        </w:r>
      </w:hyperlink>
    </w:p>
    <w:p>
      <w:pPr>
        <w:spacing w:after="0" w:line="188"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240">
        <w:r>
          <w:rPr>
            <w:rFonts w:ascii="Arial" w:cs="Arial" w:eastAsia="Arial" w:hAnsi="Arial"/>
            <w:sz w:val="16"/>
            <w:szCs w:val="16"/>
            <w:u w:val="single" w:color="auto"/>
            <w:color w:val="0000FF"/>
          </w:rPr>
          <w:t>Seventh Supplemental Indenture, dated as of September 6, 2019, among</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Delaware Trust Company (as successor in interest to Law Debenture Trust</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Company of New York).</w:t>
        </w:r>
      </w:hyperlink>
    </w:p>
    <w:p>
      <w:pPr>
        <w:spacing w:after="0" w:line="188" w:lineRule="exact"/>
        <w:rPr>
          <w:rFonts w:ascii="Arial" w:cs="Arial" w:eastAsia="Arial" w:hAnsi="Arial"/>
          <w:sz w:val="16"/>
          <w:szCs w:val="16"/>
          <w:u w:val="single" w:color="auto"/>
          <w:color w:val="0000FF"/>
        </w:rPr>
      </w:pPr>
    </w:p>
    <w:p>
      <w:pPr>
        <w:ind w:right="300"/>
        <w:spacing w:after="0" w:line="230" w:lineRule="auto"/>
        <w:rPr>
          <w:rFonts w:ascii="Arial" w:cs="Arial" w:eastAsia="Arial" w:hAnsi="Arial"/>
          <w:sz w:val="16"/>
          <w:szCs w:val="16"/>
          <w:u w:val="single" w:color="auto"/>
          <w:color w:val="0000FF"/>
        </w:rPr>
      </w:pPr>
      <w:hyperlink r:id="rId241">
        <w:r>
          <w:rPr>
            <w:rFonts w:ascii="Arial" w:cs="Arial" w:eastAsia="Arial" w:hAnsi="Arial"/>
            <w:sz w:val="16"/>
            <w:szCs w:val="16"/>
            <w:u w:val="single" w:color="auto"/>
            <w:color w:val="0000FF"/>
          </w:rPr>
          <w:t>Third Supplemental Indenture, dated as of September 6, 2019, among</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Delaware Trust Company.</w:t>
        </w:r>
      </w:hyperlink>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242">
        <w:r>
          <w:rPr>
            <w:rFonts w:ascii="Arial" w:cs="Arial" w:eastAsia="Arial" w:hAnsi="Arial"/>
            <w:sz w:val="16"/>
            <w:szCs w:val="16"/>
            <w:u w:val="single" w:color="auto"/>
            <w:color w:val="0000FF"/>
          </w:rPr>
          <w:t>Twelfth Supplemental Indenture, dated as of November 21, 2019, among</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Delaware Trust Company (as successor in interest to Law Debenture Trust</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Company of New York).</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5"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2018.</w:t>
      </w:r>
    </w:p>
    <w:p>
      <w:pPr>
        <w:spacing w:after="0" w:line="349"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December 12, 2018.</w:t>
      </w:r>
    </w:p>
    <w:p>
      <w:pPr>
        <w:spacing w:after="0" w:line="349"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12, 2018.</w:t>
      </w:r>
    </w:p>
    <w:p>
      <w:pPr>
        <w:spacing w:after="0" w:line="187"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September 12, 2019.</w:t>
      </w:r>
    </w:p>
    <w:p>
      <w:pPr>
        <w:spacing w:after="0" w:line="349"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September 12, 2019.</w:t>
      </w:r>
    </w:p>
    <w:p>
      <w:pPr>
        <w:spacing w:after="0" w:line="349"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September 12, 2019.</w:t>
      </w:r>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November 22, 2019.</w:t>
      </w:r>
    </w:p>
    <w:p>
      <w:pPr>
        <w:spacing w:after="0" w:line="253" w:lineRule="exact"/>
        <w:rPr>
          <w:rFonts w:ascii="Arial" w:cs="Arial" w:eastAsia="Arial" w:hAnsi="Arial"/>
          <w:sz w:val="16"/>
          <w:szCs w:val="16"/>
          <w:u w:val="single" w:color="auto"/>
          <w:color w:val="0000FF"/>
        </w:rPr>
      </w:pPr>
    </w:p>
    <w:p>
      <w:pPr>
        <w:sectPr>
          <w:pgSz w:w="11900" w:h="16838" w:orient="portrait"/>
          <w:cols w:equalWidth="0" w:num="3">
            <w:col w:w="280" w:space="620"/>
            <w:col w:w="4820" w:space="300"/>
            <w:col w:w="4099"/>
          </w:cols>
          <w:pgMar w:left="340" w:top="940" w:right="1440" w:bottom="1060" w:gutter="0" w:footer="0" w:header="0"/>
        </w:sectPr>
      </w:pPr>
    </w:p>
    <w:p>
      <w:pPr>
        <w:spacing w:after="0"/>
        <w:rPr>
          <w:sz w:val="20"/>
          <w:szCs w:val="20"/>
          <w:color w:val="auto"/>
        </w:rPr>
      </w:pPr>
      <w:r>
        <w:rPr>
          <w:rFonts w:ascii="Arial" w:cs="Arial" w:eastAsia="Arial" w:hAnsi="Arial"/>
          <w:sz w:val="14"/>
          <w:szCs w:val="14"/>
          <w:color w:val="auto"/>
        </w:rPr>
        <w:t>4.33</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9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color w:val="auto"/>
        </w:rPr>
        <w:t>4.34</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9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color w:val="auto"/>
        </w:rPr>
        <w:t>4.35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5" w:lineRule="exact"/>
        <w:rPr>
          <w:rFonts w:ascii="Arial" w:cs="Arial" w:eastAsia="Arial" w:hAnsi="Arial"/>
          <w:sz w:val="16"/>
          <w:szCs w:val="16"/>
          <w:u w:val="single" w:color="auto"/>
          <w:color w:val="0000FF"/>
        </w:rPr>
      </w:pPr>
    </w:p>
    <w:p>
      <w:pPr>
        <w:ind w:right="140"/>
        <w:spacing w:after="0" w:line="225" w:lineRule="auto"/>
        <w:rPr>
          <w:rFonts w:ascii="Arial" w:cs="Arial" w:eastAsia="Arial" w:hAnsi="Arial"/>
          <w:sz w:val="16"/>
          <w:szCs w:val="16"/>
          <w:u w:val="single" w:color="auto"/>
          <w:color w:val="0000FF"/>
        </w:rPr>
      </w:pPr>
      <w:hyperlink r:id="rId243">
        <w:r>
          <w:rPr>
            <w:rFonts w:ascii="Arial" w:cs="Arial" w:eastAsia="Arial" w:hAnsi="Arial"/>
            <w:sz w:val="16"/>
            <w:szCs w:val="16"/>
            <w:u w:val="single" w:color="auto"/>
            <w:color w:val="0000FF"/>
          </w:rPr>
          <w:t>Eighth Supplemental Indenture, dated as of November 21, 2019, among</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Delaware Trust Company (as successor in interest to Law Debenture Trust</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Company of New York).</w:t>
        </w:r>
      </w:hyperlink>
    </w:p>
    <w:p>
      <w:pPr>
        <w:spacing w:after="0" w:line="363" w:lineRule="exact"/>
        <w:rPr>
          <w:rFonts w:ascii="Arial" w:cs="Arial" w:eastAsia="Arial" w:hAnsi="Arial"/>
          <w:sz w:val="16"/>
          <w:szCs w:val="16"/>
          <w:u w:val="single" w:color="auto"/>
          <w:color w:val="0000FF"/>
        </w:rPr>
      </w:pPr>
    </w:p>
    <w:p>
      <w:pPr>
        <w:ind w:right="300"/>
        <w:spacing w:after="0" w:line="230" w:lineRule="auto"/>
        <w:rPr>
          <w:rFonts w:ascii="Arial" w:cs="Arial" w:eastAsia="Arial" w:hAnsi="Arial"/>
          <w:sz w:val="16"/>
          <w:szCs w:val="16"/>
          <w:u w:val="single" w:color="auto"/>
          <w:color w:val="0000FF"/>
        </w:rPr>
      </w:pPr>
      <w:hyperlink r:id="rId244">
        <w:r>
          <w:rPr>
            <w:rFonts w:ascii="Arial" w:cs="Arial" w:eastAsia="Arial" w:hAnsi="Arial"/>
            <w:sz w:val="16"/>
            <w:szCs w:val="16"/>
            <w:u w:val="single" w:color="auto"/>
            <w:color w:val="0000FF"/>
          </w:rPr>
          <w:t>Fourth Supplemental Indenture, dated as of November 21, 2019, among</w:t>
        </w:r>
      </w:hyperlink>
      <w:r>
        <w:rPr>
          <w:rFonts w:ascii="Arial" w:cs="Arial" w:eastAsia="Arial" w:hAnsi="Arial"/>
          <w:sz w:val="16"/>
          <w:szCs w:val="16"/>
          <w:u w:val="single" w:color="auto"/>
          <w:color w:val="0000FF"/>
        </w:rPr>
        <w:t xml:space="preserve"> </w:t>
      </w:r>
      <w:hyperlink r:id="rId244">
        <w:r>
          <w:rPr>
            <w:rFonts w:ascii="Arial" w:cs="Arial" w:eastAsia="Arial" w:hAnsi="Arial"/>
            <w:sz w:val="16"/>
            <w:szCs w:val="16"/>
            <w:u w:val="single" w:color="auto"/>
            <w:color w:val="0000FF"/>
          </w:rPr>
          <w:t>Clearway Energy Operating LLC, the guarantors named therein and</w:t>
        </w:r>
      </w:hyperlink>
      <w:r>
        <w:rPr>
          <w:rFonts w:ascii="Arial" w:cs="Arial" w:eastAsia="Arial" w:hAnsi="Arial"/>
          <w:sz w:val="16"/>
          <w:szCs w:val="16"/>
          <w:u w:val="single" w:color="auto"/>
          <w:color w:val="0000FF"/>
        </w:rPr>
        <w:t xml:space="preserve"> </w:t>
      </w:r>
      <w:hyperlink r:id="rId244">
        <w:r>
          <w:rPr>
            <w:rFonts w:ascii="Arial" w:cs="Arial" w:eastAsia="Arial" w:hAnsi="Arial"/>
            <w:sz w:val="16"/>
            <w:szCs w:val="16"/>
            <w:u w:val="single" w:color="auto"/>
            <w:color w:val="0000FF"/>
          </w:rPr>
          <w:t>Delaware Trust Company.</w:t>
        </w:r>
      </w:hyperlink>
    </w:p>
    <w:p>
      <w:pPr>
        <w:spacing w:after="0" w:line="200" w:lineRule="exact"/>
        <w:rPr>
          <w:rFonts w:ascii="Arial" w:cs="Arial" w:eastAsia="Arial" w:hAnsi="Arial"/>
          <w:sz w:val="16"/>
          <w:szCs w:val="16"/>
          <w:u w:val="single" w:color="auto"/>
          <w:color w:val="0000FF"/>
        </w:rPr>
      </w:pPr>
    </w:p>
    <w:p>
      <w:pPr>
        <w:spacing w:after="0" w:line="324" w:lineRule="exact"/>
        <w:rPr>
          <w:rFonts w:ascii="Arial" w:cs="Arial" w:eastAsia="Arial" w:hAnsi="Arial"/>
          <w:sz w:val="16"/>
          <w:szCs w:val="16"/>
          <w:u w:val="single" w:color="auto"/>
          <w:color w:val="0000FF"/>
        </w:rPr>
      </w:pPr>
    </w:p>
    <w:p>
      <w:pPr>
        <w:spacing w:after="0" w:line="309" w:lineRule="auto"/>
        <w:rPr>
          <w:rFonts w:ascii="Arial" w:cs="Arial" w:eastAsia="Arial" w:hAnsi="Arial"/>
          <w:sz w:val="14"/>
          <w:szCs w:val="14"/>
          <w:u w:val="single" w:color="auto"/>
          <w:color w:val="0000FF"/>
        </w:rPr>
      </w:pPr>
      <w:hyperlink r:id="rId245">
        <w:r>
          <w:rPr>
            <w:rFonts w:ascii="Arial" w:cs="Arial" w:eastAsia="Arial" w:hAnsi="Arial"/>
            <w:sz w:val="14"/>
            <w:szCs w:val="14"/>
            <w:u w:val="single" w:color="auto"/>
            <w:color w:val="0000FF"/>
          </w:rPr>
          <w:t>Indenture, dated December 11, 2019, among Clearway Energy Operating</w:t>
        </w:r>
      </w:hyperlink>
      <w:r>
        <w:rPr>
          <w:rFonts w:ascii="Arial" w:cs="Arial" w:eastAsia="Arial" w:hAnsi="Arial"/>
          <w:sz w:val="14"/>
          <w:szCs w:val="14"/>
          <w:u w:val="single" w:color="auto"/>
          <w:color w:val="0000FF"/>
        </w:rPr>
        <w:t xml:space="preserve"> </w:t>
      </w:r>
      <w:hyperlink r:id="rId245">
        <w:r>
          <w:rPr>
            <w:rFonts w:ascii="Arial" w:cs="Arial" w:eastAsia="Arial" w:hAnsi="Arial"/>
            <w:sz w:val="14"/>
            <w:szCs w:val="14"/>
            <w:u w:val="single" w:color="auto"/>
            <w:color w:val="0000FF"/>
          </w:rPr>
          <w:t>LLC, the guarantors named therein and Delaware Trust Company, as trustee.</w:t>
        </w:r>
      </w:hyperlink>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November 22, 2019.</w:t>
      </w:r>
    </w:p>
    <w:p>
      <w:pPr>
        <w:spacing w:after="0" w:line="200" w:lineRule="exact"/>
        <w:rPr>
          <w:sz w:val="20"/>
          <w:szCs w:val="20"/>
          <w:color w:val="auto"/>
        </w:rPr>
      </w:pPr>
    </w:p>
    <w:p>
      <w:pPr>
        <w:spacing w:after="0" w:line="324"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November 22, 2019.</w:t>
      </w:r>
    </w:p>
    <w:p>
      <w:pPr>
        <w:spacing w:after="0" w:line="200" w:lineRule="exact"/>
        <w:rPr>
          <w:sz w:val="20"/>
          <w:szCs w:val="20"/>
          <w:color w:val="auto"/>
        </w:rPr>
      </w:pPr>
    </w:p>
    <w:p>
      <w:pPr>
        <w:spacing w:after="0" w:line="324"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2019.</w:t>
      </w:r>
    </w:p>
    <w:p>
      <w:pPr>
        <w:spacing w:after="0" w:line="92" w:lineRule="exact"/>
        <w:rPr>
          <w:sz w:val="20"/>
          <w:szCs w:val="20"/>
          <w:color w:val="auto"/>
        </w:rPr>
      </w:pPr>
    </w:p>
    <w:p>
      <w:pPr>
        <w:sectPr>
          <w:pgSz w:w="11900" w:h="16838" w:orient="portrait"/>
          <w:cols w:equalWidth="0" w:num="3">
            <w:col w:w="280" w:space="620"/>
            <w:col w:w="4960" w:space="160"/>
            <w:col w:w="4099"/>
          </w:cols>
          <w:pgMar w:left="340" w:top="940" w:right="1440" w:bottom="106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600" w:type="dxa"/>
            <w:vAlign w:val="bottom"/>
          </w:tcPr>
          <w:p>
            <w:pPr>
              <w:jc w:val="right"/>
              <w:ind w:right="239"/>
              <w:spacing w:after="0"/>
              <w:rPr>
                <w:sz w:val="20"/>
                <w:szCs w:val="20"/>
                <w:color w:val="auto"/>
              </w:rPr>
            </w:pPr>
            <w:r>
              <w:rPr>
                <w:rFonts w:ascii="Arial" w:cs="Arial" w:eastAsia="Arial" w:hAnsi="Arial"/>
                <w:sz w:val="16"/>
                <w:szCs w:val="16"/>
                <w:color w:val="auto"/>
                <w:w w:val="83"/>
              </w:rPr>
              <w:t>4.36</w:t>
            </w:r>
          </w:p>
        </w:tc>
        <w:tc>
          <w:tcPr>
            <w:tcW w:w="2860" w:type="dxa"/>
            <w:vAlign w:val="bottom"/>
            <w:vMerge w:val="restart"/>
          </w:tcPr>
          <w:p>
            <w:pPr>
              <w:ind w:left="300"/>
              <w:spacing w:after="0"/>
              <w:rPr>
                <w:rFonts w:ascii="Arial" w:cs="Arial" w:eastAsia="Arial" w:hAnsi="Arial"/>
                <w:sz w:val="16"/>
                <w:szCs w:val="16"/>
                <w:color w:val="0000FF"/>
                <w:w w:val="91"/>
              </w:rPr>
            </w:pPr>
            <w:hyperlink r:id="rId245">
              <w:r>
                <w:rPr>
                  <w:rFonts w:ascii="Arial" w:cs="Arial" w:eastAsia="Arial" w:hAnsi="Arial"/>
                  <w:sz w:val="16"/>
                  <w:szCs w:val="16"/>
                  <w:u w:val="single" w:color="auto"/>
                  <w:color w:val="0000FF"/>
                  <w:w w:val="91"/>
                </w:rPr>
                <w:t>Form of 4.750% Senior Note due 2028</w:t>
              </w:r>
              <w:r>
                <w:rPr>
                  <w:rFonts w:ascii="Arial" w:cs="Arial" w:eastAsia="Arial" w:hAnsi="Arial"/>
                  <w:sz w:val="16"/>
                  <w:szCs w:val="16"/>
                  <w:color w:val="0000FF"/>
                  <w:w w:val="91"/>
                </w:rPr>
                <w:t>.</w:t>
              </w:r>
            </w:hyperlink>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4.37</w:t>
            </w:r>
          </w:p>
        </w:tc>
        <w:tc>
          <w:tcPr>
            <w:tcW w:w="5020" w:type="dxa"/>
            <w:vAlign w:val="bottom"/>
            <w:gridSpan w:val="16"/>
          </w:tcPr>
          <w:p>
            <w:pPr>
              <w:spacing w:after="0"/>
              <w:rPr>
                <w:rFonts w:ascii="Arial" w:cs="Arial" w:eastAsia="Arial" w:hAnsi="Arial"/>
                <w:sz w:val="16"/>
                <w:szCs w:val="16"/>
                <w:u w:val="single" w:color="auto"/>
                <w:color w:val="0000FF"/>
              </w:rPr>
            </w:pPr>
            <w:hyperlink w:anchor="page165">
              <w:r>
                <w:rPr>
                  <w:rFonts w:ascii="Arial" w:cs="Arial" w:eastAsia="Arial" w:hAnsi="Arial"/>
                  <w:sz w:val="16"/>
                  <w:szCs w:val="16"/>
                  <w:u w:val="single" w:color="auto"/>
                  <w:color w:val="0000FF"/>
                </w:rPr>
                <w:t>Description of Securities.</w:t>
              </w:r>
            </w:hyperlink>
          </w:p>
        </w:tc>
      </w:tr>
      <w:tr>
        <w:trPr>
          <w:trHeight w:val="357"/>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4.38</w:t>
            </w:r>
          </w:p>
        </w:tc>
        <w:tc>
          <w:tcPr>
            <w:tcW w:w="5020" w:type="dxa"/>
            <w:vAlign w:val="bottom"/>
            <w:gridSpan w:val="16"/>
          </w:tcPr>
          <w:p>
            <w:pPr>
              <w:spacing w:after="0"/>
              <w:rPr>
                <w:rFonts w:ascii="Arial" w:cs="Arial" w:eastAsia="Arial" w:hAnsi="Arial"/>
                <w:sz w:val="16"/>
                <w:szCs w:val="16"/>
                <w:color w:val="0000FF"/>
                <w:w w:val="91"/>
              </w:rPr>
            </w:pPr>
            <w:hyperlink r:id="rId246">
              <w:r>
                <w:rPr>
                  <w:rFonts w:ascii="Arial" w:cs="Arial" w:eastAsia="Arial" w:hAnsi="Arial"/>
                  <w:sz w:val="16"/>
                  <w:szCs w:val="16"/>
                  <w:color w:val="0000FF"/>
                  <w:w w:val="91"/>
                </w:rPr>
                <w:t>Ninth Supplemental Indenture, dated as of January 6, 2020, among Clearway</w:t>
              </w:r>
            </w:hyperlink>
          </w:p>
        </w:tc>
      </w:tr>
      <w:tr>
        <w:trPr>
          <w:trHeight w:val="142"/>
        </w:trPr>
        <w:tc>
          <w:tcPr>
            <w:tcW w:w="900" w:type="dxa"/>
            <w:vAlign w:val="bottom"/>
          </w:tcPr>
          <w:p>
            <w:pPr>
              <w:spacing w:after="0"/>
              <w:rPr>
                <w:sz w:val="12"/>
                <w:szCs w:val="12"/>
                <w:color w:val="auto"/>
              </w:rPr>
            </w:pPr>
          </w:p>
        </w:tc>
        <w:tc>
          <w:tcPr>
            <w:tcW w:w="480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1"/>
              </w:rPr>
            </w:pPr>
            <w:hyperlink r:id="rId246">
              <w:r>
                <w:rPr>
                  <w:rFonts w:ascii="Arial" w:cs="Arial" w:eastAsia="Arial" w:hAnsi="Arial"/>
                  <w:sz w:val="16"/>
                  <w:szCs w:val="16"/>
                  <w:color w:val="0000FF"/>
                  <w:w w:val="91"/>
                </w:rPr>
                <w:t>Energy Operating LLC, the guarantors named therein and Delaware Trust</w:t>
              </w:r>
            </w:hyperlink>
          </w:p>
        </w:tc>
        <w:tc>
          <w:tcPr>
            <w:tcW w:w="2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5020" w:type="dxa"/>
            <w:vAlign w:val="bottom"/>
            <w:gridSpan w:val="16"/>
          </w:tcPr>
          <w:p>
            <w:pPr>
              <w:spacing w:after="0" w:line="142" w:lineRule="exact"/>
              <w:rPr>
                <w:rFonts w:ascii="Arial" w:cs="Arial" w:eastAsia="Arial" w:hAnsi="Arial"/>
                <w:sz w:val="16"/>
                <w:szCs w:val="16"/>
                <w:color w:val="0000FF"/>
                <w:w w:val="91"/>
              </w:rPr>
            </w:pPr>
            <w:hyperlink r:id="rId246">
              <w:r>
                <w:rPr>
                  <w:rFonts w:ascii="Arial" w:cs="Arial" w:eastAsia="Arial" w:hAnsi="Arial"/>
                  <w:sz w:val="16"/>
                  <w:szCs w:val="16"/>
                  <w:color w:val="0000FF"/>
                  <w:w w:val="91"/>
                </w:rPr>
                <w:t>Company (as successor in interest to Law Debenture Trust Company of New</w:t>
              </w:r>
            </w:hyperlink>
          </w:p>
        </w:tc>
      </w:tr>
      <w:tr>
        <w:trPr>
          <w:trHeight w:val="142"/>
        </w:trPr>
        <w:tc>
          <w:tcPr>
            <w:tcW w:w="900" w:type="dxa"/>
            <w:vAlign w:val="bottom"/>
          </w:tcPr>
          <w:p>
            <w:pPr>
              <w:spacing w:after="0"/>
              <w:rPr>
                <w:sz w:val="12"/>
                <w:szCs w:val="12"/>
                <w:color w:val="auto"/>
              </w:rPr>
            </w:pPr>
          </w:p>
        </w:tc>
        <w:tc>
          <w:tcPr>
            <w:tcW w:w="49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York).</w:t>
              </w:r>
            </w:hyperlink>
          </w:p>
        </w:tc>
        <w:tc>
          <w:tcPr>
            <w:tcW w:w="40" w:type="dxa"/>
            <w:vAlign w:val="bottom"/>
            <w:gridSpan w:val="2"/>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4.39</w:t>
            </w:r>
          </w:p>
        </w:tc>
        <w:tc>
          <w:tcPr>
            <w:tcW w:w="5020" w:type="dxa"/>
            <w:vAlign w:val="bottom"/>
            <w:gridSpan w:val="16"/>
          </w:tcPr>
          <w:p>
            <w:pPr>
              <w:spacing w:after="0"/>
              <w:rPr>
                <w:rFonts w:ascii="Arial" w:cs="Arial" w:eastAsia="Arial" w:hAnsi="Arial"/>
                <w:sz w:val="16"/>
                <w:szCs w:val="16"/>
                <w:color w:val="0000FF"/>
                <w:w w:val="92"/>
              </w:rPr>
            </w:pPr>
            <w:hyperlink r:id="rId247">
              <w:r>
                <w:rPr>
                  <w:rFonts w:ascii="Arial" w:cs="Arial" w:eastAsia="Arial" w:hAnsi="Arial"/>
                  <w:sz w:val="16"/>
                  <w:szCs w:val="16"/>
                  <w:color w:val="0000FF"/>
                  <w:w w:val="92"/>
                </w:rPr>
                <w:t>Fifth Supplemental Indenture, dated as of January 6, 2020, among Clearway</w:t>
              </w:r>
            </w:hyperlink>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tcBorders>
            <w:gridSpan w:val="13"/>
          </w:tcPr>
          <w:p>
            <w:pPr>
              <w:spacing w:after="0" w:line="142" w:lineRule="exact"/>
              <w:rPr>
                <w:rFonts w:ascii="Arial" w:cs="Arial" w:eastAsia="Arial" w:hAnsi="Arial"/>
                <w:sz w:val="16"/>
                <w:szCs w:val="16"/>
                <w:color w:val="0000FF"/>
                <w:w w:val="94"/>
              </w:rPr>
            </w:pPr>
            <w:hyperlink r:id="rId247">
              <w:r>
                <w:rPr>
                  <w:rFonts w:ascii="Arial" w:cs="Arial" w:eastAsia="Arial" w:hAnsi="Arial"/>
                  <w:sz w:val="16"/>
                  <w:szCs w:val="16"/>
                  <w:color w:val="0000FF"/>
                  <w:w w:val="94"/>
                </w:rPr>
                <w:t>Energy Operating LLC, the guarantors named therein and Delaware Trust</w:t>
              </w:r>
            </w:hyperlink>
          </w:p>
        </w:tc>
        <w:tc>
          <w:tcPr>
            <w:tcW w:w="80" w:type="dxa"/>
            <w:vAlign w:val="bottom"/>
            <w:gridSpan w:val="3"/>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6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7"/>
              </w:rPr>
            </w:pPr>
            <w:hyperlink r:id="rId247">
              <w:r>
                <w:rPr>
                  <w:rFonts w:ascii="Arial" w:cs="Arial" w:eastAsia="Arial" w:hAnsi="Arial"/>
                  <w:sz w:val="16"/>
                  <w:szCs w:val="16"/>
                  <w:color w:val="0000FF"/>
                  <w:w w:val="87"/>
                </w:rPr>
                <w:t>Company.</w:t>
              </w:r>
            </w:hyperlink>
          </w:p>
        </w:tc>
        <w:tc>
          <w:tcPr>
            <w:tcW w:w="412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4.40</w:t>
            </w:r>
          </w:p>
        </w:tc>
        <w:tc>
          <w:tcPr>
            <w:tcW w:w="5020" w:type="dxa"/>
            <w:vAlign w:val="bottom"/>
            <w:gridSpan w:val="16"/>
          </w:tcPr>
          <w:p>
            <w:pPr>
              <w:spacing w:after="0"/>
              <w:rPr>
                <w:rFonts w:ascii="Arial" w:cs="Arial" w:eastAsia="Arial" w:hAnsi="Arial"/>
                <w:sz w:val="16"/>
                <w:szCs w:val="16"/>
                <w:color w:val="0000FF"/>
                <w:w w:val="92"/>
              </w:rPr>
            </w:pPr>
            <w:hyperlink r:id="rId248">
              <w:r>
                <w:rPr>
                  <w:rFonts w:ascii="Arial" w:cs="Arial" w:eastAsia="Arial" w:hAnsi="Arial"/>
                  <w:sz w:val="16"/>
                  <w:szCs w:val="16"/>
                  <w:color w:val="0000FF"/>
                  <w:w w:val="92"/>
                </w:rPr>
                <w:t>First Supplemental Indenture, dated as of January 6, 2020, among Clearway</w:t>
              </w:r>
            </w:hyperlink>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12"/>
          </w:tcPr>
          <w:p>
            <w:pPr>
              <w:spacing w:after="0" w:line="142" w:lineRule="exact"/>
              <w:rPr>
                <w:rFonts w:ascii="Arial" w:cs="Arial" w:eastAsia="Arial" w:hAnsi="Arial"/>
                <w:sz w:val="16"/>
                <w:szCs w:val="16"/>
                <w:color w:val="0000FF"/>
                <w:w w:val="93"/>
              </w:rPr>
            </w:pPr>
            <w:hyperlink r:id="rId248">
              <w:r>
                <w:rPr>
                  <w:rFonts w:ascii="Arial" w:cs="Arial" w:eastAsia="Arial" w:hAnsi="Arial"/>
                  <w:sz w:val="16"/>
                  <w:szCs w:val="16"/>
                  <w:color w:val="0000FF"/>
                  <w:w w:val="93"/>
                </w:rPr>
                <w:t>Energy Operating LLC, the guarantors named therein and Delaware Trust</w:t>
              </w:r>
            </w:hyperlink>
          </w:p>
        </w:tc>
        <w:tc>
          <w:tcPr>
            <w:tcW w:w="100" w:type="dxa"/>
            <w:vAlign w:val="bottom"/>
            <w:gridSpan w:val="4"/>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6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7"/>
              </w:rPr>
            </w:pPr>
            <w:hyperlink r:id="rId248">
              <w:r>
                <w:rPr>
                  <w:rFonts w:ascii="Arial" w:cs="Arial" w:eastAsia="Arial" w:hAnsi="Arial"/>
                  <w:sz w:val="16"/>
                  <w:szCs w:val="16"/>
                  <w:color w:val="0000FF"/>
                  <w:w w:val="87"/>
                </w:rPr>
                <w:t>Company.</w:t>
              </w:r>
            </w:hyperlink>
          </w:p>
        </w:tc>
        <w:tc>
          <w:tcPr>
            <w:tcW w:w="412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5"/>
          </w:tcPr>
          <w:p>
            <w:pPr>
              <w:spacing w:after="0"/>
              <w:rPr>
                <w:sz w:val="12"/>
                <w:szCs w:val="12"/>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4.41</w:t>
            </w:r>
          </w:p>
        </w:tc>
        <w:tc>
          <w:tcPr>
            <w:tcW w:w="5020" w:type="dxa"/>
            <w:vAlign w:val="bottom"/>
            <w:gridSpan w:val="16"/>
          </w:tcPr>
          <w:p>
            <w:pPr>
              <w:spacing w:after="0"/>
              <w:rPr>
                <w:rFonts w:ascii="Arial" w:cs="Arial" w:eastAsia="Arial" w:hAnsi="Arial"/>
                <w:sz w:val="16"/>
                <w:szCs w:val="16"/>
                <w:color w:val="0000FF"/>
              </w:rPr>
            </w:pPr>
            <w:hyperlink r:id="rId249">
              <w:r>
                <w:rPr>
                  <w:rFonts w:ascii="Arial" w:cs="Arial" w:eastAsia="Arial" w:hAnsi="Arial"/>
                  <w:sz w:val="16"/>
                  <w:szCs w:val="16"/>
                  <w:color w:val="0000FF"/>
                </w:rPr>
                <w:t>Tenth Supplemental Indenture, dated as of February 26, 2020, among</w:t>
              </w:r>
            </w:hyperlink>
          </w:p>
        </w:tc>
      </w:tr>
      <w:tr>
        <w:trPr>
          <w:trHeight w:val="142"/>
        </w:trPr>
        <w:tc>
          <w:tcPr>
            <w:tcW w:w="900" w:type="dxa"/>
            <w:vAlign w:val="bottom"/>
          </w:tcPr>
          <w:p>
            <w:pPr>
              <w:spacing w:after="0"/>
              <w:rPr>
                <w:sz w:val="12"/>
                <w:szCs w:val="12"/>
                <w:color w:val="auto"/>
              </w:rPr>
            </w:pPr>
          </w:p>
        </w:tc>
        <w:tc>
          <w:tcPr>
            <w:tcW w:w="4500" w:type="dxa"/>
            <w:vAlign w:val="bottom"/>
            <w:tcBorders>
              <w:top w:val="single" w:sz="8" w:color="0000FF"/>
            </w:tcBorders>
            <w:gridSpan w:val="8"/>
          </w:tcPr>
          <w:p>
            <w:pPr>
              <w:spacing w:after="0" w:line="142" w:lineRule="exact"/>
              <w:rPr>
                <w:rFonts w:ascii="Arial" w:cs="Arial" w:eastAsia="Arial" w:hAnsi="Arial"/>
                <w:sz w:val="16"/>
                <w:szCs w:val="16"/>
                <w:color w:val="0000FF"/>
                <w:w w:val="93"/>
              </w:rPr>
            </w:pPr>
            <w:hyperlink r:id="rId249">
              <w:r>
                <w:rPr>
                  <w:rFonts w:ascii="Arial" w:cs="Arial" w:eastAsia="Arial" w:hAnsi="Arial"/>
                  <w:sz w:val="16"/>
                  <w:szCs w:val="16"/>
                  <w:color w:val="0000FF"/>
                  <w:w w:val="93"/>
                </w:rPr>
                <w:t>Clearway Energy Operating LLC, the guarantors named therein and</w:t>
              </w:r>
            </w:hyperlink>
          </w:p>
        </w:tc>
        <w:tc>
          <w:tcPr>
            <w:tcW w:w="320" w:type="dxa"/>
            <w:vAlign w:val="bottom"/>
            <w:gridSpan w:val="3"/>
          </w:tcPr>
          <w:p>
            <w:pPr>
              <w:spacing w:after="0"/>
              <w:rPr>
                <w:sz w:val="12"/>
                <w:szCs w:val="12"/>
                <w:color w:val="auto"/>
              </w:rPr>
            </w:pPr>
          </w:p>
        </w:tc>
        <w:tc>
          <w:tcPr>
            <w:tcW w:w="200" w:type="dxa"/>
            <w:vAlign w:val="bottom"/>
            <w:gridSpan w:val="5"/>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6"/>
          </w:tcPr>
          <w:p>
            <w:pPr>
              <w:spacing w:after="0" w:line="142" w:lineRule="exact"/>
              <w:rPr>
                <w:rFonts w:ascii="Arial" w:cs="Arial" w:eastAsia="Arial" w:hAnsi="Arial"/>
                <w:sz w:val="16"/>
                <w:szCs w:val="16"/>
                <w:color w:val="0000FF"/>
                <w:w w:val="89"/>
              </w:rPr>
            </w:pPr>
            <w:hyperlink r:id="rId249">
              <w:r>
                <w:rPr>
                  <w:rFonts w:ascii="Arial" w:cs="Arial" w:eastAsia="Arial" w:hAnsi="Arial"/>
                  <w:sz w:val="16"/>
                  <w:szCs w:val="16"/>
                  <w:color w:val="0000FF"/>
                  <w:w w:val="89"/>
                </w:rPr>
                <w:t>Delaware Trust Company (as successor in interest to Law Debenture</w:t>
              </w:r>
            </w:hyperlink>
          </w:p>
        </w:tc>
        <w:tc>
          <w:tcPr>
            <w:tcW w:w="40" w:type="dxa"/>
            <w:vAlign w:val="bottom"/>
          </w:tcPr>
          <w:p>
            <w:pPr>
              <w:spacing w:after="0"/>
              <w:rPr>
                <w:sz w:val="12"/>
                <w:szCs w:val="12"/>
                <w:color w:val="auto"/>
              </w:rPr>
            </w:pPr>
          </w:p>
        </w:tc>
        <w:tc>
          <w:tcPr>
            <w:tcW w:w="560" w:type="dxa"/>
            <w:vAlign w:val="bottom"/>
            <w:gridSpan w:val="9"/>
          </w:tcPr>
          <w:p>
            <w:pPr>
              <w:ind w:left="40"/>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Trust</w:t>
              </w:r>
            </w:hyperlink>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Company of New York).</w:t>
              </w:r>
            </w:hyperlink>
          </w:p>
        </w:tc>
        <w:tc>
          <w:tcPr>
            <w:tcW w:w="200" w:type="dxa"/>
            <w:vAlign w:val="bottom"/>
            <w:gridSpan w:val="5"/>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4.42</w:t>
            </w:r>
          </w:p>
        </w:tc>
        <w:tc>
          <w:tcPr>
            <w:tcW w:w="5020" w:type="dxa"/>
            <w:vAlign w:val="bottom"/>
            <w:gridSpan w:val="16"/>
          </w:tcPr>
          <w:p>
            <w:pPr>
              <w:spacing w:after="0"/>
              <w:rPr>
                <w:rFonts w:ascii="Arial" w:cs="Arial" w:eastAsia="Arial" w:hAnsi="Arial"/>
                <w:sz w:val="16"/>
                <w:szCs w:val="16"/>
                <w:color w:val="0000FF"/>
              </w:rPr>
            </w:pPr>
            <w:hyperlink r:id="rId250">
              <w:r>
                <w:rPr>
                  <w:rFonts w:ascii="Arial" w:cs="Arial" w:eastAsia="Arial" w:hAnsi="Arial"/>
                  <w:sz w:val="16"/>
                  <w:szCs w:val="16"/>
                  <w:color w:val="0000FF"/>
                </w:rPr>
                <w:t>Sixth Supplemental Indenture, dated as of February 26, 2020, among</w:t>
              </w:r>
            </w:hyperlink>
          </w:p>
        </w:tc>
      </w:tr>
      <w:tr>
        <w:trPr>
          <w:trHeight w:val="142"/>
        </w:trPr>
        <w:tc>
          <w:tcPr>
            <w:tcW w:w="900" w:type="dxa"/>
            <w:vAlign w:val="bottom"/>
          </w:tcPr>
          <w:p>
            <w:pPr>
              <w:spacing w:after="0"/>
              <w:rPr>
                <w:sz w:val="12"/>
                <w:szCs w:val="12"/>
                <w:color w:val="auto"/>
              </w:rPr>
            </w:pPr>
          </w:p>
        </w:tc>
        <w:tc>
          <w:tcPr>
            <w:tcW w:w="4460" w:type="dxa"/>
            <w:vAlign w:val="bottom"/>
            <w:tcBorders>
              <w:top w:val="single" w:sz="8" w:color="0000FF"/>
            </w:tcBorders>
            <w:gridSpan w:val="7"/>
          </w:tcPr>
          <w:p>
            <w:pPr>
              <w:spacing w:after="0" w:line="142" w:lineRule="exact"/>
              <w:rPr>
                <w:rFonts w:ascii="Arial" w:cs="Arial" w:eastAsia="Arial" w:hAnsi="Arial"/>
                <w:sz w:val="16"/>
                <w:szCs w:val="16"/>
                <w:color w:val="0000FF"/>
                <w:w w:val="92"/>
              </w:rPr>
            </w:pPr>
            <w:hyperlink r:id="rId250">
              <w:r>
                <w:rPr>
                  <w:rFonts w:ascii="Arial" w:cs="Arial" w:eastAsia="Arial" w:hAnsi="Arial"/>
                  <w:sz w:val="16"/>
                  <w:szCs w:val="16"/>
                  <w:color w:val="0000FF"/>
                  <w:w w:val="92"/>
                </w:rPr>
                <w:t>Clearway Energy Operating LLC, the guarantors named therein and</w:t>
              </w:r>
            </w:hyperlink>
          </w:p>
        </w:tc>
        <w:tc>
          <w:tcPr>
            <w:tcW w:w="560" w:type="dxa"/>
            <w:vAlign w:val="bottom"/>
            <w:gridSpan w:val="9"/>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50">
              <w:r>
                <w:rPr>
                  <w:rFonts w:ascii="Arial" w:cs="Arial" w:eastAsia="Arial" w:hAnsi="Arial"/>
                  <w:sz w:val="16"/>
                  <w:szCs w:val="16"/>
                  <w:color w:val="0000FF"/>
                  <w:w w:val="90"/>
                </w:rPr>
                <w:t>Delaware Trust Company.</w:t>
              </w:r>
            </w:hyperlink>
          </w:p>
        </w:tc>
        <w:tc>
          <w:tcPr>
            <w:tcW w:w="2700" w:type="dxa"/>
            <w:vAlign w:val="bottom"/>
            <w:tcBorders>
              <w:top w:val="single" w:sz="8" w:color="0000FF"/>
            </w:tcBorders>
          </w:tcPr>
          <w:p>
            <w:pPr>
              <w:spacing w:after="0"/>
              <w:rPr>
                <w:sz w:val="12"/>
                <w:szCs w:val="12"/>
                <w:color w:val="auto"/>
              </w:rPr>
            </w:pPr>
          </w:p>
        </w:tc>
        <w:tc>
          <w:tcPr>
            <w:tcW w:w="620" w:type="dxa"/>
            <w:vAlign w:val="bottom"/>
            <w:gridSpan w:val="11"/>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2019.</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ind w:right="35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January 8, 2020.</w:t>
      </w:r>
    </w:p>
    <w:p>
      <w:pPr>
        <w:spacing w:after="0" w:line="173" w:lineRule="exact"/>
        <w:rPr>
          <w:sz w:val="20"/>
          <w:szCs w:val="20"/>
          <w:color w:val="auto"/>
        </w:rPr>
      </w:pPr>
    </w:p>
    <w:p>
      <w:pPr>
        <w:ind w:right="35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January 8, 2020.</w:t>
      </w:r>
    </w:p>
    <w:p>
      <w:pPr>
        <w:spacing w:after="0" w:line="11" w:lineRule="exact"/>
        <w:rPr>
          <w:sz w:val="20"/>
          <w:szCs w:val="20"/>
          <w:color w:val="auto"/>
        </w:rPr>
      </w:pPr>
    </w:p>
    <w:p>
      <w:pPr>
        <w:ind w:right="35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January 8, 2020.</w:t>
      </w:r>
    </w:p>
    <w:p>
      <w:pPr>
        <w:spacing w:after="0" w:line="11" w:lineRule="exact"/>
        <w:rPr>
          <w:sz w:val="20"/>
          <w:szCs w:val="20"/>
          <w:color w:val="auto"/>
        </w:rPr>
      </w:pPr>
    </w:p>
    <w:p>
      <w:pPr>
        <w:ind w:right="4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March 3, 2020.</w:t>
      </w:r>
    </w:p>
    <w:p>
      <w:pPr>
        <w:spacing w:after="0" w:line="173" w:lineRule="exact"/>
        <w:rPr>
          <w:sz w:val="20"/>
          <w:szCs w:val="20"/>
          <w:color w:val="auto"/>
        </w:rPr>
      </w:pPr>
    </w:p>
    <w:p>
      <w:pPr>
        <w:ind w:right="4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March 3, 2020.</w:t>
      </w:r>
    </w:p>
    <w:p>
      <w:pPr>
        <w:spacing w:after="0" w:line="200" w:lineRule="exact"/>
        <w:rPr>
          <w:sz w:val="20"/>
          <w:szCs w:val="20"/>
          <w:color w:val="auto"/>
        </w:rPr>
      </w:pPr>
    </w:p>
    <w:p>
      <w:pPr>
        <w:sectPr>
          <w:pgSz w:w="11900" w:h="16838" w:orient="portrait"/>
          <w:cols w:equalWidth="0" w:num="2">
            <w:col w:w="5900" w:space="120"/>
            <w:col w:w="4099"/>
          </w:cols>
          <w:pgMar w:left="340" w:top="940" w:right="1440" w:bottom="106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40" w:right="1440" w:bottom="106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184"/>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4.43</w:t>
            </w:r>
          </w:p>
        </w:tc>
        <w:tc>
          <w:tcPr>
            <w:tcW w:w="5020" w:type="dxa"/>
            <w:vAlign w:val="bottom"/>
            <w:gridSpan w:val="27"/>
          </w:tcPr>
          <w:p>
            <w:pPr>
              <w:spacing w:after="0"/>
              <w:rPr>
                <w:rFonts w:ascii="Arial" w:cs="Arial" w:eastAsia="Arial" w:hAnsi="Arial"/>
                <w:sz w:val="16"/>
                <w:szCs w:val="16"/>
                <w:color w:val="0000FF"/>
                <w:w w:val="98"/>
              </w:rPr>
            </w:pPr>
            <w:hyperlink r:id="rId252">
              <w:r>
                <w:rPr>
                  <w:rFonts w:ascii="Arial" w:cs="Arial" w:eastAsia="Arial" w:hAnsi="Arial"/>
                  <w:sz w:val="16"/>
                  <w:szCs w:val="16"/>
                  <w:color w:val="0000FF"/>
                  <w:w w:val="98"/>
                </w:rPr>
                <w:t>Second Supplemental Indenture, dated as of February 26,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20" w:type="dxa"/>
            <w:vAlign w:val="bottom"/>
            <w:tcBorders>
              <w:top w:val="single" w:sz="8" w:color="0000FF"/>
            </w:tcBorders>
            <w:gridSpan w:val="16"/>
          </w:tcPr>
          <w:p>
            <w:pPr>
              <w:spacing w:after="0" w:line="142" w:lineRule="exact"/>
              <w:rPr>
                <w:rFonts w:ascii="Arial" w:cs="Arial" w:eastAsia="Arial" w:hAnsi="Arial"/>
                <w:sz w:val="16"/>
                <w:szCs w:val="16"/>
                <w:color w:val="0000FF"/>
                <w:w w:val="95"/>
              </w:rPr>
            </w:pPr>
            <w:hyperlink r:id="rId252">
              <w:r>
                <w:rPr>
                  <w:rFonts w:ascii="Arial" w:cs="Arial" w:eastAsia="Arial" w:hAnsi="Arial"/>
                  <w:sz w:val="16"/>
                  <w:szCs w:val="16"/>
                  <w:color w:val="0000FF"/>
                  <w:w w:val="95"/>
                </w:rPr>
                <w:t>Clearway Energy Operating LLC, the guarantors named therein and</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52">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4.44</w:t>
            </w:r>
          </w:p>
        </w:tc>
        <w:tc>
          <w:tcPr>
            <w:tcW w:w="5020" w:type="dxa"/>
            <w:vAlign w:val="bottom"/>
            <w:gridSpan w:val="27"/>
          </w:tcPr>
          <w:p>
            <w:pPr>
              <w:spacing w:after="0"/>
              <w:rPr>
                <w:rFonts w:ascii="Arial" w:cs="Arial" w:eastAsia="Arial" w:hAnsi="Arial"/>
                <w:sz w:val="16"/>
                <w:szCs w:val="16"/>
                <w:color w:val="0000FF"/>
              </w:rPr>
            </w:pPr>
            <w:hyperlink r:id="rId253">
              <w:r>
                <w:rPr>
                  <w:rFonts w:ascii="Arial" w:cs="Arial" w:eastAsia="Arial" w:hAnsi="Arial"/>
                  <w:sz w:val="16"/>
                  <w:szCs w:val="16"/>
                  <w:color w:val="0000FF"/>
                </w:rPr>
                <w:t>Eleventh Supplemental Indenture, dated as of July 17,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0"/>
              </w:rPr>
            </w:pPr>
            <w:hyperlink r:id="rId253">
              <w:r>
                <w:rPr>
                  <w:rFonts w:ascii="Arial" w:cs="Arial" w:eastAsia="Arial" w:hAnsi="Arial"/>
                  <w:sz w:val="16"/>
                  <w:szCs w:val="16"/>
                  <w:color w:val="0000FF"/>
                  <w:w w:val="90"/>
                </w:rPr>
                <w:t>Clearway Energy Operating LLC, the guarantors named therein and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17"/>
            <w:vMerge w:val="restart"/>
          </w:tcPr>
          <w:p>
            <w:pPr>
              <w:ind w:left="20"/>
              <w:spacing w:after="0"/>
              <w:rPr>
                <w:rFonts w:ascii="Arial" w:cs="Arial" w:eastAsia="Arial" w:hAnsi="Arial"/>
                <w:sz w:val="16"/>
                <w:szCs w:val="16"/>
                <w:color w:val="0000FF"/>
              </w:rPr>
            </w:pPr>
            <w:hyperlink r:id="rId253">
              <w:r>
                <w:rPr>
                  <w:rFonts w:ascii="Arial" w:cs="Arial" w:eastAsia="Arial" w:hAnsi="Arial"/>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gridSpan w:val="7"/>
          </w:tcPr>
          <w:p>
            <w:pPr>
              <w:spacing w:after="0" w:line="142" w:lineRule="exact"/>
              <w:rPr>
                <w:rFonts w:ascii="Arial" w:cs="Arial" w:eastAsia="Arial" w:hAnsi="Arial"/>
                <w:sz w:val="16"/>
                <w:szCs w:val="16"/>
                <w:color w:val="0000FF"/>
                <w:w w:val="89"/>
              </w:rPr>
            </w:pPr>
            <w:hyperlink r:id="rId253">
              <w:r>
                <w:rPr>
                  <w:rFonts w:ascii="Arial" w:cs="Arial" w:eastAsia="Arial" w:hAnsi="Arial"/>
                  <w:sz w:val="16"/>
                  <w:szCs w:val="16"/>
                  <w:color w:val="0000FF"/>
                  <w:w w:val="89"/>
                </w:rPr>
                <w:t>Delaware Trust Company (as successor in interest to Law Debenture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1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Company of New York).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4.45</w:t>
            </w:r>
          </w:p>
        </w:tc>
        <w:tc>
          <w:tcPr>
            <w:tcW w:w="5020" w:type="dxa"/>
            <w:vAlign w:val="bottom"/>
            <w:gridSpan w:val="27"/>
          </w:tcPr>
          <w:p>
            <w:pPr>
              <w:spacing w:after="0"/>
              <w:rPr>
                <w:rFonts w:ascii="Arial" w:cs="Arial" w:eastAsia="Arial" w:hAnsi="Arial"/>
                <w:sz w:val="16"/>
                <w:szCs w:val="16"/>
                <w:color w:val="0000FF"/>
                <w:w w:val="90"/>
              </w:rPr>
            </w:pPr>
            <w:hyperlink r:id="rId254">
              <w:r>
                <w:rPr>
                  <w:rFonts w:ascii="Arial" w:cs="Arial" w:eastAsia="Arial" w:hAnsi="Arial"/>
                  <w:sz w:val="16"/>
                  <w:szCs w:val="16"/>
                  <w:color w:val="0000FF"/>
                  <w:w w:val="90"/>
                </w:rPr>
                <w:t>Seventh Supplemental Indenture, dated as of July 17, 2020, among Clearway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tcBorders>
              <w:top w:val="single" w:sz="8" w:color="0000FF"/>
            </w:tcBorders>
            <w:gridSpan w:val="26"/>
          </w:tcPr>
          <w:p>
            <w:pPr>
              <w:spacing w:after="0" w:line="142" w:lineRule="exact"/>
              <w:rPr>
                <w:rFonts w:ascii="Arial" w:cs="Arial" w:eastAsia="Arial" w:hAnsi="Arial"/>
                <w:sz w:val="16"/>
                <w:szCs w:val="16"/>
                <w:color w:val="0000FF"/>
                <w:w w:val="95"/>
              </w:rPr>
            </w:pPr>
            <w:hyperlink r:id="rId254">
              <w:r>
                <w:rPr>
                  <w:rFonts w:ascii="Arial" w:cs="Arial" w:eastAsia="Arial" w:hAnsi="Arial"/>
                  <w:sz w:val="16"/>
                  <w:szCs w:val="16"/>
                  <w:color w:val="0000FF"/>
                  <w:w w:val="95"/>
                </w:rPr>
                <w:t>Energy Operating LLC, the guarantors named therein and Delaware Trust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Company.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4.46</w:t>
            </w:r>
          </w:p>
        </w:tc>
        <w:tc>
          <w:tcPr>
            <w:tcW w:w="5020" w:type="dxa"/>
            <w:vAlign w:val="bottom"/>
            <w:gridSpan w:val="27"/>
          </w:tcPr>
          <w:p>
            <w:pPr>
              <w:spacing w:after="0"/>
              <w:rPr>
                <w:rFonts w:ascii="Arial" w:cs="Arial" w:eastAsia="Arial" w:hAnsi="Arial"/>
                <w:sz w:val="16"/>
                <w:szCs w:val="16"/>
                <w:color w:val="0000FF"/>
                <w:w w:val="94"/>
              </w:rPr>
            </w:pPr>
            <w:hyperlink r:id="rId255">
              <w:r>
                <w:rPr>
                  <w:rFonts w:ascii="Arial" w:cs="Arial" w:eastAsia="Arial" w:hAnsi="Arial"/>
                  <w:sz w:val="16"/>
                  <w:szCs w:val="16"/>
                  <w:color w:val="0000FF"/>
                  <w:w w:val="94"/>
                </w:rPr>
                <w:t>Third Supplemental Indenture, dated as of July 17, 2020, among Clearway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80" w:type="dxa"/>
            <w:vAlign w:val="bottom"/>
            <w:tcBorders>
              <w:top w:val="single" w:sz="8" w:color="0000FF"/>
            </w:tcBorders>
            <w:gridSpan w:val="24"/>
          </w:tcPr>
          <w:p>
            <w:pPr>
              <w:spacing w:after="0" w:line="142" w:lineRule="exact"/>
              <w:rPr>
                <w:rFonts w:ascii="Arial" w:cs="Arial" w:eastAsia="Arial" w:hAnsi="Arial"/>
                <w:sz w:val="16"/>
                <w:szCs w:val="16"/>
                <w:color w:val="0000FF"/>
                <w:w w:val="93"/>
              </w:rPr>
            </w:pPr>
            <w:hyperlink r:id="rId255">
              <w:r>
                <w:rPr>
                  <w:rFonts w:ascii="Arial" w:cs="Arial" w:eastAsia="Arial" w:hAnsi="Arial"/>
                  <w:sz w:val="16"/>
                  <w:szCs w:val="16"/>
                  <w:color w:val="0000FF"/>
                  <w:w w:val="93"/>
                </w:rPr>
                <w:t>Energy Operating LLC, the guarantors named therein and Delaware Trust</w:t>
              </w:r>
            </w:hyperlink>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6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7"/>
              </w:rPr>
            </w:pPr>
            <w:hyperlink r:id="rId255">
              <w:r>
                <w:rPr>
                  <w:rFonts w:ascii="Arial" w:cs="Arial" w:eastAsia="Arial" w:hAnsi="Arial"/>
                  <w:sz w:val="16"/>
                  <w:szCs w:val="16"/>
                  <w:color w:val="0000FF"/>
                  <w:w w:val="87"/>
                </w:rPr>
                <w:t>Company.</w:t>
              </w:r>
            </w:hyperlink>
          </w:p>
        </w:tc>
        <w:tc>
          <w:tcPr>
            <w:tcW w:w="412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4.47</w:t>
            </w:r>
          </w:p>
        </w:tc>
        <w:tc>
          <w:tcPr>
            <w:tcW w:w="5020" w:type="dxa"/>
            <w:vAlign w:val="bottom"/>
            <w:gridSpan w:val="27"/>
          </w:tcPr>
          <w:p>
            <w:pPr>
              <w:spacing w:after="0"/>
              <w:rPr>
                <w:rFonts w:ascii="Arial" w:cs="Arial" w:eastAsia="Arial" w:hAnsi="Arial"/>
                <w:sz w:val="16"/>
                <w:szCs w:val="16"/>
                <w:color w:val="0000FF"/>
              </w:rPr>
            </w:pPr>
            <w:hyperlink r:id="rId256">
              <w:r>
                <w:rPr>
                  <w:rFonts w:ascii="Arial" w:cs="Arial" w:eastAsia="Arial" w:hAnsi="Arial"/>
                  <w:sz w:val="16"/>
                  <w:szCs w:val="16"/>
                  <w:color w:val="0000FF"/>
                </w:rPr>
                <w:t>Twelfth Supplemental Indenture, dated as of August 17,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20" w:type="dxa"/>
            <w:vAlign w:val="bottom"/>
            <w:tcBorders>
              <w:top w:val="single" w:sz="8" w:color="0000FF"/>
            </w:tcBorders>
            <w:gridSpan w:val="12"/>
          </w:tcPr>
          <w:p>
            <w:pPr>
              <w:spacing w:after="0" w:line="142" w:lineRule="exact"/>
              <w:rPr>
                <w:rFonts w:ascii="Arial" w:cs="Arial" w:eastAsia="Arial" w:hAnsi="Arial"/>
                <w:sz w:val="16"/>
                <w:szCs w:val="16"/>
                <w:color w:val="0000FF"/>
                <w:w w:val="93"/>
              </w:rPr>
            </w:pPr>
            <w:hyperlink r:id="rId256">
              <w:r>
                <w:rPr>
                  <w:rFonts w:ascii="Arial" w:cs="Arial" w:eastAsia="Arial" w:hAnsi="Arial"/>
                  <w:sz w:val="16"/>
                  <w:szCs w:val="16"/>
                  <w:color w:val="0000FF"/>
                  <w:w w:val="93"/>
                </w:rPr>
                <w:t>Clearway Energy Operating LLC, the guarantors named therein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Arial" w:cs="Arial" w:eastAsia="Arial" w:hAnsi="Arial"/>
                <w:sz w:val="16"/>
                <w:szCs w:val="16"/>
                <w:color w:val="0000FF"/>
                <w:w w:val="89"/>
              </w:rPr>
            </w:pPr>
            <w:hyperlink r:id="rId256">
              <w:r>
                <w:rPr>
                  <w:rFonts w:ascii="Arial" w:cs="Arial" w:eastAsia="Arial" w:hAnsi="Arial"/>
                  <w:sz w:val="16"/>
                  <w:szCs w:val="16"/>
                  <w:color w:val="0000FF"/>
                  <w:w w:val="89"/>
                </w:rPr>
                <w:t>Delaware Trust Company (as successor in interest to Law Debenture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17"/>
          </w:tcPr>
          <w:p>
            <w:pPr>
              <w:ind w:left="20"/>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Company of New York).</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4.48</w:t>
            </w:r>
          </w:p>
        </w:tc>
        <w:tc>
          <w:tcPr>
            <w:tcW w:w="5020" w:type="dxa"/>
            <w:vAlign w:val="bottom"/>
            <w:gridSpan w:val="27"/>
          </w:tcPr>
          <w:p>
            <w:pPr>
              <w:spacing w:after="0"/>
              <w:rPr>
                <w:rFonts w:ascii="Arial" w:cs="Arial" w:eastAsia="Arial" w:hAnsi="Arial"/>
                <w:sz w:val="16"/>
                <w:szCs w:val="16"/>
                <w:color w:val="0000FF"/>
              </w:rPr>
            </w:pPr>
            <w:hyperlink r:id="rId257">
              <w:r>
                <w:rPr>
                  <w:rFonts w:ascii="Arial" w:cs="Arial" w:eastAsia="Arial" w:hAnsi="Arial"/>
                  <w:sz w:val="16"/>
                  <w:szCs w:val="16"/>
                  <w:color w:val="0000FF"/>
                </w:rPr>
                <w:t>Eighth Supplemental Indenture, dated as of August 17,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40" w:type="dxa"/>
            <w:vAlign w:val="bottom"/>
            <w:tcBorders>
              <w:top w:val="single" w:sz="8" w:color="0000FF"/>
            </w:tcBorders>
            <w:gridSpan w:val="8"/>
          </w:tcPr>
          <w:p>
            <w:pPr>
              <w:spacing w:after="0" w:line="142" w:lineRule="exact"/>
              <w:rPr>
                <w:rFonts w:ascii="Arial" w:cs="Arial" w:eastAsia="Arial" w:hAnsi="Arial"/>
                <w:sz w:val="16"/>
                <w:szCs w:val="16"/>
                <w:color w:val="0000FF"/>
                <w:w w:val="92"/>
              </w:rPr>
            </w:pPr>
            <w:hyperlink r:id="rId257">
              <w:r>
                <w:rPr>
                  <w:rFonts w:ascii="Arial" w:cs="Arial" w:eastAsia="Arial" w:hAnsi="Arial"/>
                  <w:sz w:val="16"/>
                  <w:szCs w:val="16"/>
                  <w:color w:val="0000FF"/>
                  <w:w w:val="92"/>
                </w:rPr>
                <w:t>Clearway Energy Operating LLC, the guarantors named therein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57">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4.49</w:t>
            </w:r>
          </w:p>
        </w:tc>
        <w:tc>
          <w:tcPr>
            <w:tcW w:w="5020" w:type="dxa"/>
            <w:vAlign w:val="bottom"/>
            <w:gridSpan w:val="27"/>
          </w:tcPr>
          <w:p>
            <w:pPr>
              <w:spacing w:after="0"/>
              <w:rPr>
                <w:rFonts w:ascii="Arial" w:cs="Arial" w:eastAsia="Arial" w:hAnsi="Arial"/>
                <w:sz w:val="16"/>
                <w:szCs w:val="16"/>
                <w:color w:val="0000FF"/>
              </w:rPr>
            </w:pPr>
            <w:hyperlink r:id="rId258">
              <w:r>
                <w:rPr>
                  <w:rFonts w:ascii="Arial" w:cs="Arial" w:eastAsia="Arial" w:hAnsi="Arial"/>
                  <w:sz w:val="16"/>
                  <w:szCs w:val="16"/>
                  <w:color w:val="0000FF"/>
                </w:rPr>
                <w:t>Fourth Supplemental Indenture, dated as of August 17,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40" w:type="dxa"/>
            <w:vAlign w:val="bottom"/>
            <w:tcBorders>
              <w:top w:val="single" w:sz="8" w:color="0000FF"/>
            </w:tcBorders>
            <w:gridSpan w:val="8"/>
          </w:tcPr>
          <w:p>
            <w:pPr>
              <w:spacing w:after="0" w:line="142" w:lineRule="exact"/>
              <w:rPr>
                <w:rFonts w:ascii="Arial" w:cs="Arial" w:eastAsia="Arial" w:hAnsi="Arial"/>
                <w:sz w:val="16"/>
                <w:szCs w:val="16"/>
                <w:color w:val="0000FF"/>
                <w:w w:val="92"/>
              </w:rPr>
            </w:pPr>
            <w:hyperlink r:id="rId258">
              <w:r>
                <w:rPr>
                  <w:rFonts w:ascii="Arial" w:cs="Arial" w:eastAsia="Arial" w:hAnsi="Arial"/>
                  <w:sz w:val="16"/>
                  <w:szCs w:val="16"/>
                  <w:color w:val="0000FF"/>
                  <w:w w:val="92"/>
                </w:rPr>
                <w:t>Clearway Energy Operating LLC, the guarantors named therein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58">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4.50</w:t>
            </w:r>
          </w:p>
        </w:tc>
        <w:tc>
          <w:tcPr>
            <w:tcW w:w="5020" w:type="dxa"/>
            <w:vAlign w:val="bottom"/>
            <w:gridSpan w:val="27"/>
          </w:tcPr>
          <w:p>
            <w:pPr>
              <w:spacing w:after="0"/>
              <w:rPr>
                <w:rFonts w:ascii="Arial" w:cs="Arial" w:eastAsia="Arial" w:hAnsi="Arial"/>
                <w:sz w:val="16"/>
                <w:szCs w:val="16"/>
                <w:color w:val="0000FF"/>
                <w:w w:val="93"/>
              </w:rPr>
            </w:pPr>
            <w:hyperlink r:id="rId259">
              <w:r>
                <w:rPr>
                  <w:rFonts w:ascii="Arial" w:cs="Arial" w:eastAsia="Arial" w:hAnsi="Arial"/>
                  <w:sz w:val="16"/>
                  <w:szCs w:val="16"/>
                  <w:color w:val="0000FF"/>
                  <w:w w:val="93"/>
                </w:rPr>
                <w:t>Thirteenth Supplemental Indenture, dated as of November 18,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Clearway Energy Operating LLC, the guarantors named therein and</w:t>
              </w:r>
            </w:hyperlink>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Arial" w:cs="Arial" w:eastAsia="Arial" w:hAnsi="Arial"/>
                <w:sz w:val="16"/>
                <w:szCs w:val="16"/>
                <w:color w:val="0000FF"/>
                <w:w w:val="89"/>
              </w:rPr>
            </w:pPr>
            <w:hyperlink r:id="rId259">
              <w:r>
                <w:rPr>
                  <w:rFonts w:ascii="Arial" w:cs="Arial" w:eastAsia="Arial" w:hAnsi="Arial"/>
                  <w:sz w:val="16"/>
                  <w:szCs w:val="16"/>
                  <w:color w:val="0000FF"/>
                  <w:w w:val="89"/>
                </w:rPr>
                <w:t>Delaware Trust Company (as successor in interest to Law Debenture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17"/>
          </w:tcPr>
          <w:p>
            <w:pPr>
              <w:ind w:left="20"/>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Company of New York).</w:t>
              </w:r>
            </w:hyperlink>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4.51</w:t>
            </w:r>
          </w:p>
        </w:tc>
        <w:tc>
          <w:tcPr>
            <w:tcW w:w="5020" w:type="dxa"/>
            <w:vAlign w:val="bottom"/>
            <w:gridSpan w:val="27"/>
          </w:tcPr>
          <w:p>
            <w:pPr>
              <w:spacing w:after="0"/>
              <w:rPr>
                <w:rFonts w:ascii="Arial" w:cs="Arial" w:eastAsia="Arial" w:hAnsi="Arial"/>
                <w:sz w:val="16"/>
                <w:szCs w:val="16"/>
                <w:color w:val="0000FF"/>
                <w:w w:val="99"/>
              </w:rPr>
            </w:pPr>
            <w:hyperlink r:id="rId260">
              <w:r>
                <w:rPr>
                  <w:rFonts w:ascii="Arial" w:cs="Arial" w:eastAsia="Arial" w:hAnsi="Arial"/>
                  <w:sz w:val="16"/>
                  <w:szCs w:val="16"/>
                  <w:color w:val="0000FF"/>
                  <w:w w:val="99"/>
                </w:rPr>
                <w:t>Ninth Supplemental Indenture, dated as of November 18,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00" w:type="dxa"/>
            <w:vAlign w:val="bottom"/>
            <w:tcBorders>
              <w:top w:val="single" w:sz="8" w:color="0000FF"/>
            </w:tcBorders>
            <w:gridSpan w:val="15"/>
          </w:tcPr>
          <w:p>
            <w:pPr>
              <w:spacing w:after="0" w:line="142" w:lineRule="exact"/>
              <w:rPr>
                <w:rFonts w:ascii="Arial" w:cs="Arial" w:eastAsia="Arial" w:hAnsi="Arial"/>
                <w:sz w:val="16"/>
                <w:szCs w:val="16"/>
                <w:color w:val="0000FF"/>
                <w:w w:val="95"/>
              </w:rPr>
            </w:pPr>
            <w:hyperlink r:id="rId260">
              <w:r>
                <w:rPr>
                  <w:rFonts w:ascii="Arial" w:cs="Arial" w:eastAsia="Arial" w:hAnsi="Arial"/>
                  <w:sz w:val="16"/>
                  <w:szCs w:val="16"/>
                  <w:color w:val="0000FF"/>
                  <w:w w:val="95"/>
                </w:rPr>
                <w:t>Clearway Energy Operating LLC, the guarantors named therein and</w:t>
              </w:r>
            </w:hyperlink>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60">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4.52</w:t>
            </w:r>
          </w:p>
        </w:tc>
        <w:tc>
          <w:tcPr>
            <w:tcW w:w="5020" w:type="dxa"/>
            <w:vAlign w:val="bottom"/>
            <w:gridSpan w:val="27"/>
          </w:tcPr>
          <w:p>
            <w:pPr>
              <w:spacing w:after="0"/>
              <w:rPr>
                <w:rFonts w:ascii="Arial" w:cs="Arial" w:eastAsia="Arial" w:hAnsi="Arial"/>
                <w:sz w:val="16"/>
                <w:szCs w:val="16"/>
                <w:color w:val="0000FF"/>
              </w:rPr>
            </w:pPr>
            <w:hyperlink r:id="rId261">
              <w:r>
                <w:rPr>
                  <w:rFonts w:ascii="Arial" w:cs="Arial" w:eastAsia="Arial" w:hAnsi="Arial"/>
                  <w:sz w:val="16"/>
                  <w:szCs w:val="16"/>
                  <w:color w:val="0000FF"/>
                </w:rPr>
                <w:t>Fifth Supplemental Indenture, dated as of November 18,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40" w:type="dxa"/>
            <w:vAlign w:val="bottom"/>
            <w:tcBorders>
              <w:top w:val="single" w:sz="8" w:color="0000FF"/>
            </w:tcBorders>
            <w:gridSpan w:val="13"/>
          </w:tcPr>
          <w:p>
            <w:pPr>
              <w:spacing w:after="0" w:line="142" w:lineRule="exact"/>
              <w:rPr>
                <w:rFonts w:ascii="Arial" w:cs="Arial" w:eastAsia="Arial" w:hAnsi="Arial"/>
                <w:sz w:val="16"/>
                <w:szCs w:val="16"/>
                <w:color w:val="0000FF"/>
                <w:w w:val="94"/>
              </w:rPr>
            </w:pPr>
            <w:hyperlink r:id="rId261">
              <w:r>
                <w:rPr>
                  <w:rFonts w:ascii="Arial" w:cs="Arial" w:eastAsia="Arial" w:hAnsi="Arial"/>
                  <w:sz w:val="16"/>
                  <w:szCs w:val="16"/>
                  <w:color w:val="0000FF"/>
                  <w:w w:val="94"/>
                </w:rPr>
                <w:t>Clearway Energy Operating LLC, the guarantors named therein and</w:t>
              </w:r>
            </w:hyperlink>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61">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4.53</w:t>
            </w:r>
          </w:p>
        </w:tc>
        <w:tc>
          <w:tcPr>
            <w:tcW w:w="5020" w:type="dxa"/>
            <w:vAlign w:val="bottom"/>
            <w:gridSpan w:val="27"/>
          </w:tcPr>
          <w:p>
            <w:pPr>
              <w:spacing w:after="0"/>
              <w:rPr>
                <w:rFonts w:ascii="Arial" w:cs="Arial" w:eastAsia="Arial" w:hAnsi="Arial"/>
                <w:sz w:val="16"/>
                <w:szCs w:val="16"/>
                <w:color w:val="0000FF"/>
                <w:w w:val="93"/>
              </w:rPr>
            </w:pPr>
            <w:hyperlink r:id="rId262">
              <w:r>
                <w:rPr>
                  <w:rFonts w:ascii="Arial" w:cs="Arial" w:eastAsia="Arial" w:hAnsi="Arial"/>
                  <w:sz w:val="16"/>
                  <w:szCs w:val="16"/>
                  <w:color w:val="0000FF"/>
                  <w:w w:val="93"/>
                </w:rPr>
                <w:t>Fourteenth Supplemental Indenture, dated as of December 1,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Clearway Energy Operating LLC, the guarantors named therein and</w:t>
              </w:r>
            </w:hyperlink>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Arial" w:cs="Arial" w:eastAsia="Arial" w:hAnsi="Arial"/>
                <w:sz w:val="16"/>
                <w:szCs w:val="16"/>
                <w:color w:val="0000FF"/>
                <w:w w:val="89"/>
              </w:rPr>
            </w:pPr>
            <w:hyperlink r:id="rId262">
              <w:r>
                <w:rPr>
                  <w:rFonts w:ascii="Arial" w:cs="Arial" w:eastAsia="Arial" w:hAnsi="Arial"/>
                  <w:sz w:val="16"/>
                  <w:szCs w:val="16"/>
                  <w:color w:val="0000FF"/>
                  <w:w w:val="89"/>
                </w:rPr>
                <w:t>Delaware Trust Company (as successor in interest to Law Debenture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17"/>
          </w:tcPr>
          <w:p>
            <w:pPr>
              <w:ind w:left="20"/>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Company of New York).</w:t>
              </w:r>
            </w:hyperlink>
          </w:p>
        </w:tc>
        <w:tc>
          <w:tcPr>
            <w:tcW w:w="1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4.54</w:t>
            </w:r>
          </w:p>
        </w:tc>
        <w:tc>
          <w:tcPr>
            <w:tcW w:w="5020" w:type="dxa"/>
            <w:vAlign w:val="bottom"/>
            <w:gridSpan w:val="27"/>
          </w:tcPr>
          <w:p>
            <w:pPr>
              <w:spacing w:after="0"/>
              <w:rPr>
                <w:rFonts w:ascii="Arial" w:cs="Arial" w:eastAsia="Arial" w:hAnsi="Arial"/>
                <w:sz w:val="16"/>
                <w:szCs w:val="16"/>
                <w:color w:val="0000FF"/>
              </w:rPr>
            </w:pPr>
            <w:hyperlink r:id="rId263">
              <w:r>
                <w:rPr>
                  <w:rFonts w:ascii="Arial" w:cs="Arial" w:eastAsia="Arial" w:hAnsi="Arial"/>
                  <w:sz w:val="16"/>
                  <w:szCs w:val="16"/>
                  <w:color w:val="0000FF"/>
                </w:rPr>
                <w:t>Tenth Supplemental Indenture, dated as of December 1,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00" w:type="dxa"/>
            <w:vAlign w:val="bottom"/>
            <w:tcBorders>
              <w:top w:val="single" w:sz="8" w:color="0000FF"/>
            </w:tcBorders>
            <w:gridSpan w:val="11"/>
          </w:tcPr>
          <w:p>
            <w:pPr>
              <w:spacing w:after="0" w:line="142" w:lineRule="exact"/>
              <w:rPr>
                <w:rFonts w:ascii="Arial" w:cs="Arial" w:eastAsia="Arial" w:hAnsi="Arial"/>
                <w:sz w:val="16"/>
                <w:szCs w:val="16"/>
                <w:color w:val="0000FF"/>
                <w:w w:val="93"/>
              </w:rPr>
            </w:pPr>
            <w:hyperlink r:id="rId263">
              <w:r>
                <w:rPr>
                  <w:rFonts w:ascii="Arial" w:cs="Arial" w:eastAsia="Arial" w:hAnsi="Arial"/>
                  <w:sz w:val="16"/>
                  <w:szCs w:val="16"/>
                  <w:color w:val="0000FF"/>
                  <w:w w:val="93"/>
                </w:rPr>
                <w:t>Clearway Energy Operating LLC, the guarantors named therein and</w:t>
              </w:r>
            </w:hyperlink>
          </w:p>
        </w:tc>
        <w:tc>
          <w:tcPr>
            <w:tcW w:w="6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63">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4.55</w:t>
            </w:r>
          </w:p>
        </w:tc>
        <w:tc>
          <w:tcPr>
            <w:tcW w:w="5020" w:type="dxa"/>
            <w:vAlign w:val="bottom"/>
            <w:gridSpan w:val="27"/>
          </w:tcPr>
          <w:p>
            <w:pPr>
              <w:spacing w:after="0"/>
              <w:rPr>
                <w:rFonts w:ascii="Arial" w:cs="Arial" w:eastAsia="Arial" w:hAnsi="Arial"/>
                <w:sz w:val="16"/>
                <w:szCs w:val="16"/>
                <w:color w:val="0000FF"/>
              </w:rPr>
            </w:pPr>
            <w:hyperlink r:id="rId264">
              <w:r>
                <w:rPr>
                  <w:rFonts w:ascii="Arial" w:cs="Arial" w:eastAsia="Arial" w:hAnsi="Arial"/>
                  <w:sz w:val="16"/>
                  <w:szCs w:val="16"/>
                  <w:color w:val="0000FF"/>
                </w:rPr>
                <w:t>Sixth Supplemental Indenture, dated as of December 1,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60" w:type="dxa"/>
            <w:vAlign w:val="bottom"/>
            <w:tcBorders>
              <w:top w:val="single" w:sz="8" w:color="0000FF"/>
            </w:tcBorders>
            <w:gridSpan w:val="9"/>
          </w:tcPr>
          <w:p>
            <w:pPr>
              <w:spacing w:after="0" w:line="142" w:lineRule="exact"/>
              <w:rPr>
                <w:rFonts w:ascii="Arial" w:cs="Arial" w:eastAsia="Arial" w:hAnsi="Arial"/>
                <w:sz w:val="16"/>
                <w:szCs w:val="16"/>
                <w:color w:val="0000FF"/>
                <w:w w:val="92"/>
              </w:rPr>
            </w:pPr>
            <w:hyperlink r:id="rId264">
              <w:r>
                <w:rPr>
                  <w:rFonts w:ascii="Arial" w:cs="Arial" w:eastAsia="Arial" w:hAnsi="Arial"/>
                  <w:sz w:val="16"/>
                  <w:szCs w:val="16"/>
                  <w:color w:val="0000FF"/>
                  <w:w w:val="92"/>
                </w:rPr>
                <w:t>Clearway Energy Operating LLC, the guarantors named therein and</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64">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4.56</w:t>
            </w:r>
          </w:p>
        </w:tc>
        <w:tc>
          <w:tcPr>
            <w:tcW w:w="5020" w:type="dxa"/>
            <w:vAlign w:val="bottom"/>
            <w:gridSpan w:val="27"/>
          </w:tcPr>
          <w:p>
            <w:pPr>
              <w:spacing w:after="0"/>
              <w:rPr>
                <w:rFonts w:ascii="Arial" w:cs="Arial" w:eastAsia="Arial" w:hAnsi="Arial"/>
                <w:sz w:val="16"/>
                <w:szCs w:val="16"/>
                <w:color w:val="0000FF"/>
                <w:w w:val="94"/>
              </w:rPr>
            </w:pPr>
            <w:hyperlink r:id="rId265">
              <w:r>
                <w:rPr>
                  <w:rFonts w:ascii="Arial" w:cs="Arial" w:eastAsia="Arial" w:hAnsi="Arial"/>
                  <w:sz w:val="16"/>
                  <w:szCs w:val="16"/>
                  <w:color w:val="0000FF"/>
                  <w:w w:val="94"/>
                </w:rPr>
                <w:t>Fifteenth Supplemental Indenture, dated as of December 23,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21"/>
          </w:tcPr>
          <w:p>
            <w:pPr>
              <w:spacing w:after="0" w:line="142" w:lineRule="exact"/>
              <w:rPr>
                <w:rFonts w:ascii="Arial" w:cs="Arial" w:eastAsia="Arial" w:hAnsi="Arial"/>
                <w:sz w:val="16"/>
                <w:szCs w:val="16"/>
                <w:color w:val="0000FF"/>
                <w:w w:val="99"/>
              </w:rPr>
            </w:pPr>
            <w:hyperlink r:id="rId265">
              <w:r>
                <w:rPr>
                  <w:rFonts w:ascii="Arial" w:cs="Arial" w:eastAsia="Arial" w:hAnsi="Arial"/>
                  <w:sz w:val="16"/>
                  <w:szCs w:val="16"/>
                  <w:color w:val="0000FF"/>
                  <w:w w:val="99"/>
                </w:rPr>
                <w:t>Clearway Energy Operating LLC, the guarantors named therein and</w:t>
              </w:r>
            </w:hyperlink>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Arial" w:cs="Arial" w:eastAsia="Arial" w:hAnsi="Arial"/>
                <w:sz w:val="16"/>
                <w:szCs w:val="16"/>
                <w:color w:val="0000FF"/>
                <w:w w:val="89"/>
              </w:rPr>
            </w:pPr>
            <w:hyperlink r:id="rId265">
              <w:r>
                <w:rPr>
                  <w:rFonts w:ascii="Arial" w:cs="Arial" w:eastAsia="Arial" w:hAnsi="Arial"/>
                  <w:sz w:val="16"/>
                  <w:szCs w:val="16"/>
                  <w:color w:val="0000FF"/>
                  <w:w w:val="89"/>
                </w:rPr>
                <w:t>Delaware Trust Company (as successor in interest to Law Debenture</w:t>
              </w:r>
            </w:hyperlink>
          </w:p>
        </w:tc>
        <w:tc>
          <w:tcPr>
            <w:tcW w:w="60" w:type="dxa"/>
            <w:vAlign w:val="bottom"/>
            <w:gridSpan w:val="3"/>
          </w:tcPr>
          <w:p>
            <w:pPr>
              <w:spacing w:after="0"/>
              <w:rPr>
                <w:sz w:val="12"/>
                <w:szCs w:val="12"/>
                <w:color w:val="auto"/>
              </w:rPr>
            </w:pPr>
          </w:p>
        </w:tc>
        <w:tc>
          <w:tcPr>
            <w:tcW w:w="540" w:type="dxa"/>
            <w:vAlign w:val="bottom"/>
            <w:gridSpan w:val="17"/>
          </w:tcPr>
          <w:p>
            <w:pPr>
              <w:ind w:left="20"/>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Company of New York).</w:t>
              </w:r>
            </w:hyperlink>
          </w:p>
        </w:tc>
        <w:tc>
          <w:tcPr>
            <w:tcW w:w="1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4.57</w:t>
            </w:r>
          </w:p>
        </w:tc>
        <w:tc>
          <w:tcPr>
            <w:tcW w:w="5020" w:type="dxa"/>
            <w:vAlign w:val="bottom"/>
            <w:gridSpan w:val="27"/>
          </w:tcPr>
          <w:p>
            <w:pPr>
              <w:spacing w:after="0"/>
              <w:rPr>
                <w:rFonts w:ascii="Arial" w:cs="Arial" w:eastAsia="Arial" w:hAnsi="Arial"/>
                <w:sz w:val="16"/>
                <w:szCs w:val="16"/>
                <w:color w:val="0000FF"/>
                <w:w w:val="94"/>
              </w:rPr>
            </w:pPr>
            <w:hyperlink r:id="rId266">
              <w:r>
                <w:rPr>
                  <w:rFonts w:ascii="Arial" w:cs="Arial" w:eastAsia="Arial" w:hAnsi="Arial"/>
                  <w:sz w:val="16"/>
                  <w:szCs w:val="16"/>
                  <w:color w:val="0000FF"/>
                  <w:w w:val="94"/>
                </w:rPr>
                <w:t>Eleventh Supplemental Indenture, dated as of December 23,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00" w:type="dxa"/>
            <w:vAlign w:val="bottom"/>
            <w:tcBorders>
              <w:top w:val="single" w:sz="8" w:color="0000FF"/>
            </w:tcBorders>
            <w:gridSpan w:val="20"/>
          </w:tcPr>
          <w:p>
            <w:pPr>
              <w:spacing w:after="0" w:line="142" w:lineRule="exact"/>
              <w:rPr>
                <w:rFonts w:ascii="Arial" w:cs="Arial" w:eastAsia="Arial" w:hAnsi="Arial"/>
                <w:sz w:val="16"/>
                <w:szCs w:val="16"/>
                <w:color w:val="0000FF"/>
                <w:w w:val="99"/>
              </w:rPr>
            </w:pPr>
            <w:hyperlink r:id="rId266">
              <w:r>
                <w:rPr>
                  <w:rFonts w:ascii="Arial" w:cs="Arial" w:eastAsia="Arial" w:hAnsi="Arial"/>
                  <w:sz w:val="16"/>
                  <w:szCs w:val="16"/>
                  <w:color w:val="0000FF"/>
                  <w:w w:val="99"/>
                </w:rPr>
                <w:t>Clearway Energy Operating LLC, the guarantors named therein and</w:t>
              </w:r>
            </w:hyperlink>
          </w:p>
        </w:tc>
        <w:tc>
          <w:tcPr>
            <w:tcW w:w="22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66">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4.58</w:t>
            </w:r>
          </w:p>
        </w:tc>
        <w:tc>
          <w:tcPr>
            <w:tcW w:w="5020" w:type="dxa"/>
            <w:vAlign w:val="bottom"/>
            <w:gridSpan w:val="27"/>
          </w:tcPr>
          <w:p>
            <w:pPr>
              <w:spacing w:after="0"/>
              <w:rPr>
                <w:rFonts w:ascii="Arial" w:cs="Arial" w:eastAsia="Arial" w:hAnsi="Arial"/>
                <w:sz w:val="16"/>
                <w:szCs w:val="16"/>
                <w:color w:val="0000FF"/>
                <w:w w:val="95"/>
              </w:rPr>
            </w:pPr>
            <w:hyperlink r:id="rId267">
              <w:r>
                <w:rPr>
                  <w:rFonts w:ascii="Arial" w:cs="Arial" w:eastAsia="Arial" w:hAnsi="Arial"/>
                  <w:sz w:val="16"/>
                  <w:szCs w:val="16"/>
                  <w:color w:val="0000FF"/>
                  <w:w w:val="95"/>
                </w:rPr>
                <w:t>Seventh Supplemental Indenture, dated as of December 23,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20" w:type="dxa"/>
            <w:vAlign w:val="bottom"/>
            <w:tcBorders>
              <w:top w:val="single" w:sz="8" w:color="0000FF"/>
            </w:tcBorders>
            <w:gridSpan w:val="18"/>
          </w:tcPr>
          <w:p>
            <w:pPr>
              <w:spacing w:after="0" w:line="142" w:lineRule="exact"/>
              <w:rPr>
                <w:rFonts w:ascii="Arial" w:cs="Arial" w:eastAsia="Arial" w:hAnsi="Arial"/>
                <w:sz w:val="16"/>
                <w:szCs w:val="16"/>
                <w:color w:val="0000FF"/>
                <w:w w:val="97"/>
              </w:rPr>
            </w:pPr>
            <w:hyperlink r:id="rId267">
              <w:r>
                <w:rPr>
                  <w:rFonts w:ascii="Arial" w:cs="Arial" w:eastAsia="Arial" w:hAnsi="Arial"/>
                  <w:sz w:val="16"/>
                  <w:szCs w:val="16"/>
                  <w:color w:val="0000FF"/>
                  <w:w w:val="97"/>
                </w:rPr>
                <w:t>Clearway Energy Operating LLC, the guarantors named therein and</w:t>
              </w:r>
            </w:hyperlink>
          </w:p>
        </w:tc>
        <w:tc>
          <w:tcPr>
            <w:tcW w:w="30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67">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3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4.59</w:t>
            </w:r>
          </w:p>
        </w:tc>
        <w:tc>
          <w:tcPr>
            <w:tcW w:w="5020" w:type="dxa"/>
            <w:vAlign w:val="bottom"/>
            <w:gridSpan w:val="27"/>
          </w:tcPr>
          <w:p>
            <w:pPr>
              <w:spacing w:after="0"/>
              <w:rPr>
                <w:rFonts w:ascii="Arial" w:cs="Arial" w:eastAsia="Arial" w:hAnsi="Arial"/>
                <w:sz w:val="16"/>
                <w:szCs w:val="16"/>
                <w:color w:val="0000FF"/>
                <w:w w:val="97"/>
              </w:rPr>
            </w:pPr>
            <w:hyperlink r:id="rId268">
              <w:r>
                <w:rPr>
                  <w:rFonts w:ascii="Arial" w:cs="Arial" w:eastAsia="Arial" w:hAnsi="Arial"/>
                  <w:sz w:val="16"/>
                  <w:szCs w:val="16"/>
                  <w:color w:val="0000FF"/>
                  <w:w w:val="97"/>
                </w:rPr>
                <w:t>Sixteenth Supplemental Indenture, dated as of February 3, 2021,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60" w:type="dxa"/>
            <w:vAlign w:val="bottom"/>
            <w:tcBorders>
              <w:top w:val="single" w:sz="8" w:color="0000FF"/>
            </w:tcBorders>
            <w:gridSpan w:val="17"/>
          </w:tcPr>
          <w:p>
            <w:pPr>
              <w:spacing w:after="0" w:line="142" w:lineRule="exact"/>
              <w:rPr>
                <w:rFonts w:ascii="Arial" w:cs="Arial" w:eastAsia="Arial" w:hAnsi="Arial"/>
                <w:sz w:val="16"/>
                <w:szCs w:val="16"/>
                <w:color w:val="0000FF"/>
                <w:w w:val="96"/>
              </w:rPr>
            </w:pPr>
            <w:hyperlink r:id="rId268">
              <w:r>
                <w:rPr>
                  <w:rFonts w:ascii="Arial" w:cs="Arial" w:eastAsia="Arial" w:hAnsi="Arial"/>
                  <w:sz w:val="16"/>
                  <w:szCs w:val="16"/>
                  <w:color w:val="0000FF"/>
                  <w:w w:val="96"/>
                </w:rPr>
                <w:t>Clearway Energy Operating LLC, the guarantors named therein and</w:t>
              </w:r>
            </w:hyperlink>
          </w:p>
        </w:tc>
        <w:tc>
          <w:tcPr>
            <w:tcW w:w="3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Arial" w:cs="Arial" w:eastAsia="Arial" w:hAnsi="Arial"/>
                <w:sz w:val="16"/>
                <w:szCs w:val="16"/>
                <w:color w:val="0000FF"/>
                <w:w w:val="89"/>
              </w:rPr>
            </w:pPr>
            <w:hyperlink r:id="rId268">
              <w:r>
                <w:rPr>
                  <w:rFonts w:ascii="Arial" w:cs="Arial" w:eastAsia="Arial" w:hAnsi="Arial"/>
                  <w:sz w:val="16"/>
                  <w:szCs w:val="16"/>
                  <w:color w:val="0000FF"/>
                  <w:w w:val="89"/>
                </w:rPr>
                <w:t>Delaware Trust Company (as successor in interest to Law Debenture</w:t>
              </w:r>
            </w:hyperlink>
          </w:p>
        </w:tc>
        <w:tc>
          <w:tcPr>
            <w:tcW w:w="60" w:type="dxa"/>
            <w:vAlign w:val="bottom"/>
            <w:gridSpan w:val="3"/>
          </w:tcPr>
          <w:p>
            <w:pPr>
              <w:spacing w:after="0"/>
              <w:rPr>
                <w:sz w:val="12"/>
                <w:szCs w:val="12"/>
                <w:color w:val="auto"/>
              </w:rPr>
            </w:pPr>
          </w:p>
        </w:tc>
        <w:tc>
          <w:tcPr>
            <w:tcW w:w="540" w:type="dxa"/>
            <w:vAlign w:val="bottom"/>
            <w:gridSpan w:val="17"/>
          </w:tcPr>
          <w:p>
            <w:pPr>
              <w:ind w:left="20"/>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Company of New York).</w:t>
              </w:r>
            </w:hyperlink>
          </w:p>
        </w:tc>
        <w:tc>
          <w:tcPr>
            <w:tcW w:w="1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4.60</w:t>
            </w:r>
          </w:p>
        </w:tc>
        <w:tc>
          <w:tcPr>
            <w:tcW w:w="5020" w:type="dxa"/>
            <w:vAlign w:val="bottom"/>
            <w:gridSpan w:val="27"/>
          </w:tcPr>
          <w:p>
            <w:pPr>
              <w:spacing w:after="0"/>
              <w:rPr>
                <w:rFonts w:ascii="Arial" w:cs="Arial" w:eastAsia="Arial" w:hAnsi="Arial"/>
                <w:sz w:val="16"/>
                <w:szCs w:val="16"/>
                <w:color w:val="0000FF"/>
              </w:rPr>
            </w:pPr>
            <w:hyperlink r:id="rId269">
              <w:r>
                <w:rPr>
                  <w:rFonts w:ascii="Arial" w:cs="Arial" w:eastAsia="Arial" w:hAnsi="Arial"/>
                  <w:sz w:val="16"/>
                  <w:szCs w:val="16"/>
                  <w:color w:val="0000FF"/>
                </w:rPr>
                <w:t>Twelfth Supplemental Indenture, dated as of February 3, 2021,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60" w:type="dxa"/>
            <w:vAlign w:val="bottom"/>
            <w:tcBorders>
              <w:top w:val="single" w:sz="8" w:color="0000FF"/>
            </w:tcBorders>
            <w:gridSpan w:val="14"/>
          </w:tcPr>
          <w:p>
            <w:pPr>
              <w:spacing w:after="0" w:line="142" w:lineRule="exact"/>
              <w:rPr>
                <w:rFonts w:ascii="Arial" w:cs="Arial" w:eastAsia="Arial" w:hAnsi="Arial"/>
                <w:sz w:val="16"/>
                <w:szCs w:val="16"/>
                <w:color w:val="0000FF"/>
                <w:w w:val="94"/>
              </w:rPr>
            </w:pPr>
            <w:hyperlink r:id="rId269">
              <w:r>
                <w:rPr>
                  <w:rFonts w:ascii="Arial" w:cs="Arial" w:eastAsia="Arial" w:hAnsi="Arial"/>
                  <w:sz w:val="16"/>
                  <w:szCs w:val="16"/>
                  <w:color w:val="0000FF"/>
                  <w:w w:val="94"/>
                </w:rPr>
                <w:t>Clearway Energy Operating LLC, the guarantors named therein and</w:t>
              </w:r>
            </w:hyperlink>
          </w:p>
        </w:tc>
        <w:tc>
          <w:tcPr>
            <w:tcW w:w="4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69">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5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4.61</w:t>
            </w:r>
          </w:p>
        </w:tc>
        <w:tc>
          <w:tcPr>
            <w:tcW w:w="5020" w:type="dxa"/>
            <w:vAlign w:val="bottom"/>
            <w:gridSpan w:val="27"/>
          </w:tcPr>
          <w:p>
            <w:pPr>
              <w:spacing w:after="0"/>
              <w:rPr>
                <w:rFonts w:ascii="Arial" w:cs="Arial" w:eastAsia="Arial" w:hAnsi="Arial"/>
                <w:sz w:val="16"/>
                <w:szCs w:val="16"/>
                <w:color w:val="0000FF"/>
              </w:rPr>
            </w:pPr>
            <w:hyperlink r:id="rId270">
              <w:r>
                <w:rPr>
                  <w:rFonts w:ascii="Arial" w:cs="Arial" w:eastAsia="Arial" w:hAnsi="Arial"/>
                  <w:sz w:val="16"/>
                  <w:szCs w:val="16"/>
                  <w:color w:val="0000FF"/>
                </w:rPr>
                <w:t>Eighth Supplemental Indenture, dated as of February 3, 2021,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80" w:type="dxa"/>
            <w:vAlign w:val="bottom"/>
            <w:tcBorders>
              <w:top w:val="single" w:sz="8" w:color="0000FF"/>
            </w:tcBorders>
            <w:gridSpan w:val="10"/>
          </w:tcPr>
          <w:p>
            <w:pPr>
              <w:spacing w:after="0" w:line="142" w:lineRule="exact"/>
              <w:rPr>
                <w:rFonts w:ascii="Arial" w:cs="Arial" w:eastAsia="Arial" w:hAnsi="Arial"/>
                <w:sz w:val="16"/>
                <w:szCs w:val="16"/>
                <w:color w:val="0000FF"/>
                <w:w w:val="92"/>
              </w:rPr>
            </w:pPr>
            <w:hyperlink r:id="rId270">
              <w:r>
                <w:rPr>
                  <w:rFonts w:ascii="Arial" w:cs="Arial" w:eastAsia="Arial" w:hAnsi="Arial"/>
                  <w:sz w:val="16"/>
                  <w:szCs w:val="16"/>
                  <w:color w:val="0000FF"/>
                  <w:w w:val="92"/>
                </w:rPr>
                <w:t>Clearway Energy Operating LLC, the guarantors named therein and</w:t>
              </w:r>
            </w:hyperlink>
          </w:p>
        </w:tc>
        <w:tc>
          <w:tcPr>
            <w:tcW w:w="5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70">
              <w:r>
                <w:rPr>
                  <w:rFonts w:ascii="Arial" w:cs="Arial" w:eastAsia="Arial" w:hAnsi="Arial"/>
                  <w:sz w:val="16"/>
                  <w:szCs w:val="16"/>
                  <w:color w:val="0000FF"/>
                  <w:w w:val="90"/>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62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0" w:type="dxa"/>
            <w:vAlign w:val="bottom"/>
          </w:tcPr>
          <w:p>
            <w:pPr>
              <w:jc w:val="right"/>
              <w:ind w:right="539"/>
              <w:spacing w:after="0"/>
              <w:rPr>
                <w:sz w:val="20"/>
                <w:szCs w:val="20"/>
                <w:color w:val="auto"/>
              </w:rPr>
            </w:pPr>
            <w:r>
              <w:rPr>
                <w:rFonts w:ascii="Arial" w:cs="Arial" w:eastAsia="Arial" w:hAnsi="Arial"/>
                <w:sz w:val="16"/>
                <w:szCs w:val="16"/>
                <w:color w:val="auto"/>
                <w:w w:val="83"/>
              </w:rPr>
              <w:t>10.1</w:t>
            </w:r>
          </w:p>
        </w:tc>
        <w:tc>
          <w:tcPr>
            <w:tcW w:w="4760" w:type="dxa"/>
            <w:vAlign w:val="bottom"/>
            <w:gridSpan w:val="2"/>
            <w:vMerge w:val="restart"/>
          </w:tcPr>
          <w:p>
            <w:pPr>
              <w:spacing w:after="0"/>
              <w:rPr>
                <w:rFonts w:ascii="Arial" w:cs="Arial" w:eastAsia="Arial" w:hAnsi="Arial"/>
                <w:sz w:val="16"/>
                <w:szCs w:val="16"/>
                <w:color w:val="0000FF"/>
                <w:w w:val="92"/>
              </w:rPr>
            </w:pPr>
            <w:hyperlink r:id="rId271">
              <w:r>
                <w:rPr>
                  <w:rFonts w:ascii="Arial" w:cs="Arial" w:eastAsia="Arial" w:hAnsi="Arial"/>
                  <w:sz w:val="16"/>
                  <w:szCs w:val="16"/>
                  <w:color w:val="0000FF"/>
                  <w:w w:val="92"/>
                </w:rPr>
                <w:t>Third Amended and Restated Right of First Offer Agreement, dated as of</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4740" w:type="dxa"/>
            <w:vAlign w:val="bottom"/>
            <w:tcBorders>
              <w:top w:val="single" w:sz="8" w:color="0000FF"/>
            </w:tcBorders>
          </w:tcPr>
          <w:p>
            <w:pPr>
              <w:spacing w:after="0"/>
              <w:rPr>
                <w:rFonts w:ascii="Arial" w:cs="Arial" w:eastAsia="Arial" w:hAnsi="Arial"/>
                <w:sz w:val="16"/>
                <w:szCs w:val="16"/>
                <w:u w:val="single" w:color="auto"/>
                <w:color w:val="0000FF"/>
                <w:w w:val="91"/>
              </w:rPr>
            </w:pPr>
            <w:hyperlink r:id="rId271">
              <w:r>
                <w:rPr>
                  <w:rFonts w:ascii="Arial" w:cs="Arial" w:eastAsia="Arial" w:hAnsi="Arial"/>
                  <w:sz w:val="16"/>
                  <w:szCs w:val="16"/>
                  <w:u w:val="single" w:color="auto"/>
                  <w:color w:val="0000FF"/>
                  <w:w w:val="91"/>
                </w:rPr>
                <w:t>August 31, 2018, by and between NRG Yield, Inc. and NRG Energy,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3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March 3, 2020.</w:t>
      </w:r>
    </w:p>
    <w:p>
      <w:pPr>
        <w:spacing w:after="0" w:line="11" w:lineRule="exact"/>
        <w:rPr>
          <w:sz w:val="20"/>
          <w:szCs w:val="20"/>
          <w:color w:val="auto"/>
        </w:rPr>
      </w:pPr>
    </w:p>
    <w:p>
      <w:pPr>
        <w:jc w:val="both"/>
        <w:ind w:right="59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July 21, 2020.</w:t>
      </w:r>
    </w:p>
    <w:p>
      <w:pPr>
        <w:spacing w:after="0" w:line="173" w:lineRule="exact"/>
        <w:rPr>
          <w:sz w:val="20"/>
          <w:szCs w:val="20"/>
          <w:color w:val="auto"/>
        </w:rPr>
      </w:pPr>
    </w:p>
    <w:p>
      <w:pPr>
        <w:ind w:right="37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July 21, 2020.</w:t>
      </w:r>
    </w:p>
    <w:p>
      <w:pPr>
        <w:spacing w:after="0" w:line="11" w:lineRule="exact"/>
        <w:rPr>
          <w:sz w:val="20"/>
          <w:szCs w:val="20"/>
          <w:color w:val="auto"/>
        </w:rPr>
      </w:pPr>
    </w:p>
    <w:p>
      <w:pPr>
        <w:ind w:right="37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July 21, 2020.</w:t>
      </w:r>
    </w:p>
    <w:p>
      <w:pPr>
        <w:spacing w:after="0" w:line="173" w:lineRule="exact"/>
        <w:rPr>
          <w:sz w:val="20"/>
          <w:szCs w:val="20"/>
          <w:color w:val="auto"/>
        </w:rPr>
      </w:pPr>
    </w:p>
    <w:p>
      <w:pPr>
        <w:ind w:right="41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August 20, 2020.</w:t>
      </w:r>
    </w:p>
    <w:p>
      <w:pPr>
        <w:spacing w:after="0" w:line="11" w:lineRule="exact"/>
        <w:rPr>
          <w:sz w:val="20"/>
          <w:szCs w:val="20"/>
          <w:color w:val="auto"/>
        </w:rPr>
      </w:pPr>
    </w:p>
    <w:p>
      <w:pPr>
        <w:ind w:right="41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August 20, 2020.</w:t>
      </w:r>
    </w:p>
    <w:p>
      <w:pPr>
        <w:spacing w:after="0" w:line="11" w:lineRule="exact"/>
        <w:rPr>
          <w:sz w:val="20"/>
          <w:szCs w:val="20"/>
          <w:color w:val="auto"/>
        </w:rPr>
      </w:pPr>
    </w:p>
    <w:p>
      <w:pPr>
        <w:ind w:right="41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August 20, 2020.</w:t>
      </w:r>
    </w:p>
    <w:p>
      <w:pPr>
        <w:spacing w:after="0" w:line="173"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November 19, 2020.</w:t>
      </w:r>
    </w:p>
    <w:p>
      <w:pPr>
        <w:spacing w:after="0" w:line="11"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November 19, 2020.</w:t>
      </w:r>
    </w:p>
    <w:p>
      <w:pPr>
        <w:spacing w:after="0" w:line="11"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November 19, 2020.</w:t>
      </w:r>
    </w:p>
    <w:p>
      <w:pPr>
        <w:spacing w:after="0" w:line="173"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4, 2020.</w:t>
      </w:r>
    </w:p>
    <w:p>
      <w:pPr>
        <w:spacing w:after="0" w:line="11"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December 4, 2020.</w:t>
      </w:r>
    </w:p>
    <w:p>
      <w:pPr>
        <w:spacing w:after="0" w:line="11"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4, 2020.</w:t>
      </w:r>
    </w:p>
    <w:p>
      <w:pPr>
        <w:spacing w:after="0" w:line="173"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29, 2020.</w:t>
      </w:r>
    </w:p>
    <w:p>
      <w:pPr>
        <w:spacing w:after="0" w:line="11"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December 29, 2020.</w:t>
      </w:r>
    </w:p>
    <w:p>
      <w:pPr>
        <w:spacing w:after="0" w:line="11"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29, 2020.</w:t>
      </w:r>
    </w:p>
    <w:p>
      <w:pPr>
        <w:spacing w:after="0" w:line="173"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4.1 to the Company's Current Report on Form 8-K filed on February 5, 2021.</w:t>
      </w:r>
    </w:p>
    <w:p>
      <w:pPr>
        <w:spacing w:after="0" w:line="11"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4.2 to the Company's Current Report on Form 8-K filed on February 5, 2021.</w:t>
      </w:r>
    </w:p>
    <w:p>
      <w:pPr>
        <w:spacing w:after="0" w:line="11" w:lineRule="exact"/>
        <w:rPr>
          <w:sz w:val="20"/>
          <w:szCs w:val="20"/>
          <w:color w:val="auto"/>
        </w:rPr>
      </w:pPr>
    </w:p>
    <w:p>
      <w:pPr>
        <w:ind w:right="639"/>
        <w:spacing w:after="0" w:line="230" w:lineRule="auto"/>
        <w:rPr>
          <w:sz w:val="20"/>
          <w:szCs w:val="20"/>
          <w:color w:val="auto"/>
        </w:rPr>
      </w:pPr>
      <w:r>
        <w:rPr>
          <w:rFonts w:ascii="Arial" w:cs="Arial" w:eastAsia="Arial" w:hAnsi="Arial"/>
          <w:sz w:val="16"/>
          <w:szCs w:val="16"/>
          <w:color w:val="auto"/>
        </w:rPr>
        <w:t>Incorporated herein by reference to Exhibit 4.3 to the Company's Current Report on Form 8-K filed on February 5, 2021.</w:t>
      </w:r>
    </w:p>
    <w:p>
      <w:pPr>
        <w:spacing w:after="0" w:line="106" w:lineRule="exact"/>
        <w:rPr>
          <w:sz w:val="20"/>
          <w:szCs w:val="20"/>
          <w:color w:val="auto"/>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10.5 to Clearway Energy, Inc.'s Current Report on Form 8-K filed on September 5, 2018.</w:t>
      </w:r>
    </w:p>
    <w:p>
      <w:pPr>
        <w:spacing w:after="0" w:line="200" w:lineRule="exact"/>
        <w:rPr>
          <w:sz w:val="20"/>
          <w:szCs w:val="20"/>
          <w:color w:val="auto"/>
        </w:rPr>
      </w:pPr>
    </w:p>
    <w:p>
      <w:pPr>
        <w:sectPr>
          <w:pgSz w:w="11900" w:h="16838" w:orient="portrait"/>
          <w:cols w:equalWidth="0" w:num="2">
            <w:col w:w="5900" w:space="120"/>
            <w:col w:w="4099"/>
          </w:cols>
          <w:pgMar w:left="340" w:top="928"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28" w:right="1440" w:bottom="144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06"/>
        </w:trPr>
        <w:tc>
          <w:tcPr>
            <w:tcW w:w="900" w:type="dxa"/>
            <w:vAlign w:val="bottom"/>
          </w:tcPr>
          <w:p>
            <w:pPr>
              <w:spacing w:after="0"/>
              <w:rPr>
                <w:sz w:val="20"/>
                <w:szCs w:val="20"/>
                <w:color w:val="auto"/>
              </w:rPr>
            </w:pPr>
            <w:r>
              <w:rPr>
                <w:rFonts w:ascii="Arial" w:cs="Arial" w:eastAsia="Arial" w:hAnsi="Arial"/>
                <w:sz w:val="16"/>
                <w:szCs w:val="16"/>
                <w:color w:val="auto"/>
              </w:rPr>
              <w:t>10.2.1</w:t>
            </w:r>
          </w:p>
        </w:tc>
        <w:tc>
          <w:tcPr>
            <w:tcW w:w="5000" w:type="dxa"/>
            <w:vAlign w:val="bottom"/>
            <w:gridSpan w:val="28"/>
            <w:vMerge w:val="restart"/>
          </w:tcPr>
          <w:p>
            <w:pPr>
              <w:spacing w:after="0"/>
              <w:rPr>
                <w:rFonts w:ascii="Arial" w:cs="Arial" w:eastAsia="Arial" w:hAnsi="Arial"/>
                <w:sz w:val="16"/>
                <w:szCs w:val="16"/>
                <w:color w:val="0000FF"/>
                <w:w w:val="93"/>
              </w:rPr>
            </w:pPr>
            <w:hyperlink r:id="rId273">
              <w:r>
                <w:rPr>
                  <w:rFonts w:ascii="Arial" w:cs="Arial" w:eastAsia="Arial" w:hAnsi="Arial"/>
                  <w:sz w:val="16"/>
                  <w:szCs w:val="16"/>
                  <w:color w:val="0000FF"/>
                  <w:w w:val="93"/>
                </w:rPr>
                <w:t>Right of First Offer Agreement, dated as of August 31, 2018, by and among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0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NRG Yield, Inc., Zephyr Renewables LLC and solely for purposes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2"/>
              </w:rPr>
            </w:pPr>
            <w:hyperlink r:id="rId273">
              <w:r>
                <w:rPr>
                  <w:rFonts w:ascii="Arial" w:cs="Arial" w:eastAsia="Arial" w:hAnsi="Arial"/>
                  <w:sz w:val="16"/>
                  <w:szCs w:val="16"/>
                  <w:color w:val="0000FF"/>
                  <w:w w:val="92"/>
                </w:rPr>
                <w:t>Section 2.4, GIP III Zephyr Acquisition Partners, L.P.</w:t>
              </w:r>
            </w:hyperlink>
          </w:p>
        </w:tc>
        <w:tc>
          <w:tcPr>
            <w:tcW w:w="1020" w:type="dxa"/>
            <w:vAlign w:val="bottom"/>
            <w:tcBorders>
              <w:top w:val="single" w:sz="8" w:color="0000FF"/>
            </w:tcBorders>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10.2.2</w:t>
            </w:r>
          </w:p>
        </w:tc>
        <w:tc>
          <w:tcPr>
            <w:tcW w:w="4680" w:type="dxa"/>
            <w:vAlign w:val="bottom"/>
            <w:tcBorders>
              <w:bottom w:val="single" w:sz="8" w:color="0000FF"/>
            </w:tcBorders>
            <w:gridSpan w:val="13"/>
          </w:tcPr>
          <w:p>
            <w:pPr>
              <w:spacing w:after="0"/>
              <w:rPr>
                <w:rFonts w:ascii="Arial" w:cs="Arial" w:eastAsia="Arial" w:hAnsi="Arial"/>
                <w:sz w:val="16"/>
                <w:szCs w:val="16"/>
                <w:color w:val="0000FF"/>
                <w:w w:val="92"/>
              </w:rPr>
            </w:pPr>
            <w:hyperlink r:id="rId274">
              <w:r>
                <w:rPr>
                  <w:rFonts w:ascii="Arial" w:cs="Arial" w:eastAsia="Arial" w:hAnsi="Arial"/>
                  <w:sz w:val="16"/>
                  <w:szCs w:val="16"/>
                  <w:color w:val="0000FF"/>
                  <w:w w:val="92"/>
                </w:rPr>
                <w:t>First Amendment to Right of First Offer Agreement, dated February 14,</w:t>
              </w:r>
            </w:hyperlink>
          </w:p>
        </w:tc>
        <w:tc>
          <w:tcPr>
            <w:tcW w:w="3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gridSpan w:val="28"/>
          </w:tcPr>
          <w:p>
            <w:pPr>
              <w:spacing w:after="0" w:line="142" w:lineRule="exact"/>
              <w:rPr>
                <w:rFonts w:ascii="Arial" w:cs="Arial" w:eastAsia="Arial" w:hAnsi="Arial"/>
                <w:sz w:val="16"/>
                <w:szCs w:val="16"/>
                <w:color w:val="0000FF"/>
                <w:w w:val="94"/>
              </w:rPr>
            </w:pPr>
            <w:hyperlink r:id="rId274">
              <w:r>
                <w:rPr>
                  <w:rFonts w:ascii="Arial" w:cs="Arial" w:eastAsia="Arial" w:hAnsi="Arial"/>
                  <w:sz w:val="16"/>
                  <w:szCs w:val="16"/>
                  <w:color w:val="0000FF"/>
                  <w:w w:val="94"/>
                </w:rPr>
                <w:t>2019, by and between Clearway Energy Group LLC and Clearway Energy,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74">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00" w:type="dxa"/>
            <w:vAlign w:val="bottom"/>
          </w:tcPr>
          <w:p>
            <w:pPr>
              <w:spacing w:after="0"/>
              <w:rPr>
                <w:sz w:val="20"/>
                <w:szCs w:val="20"/>
                <w:color w:val="auto"/>
              </w:rPr>
            </w:pPr>
            <w:r>
              <w:rPr>
                <w:rFonts w:ascii="Arial" w:cs="Arial" w:eastAsia="Arial" w:hAnsi="Arial"/>
                <w:sz w:val="16"/>
                <w:szCs w:val="16"/>
                <w:color w:val="auto"/>
              </w:rPr>
              <w:t>10.2.3</w:t>
            </w:r>
          </w:p>
        </w:tc>
        <w:tc>
          <w:tcPr>
            <w:tcW w:w="4680" w:type="dxa"/>
            <w:vAlign w:val="bottom"/>
            <w:tcBorders>
              <w:bottom w:val="single" w:sz="8" w:color="0000FF"/>
            </w:tcBorders>
            <w:gridSpan w:val="13"/>
          </w:tcPr>
          <w:p>
            <w:pPr>
              <w:spacing w:after="0"/>
              <w:rPr>
                <w:rFonts w:ascii="Arial" w:cs="Arial" w:eastAsia="Arial" w:hAnsi="Arial"/>
                <w:sz w:val="16"/>
                <w:szCs w:val="16"/>
                <w:color w:val="0000FF"/>
                <w:w w:val="92"/>
              </w:rPr>
            </w:pPr>
            <w:hyperlink r:id="rId275">
              <w:r>
                <w:rPr>
                  <w:rFonts w:ascii="Arial" w:cs="Arial" w:eastAsia="Arial" w:hAnsi="Arial"/>
                  <w:sz w:val="16"/>
                  <w:szCs w:val="16"/>
                  <w:color w:val="0000FF"/>
                  <w:w w:val="92"/>
                </w:rPr>
                <w:t>Second Amendment to Right of First Offer Agreement, dated August 1,</w:t>
              </w:r>
            </w:hyperlink>
          </w:p>
        </w:tc>
        <w:tc>
          <w:tcPr>
            <w:tcW w:w="3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gridSpan w:val="28"/>
          </w:tcPr>
          <w:p>
            <w:pPr>
              <w:spacing w:after="0" w:line="142" w:lineRule="exact"/>
              <w:rPr>
                <w:rFonts w:ascii="Arial" w:cs="Arial" w:eastAsia="Arial" w:hAnsi="Arial"/>
                <w:sz w:val="16"/>
                <w:szCs w:val="16"/>
                <w:color w:val="0000FF"/>
                <w:w w:val="94"/>
              </w:rPr>
            </w:pPr>
            <w:hyperlink r:id="rId275">
              <w:r>
                <w:rPr>
                  <w:rFonts w:ascii="Arial" w:cs="Arial" w:eastAsia="Arial" w:hAnsi="Arial"/>
                  <w:sz w:val="16"/>
                  <w:szCs w:val="16"/>
                  <w:color w:val="0000FF"/>
                  <w:w w:val="94"/>
                </w:rPr>
                <w:t>2019, by and between Clearway Energy Group LLC and Clearway Energy,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color w:val="auto"/>
              </w:rPr>
              <w:t>10.2.4</w:t>
            </w:r>
          </w:p>
        </w:tc>
        <w:tc>
          <w:tcPr>
            <w:tcW w:w="5000" w:type="dxa"/>
            <w:vAlign w:val="bottom"/>
            <w:gridSpan w:val="28"/>
          </w:tcPr>
          <w:p>
            <w:pPr>
              <w:spacing w:after="0"/>
              <w:rPr>
                <w:rFonts w:ascii="Arial" w:cs="Arial" w:eastAsia="Arial" w:hAnsi="Arial"/>
                <w:sz w:val="16"/>
                <w:szCs w:val="16"/>
                <w:color w:val="0000FF"/>
                <w:w w:val="94"/>
              </w:rPr>
            </w:pPr>
            <w:hyperlink r:id="rId276">
              <w:r>
                <w:rPr>
                  <w:rFonts w:ascii="Arial" w:cs="Arial" w:eastAsia="Arial" w:hAnsi="Arial"/>
                  <w:sz w:val="16"/>
                  <w:szCs w:val="16"/>
                  <w:color w:val="0000FF"/>
                  <w:w w:val="94"/>
                </w:rPr>
                <w:t>Third Amendment to Right of First Offer Agreement, dated as of December</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24"/>
          </w:tcPr>
          <w:p>
            <w:pPr>
              <w:spacing w:after="0" w:line="142" w:lineRule="exact"/>
              <w:rPr>
                <w:rFonts w:ascii="Arial" w:cs="Arial" w:eastAsia="Arial" w:hAnsi="Arial"/>
                <w:sz w:val="16"/>
                <w:szCs w:val="16"/>
                <w:color w:val="0000FF"/>
                <w:w w:val="94"/>
              </w:rPr>
            </w:pPr>
            <w:hyperlink r:id="rId276">
              <w:r>
                <w:rPr>
                  <w:rFonts w:ascii="Arial" w:cs="Arial" w:eastAsia="Arial" w:hAnsi="Arial"/>
                  <w:sz w:val="16"/>
                  <w:szCs w:val="16"/>
                  <w:color w:val="0000FF"/>
                  <w:w w:val="94"/>
                </w:rPr>
                <w:t>6, 2019, by and between Clearway Energy Group LLC, Clearway Energy,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3"/>
              </w:rPr>
            </w:pPr>
            <w:hyperlink r:id="rId276">
              <w:r>
                <w:rPr>
                  <w:rFonts w:ascii="Arial" w:cs="Arial" w:eastAsia="Arial" w:hAnsi="Arial"/>
                  <w:sz w:val="16"/>
                  <w:szCs w:val="16"/>
                  <w:color w:val="0000FF"/>
                  <w:w w:val="93"/>
                </w:rPr>
                <w:t>Inc. and GIP III Zephyr Acquisition Partners, L.P.</w:t>
              </w:r>
            </w:hyperlink>
          </w:p>
        </w:tc>
        <w:tc>
          <w:tcPr>
            <w:tcW w:w="154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900" w:type="dxa"/>
            <w:vAlign w:val="bottom"/>
          </w:tcPr>
          <w:p>
            <w:pPr>
              <w:spacing w:after="0"/>
              <w:rPr>
                <w:sz w:val="20"/>
                <w:szCs w:val="20"/>
                <w:color w:val="auto"/>
              </w:rPr>
            </w:pPr>
            <w:r>
              <w:rPr>
                <w:rFonts w:ascii="Arial" w:cs="Arial" w:eastAsia="Arial" w:hAnsi="Arial"/>
                <w:sz w:val="16"/>
                <w:szCs w:val="16"/>
                <w:color w:val="auto"/>
              </w:rPr>
              <w:t>10.3</w:t>
            </w:r>
          </w:p>
        </w:tc>
        <w:tc>
          <w:tcPr>
            <w:tcW w:w="4720" w:type="dxa"/>
            <w:vAlign w:val="bottom"/>
            <w:gridSpan w:val="15"/>
            <w:vMerge w:val="restart"/>
          </w:tcPr>
          <w:p>
            <w:pPr>
              <w:spacing w:after="0"/>
              <w:rPr>
                <w:rFonts w:ascii="Arial" w:cs="Arial" w:eastAsia="Arial" w:hAnsi="Arial"/>
                <w:sz w:val="16"/>
                <w:szCs w:val="16"/>
                <w:color w:val="0000FF"/>
                <w:w w:val="90"/>
              </w:rPr>
            </w:pPr>
            <w:hyperlink r:id="rId277">
              <w:r>
                <w:rPr>
                  <w:rFonts w:ascii="Arial" w:cs="Arial" w:eastAsia="Arial" w:hAnsi="Arial"/>
                  <w:sz w:val="16"/>
                  <w:szCs w:val="16"/>
                  <w:color w:val="0000FF"/>
                  <w:w w:val="90"/>
                </w:rPr>
                <w:t>Master Services Agreement, dated as of August 31, 2018, by and among</w:t>
              </w:r>
            </w:hyperlink>
          </w:p>
        </w:tc>
        <w:tc>
          <w:tcPr>
            <w:tcW w:w="280" w:type="dxa"/>
            <w:vAlign w:val="bottom"/>
            <w:gridSpan w:val="1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900" w:type="dxa"/>
            <w:vAlign w:val="bottom"/>
          </w:tcPr>
          <w:p>
            <w:pPr>
              <w:spacing w:after="0"/>
              <w:rPr>
                <w:sz w:val="5"/>
                <w:szCs w:val="5"/>
                <w:color w:val="auto"/>
              </w:rPr>
            </w:pPr>
          </w:p>
        </w:tc>
        <w:tc>
          <w:tcPr>
            <w:tcW w:w="4720" w:type="dxa"/>
            <w:vAlign w:val="bottom"/>
            <w:tcBorders>
              <w:bottom w:val="single" w:sz="8" w:color="0000FF"/>
            </w:tcBorders>
            <w:gridSpan w:val="15"/>
            <w:vMerge w:val="continue"/>
          </w:tcPr>
          <w:p>
            <w:pPr>
              <w:spacing w:after="0"/>
              <w:rPr>
                <w:sz w:val="5"/>
                <w:szCs w:val="5"/>
                <w:color w:val="auto"/>
              </w:rPr>
            </w:pPr>
          </w:p>
        </w:tc>
        <w:tc>
          <w:tcPr>
            <w:tcW w:w="28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gridSpan w:val="28"/>
          </w:tcPr>
          <w:p>
            <w:pPr>
              <w:spacing w:after="0" w:line="142" w:lineRule="exact"/>
              <w:rPr>
                <w:rFonts w:ascii="Arial" w:cs="Arial" w:eastAsia="Arial" w:hAnsi="Arial"/>
                <w:sz w:val="16"/>
                <w:szCs w:val="16"/>
                <w:color w:val="0000FF"/>
                <w:w w:val="98"/>
              </w:rPr>
            </w:pPr>
            <w:hyperlink r:id="rId277">
              <w:r>
                <w:rPr>
                  <w:rFonts w:ascii="Arial" w:cs="Arial" w:eastAsia="Arial" w:hAnsi="Arial"/>
                  <w:sz w:val="16"/>
                  <w:szCs w:val="16"/>
                  <w:color w:val="0000FF"/>
                  <w:w w:val="98"/>
                </w:rPr>
                <w:t>NRG Yield, Inc., NRG Yield LLC, NRG Yield Operating LLC and Zephyr</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Renewables LLC.</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00" w:type="dxa"/>
            <w:vAlign w:val="bottom"/>
            <w:vMerge w:val="continue"/>
          </w:tcPr>
          <w:p>
            <w:pPr>
              <w:spacing w:after="0"/>
              <w:rPr>
                <w:sz w:val="24"/>
                <w:szCs w:val="24"/>
                <w:color w:val="auto"/>
              </w:rPr>
            </w:pPr>
          </w:p>
        </w:tc>
        <w:tc>
          <w:tcPr>
            <w:tcW w:w="5000" w:type="dxa"/>
            <w:vAlign w:val="bottom"/>
            <w:gridSpan w:val="28"/>
            <w:vMerge w:val="restart"/>
          </w:tcPr>
          <w:p>
            <w:pPr>
              <w:spacing w:after="0"/>
              <w:rPr>
                <w:rFonts w:ascii="Arial" w:cs="Arial" w:eastAsia="Arial" w:hAnsi="Arial"/>
                <w:sz w:val="16"/>
                <w:szCs w:val="16"/>
                <w:color w:val="0000FF"/>
                <w:w w:val="96"/>
              </w:rPr>
            </w:pPr>
            <w:hyperlink r:id="rId278">
              <w:r>
                <w:rPr>
                  <w:rFonts w:ascii="Arial" w:cs="Arial" w:eastAsia="Arial" w:hAnsi="Arial"/>
                  <w:sz w:val="16"/>
                  <w:szCs w:val="16"/>
                  <w:color w:val="0000FF"/>
                  <w:w w:val="96"/>
                </w:rPr>
                <w:t>Master Services Agreement, dated as of August 31, 2018, by and among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0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00" w:type="dxa"/>
            <w:vAlign w:val="bottom"/>
            <w:tcBorders>
              <w:top w:val="single" w:sz="8" w:color="0000FF"/>
            </w:tcBorders>
            <w:gridSpan w:val="14"/>
          </w:tcPr>
          <w:p>
            <w:pPr>
              <w:spacing w:after="0" w:line="142" w:lineRule="exact"/>
              <w:rPr>
                <w:rFonts w:ascii="Arial" w:cs="Arial" w:eastAsia="Arial" w:hAnsi="Arial"/>
                <w:sz w:val="16"/>
                <w:szCs w:val="16"/>
                <w:color w:val="0000FF"/>
                <w:w w:val="95"/>
              </w:rPr>
            </w:pPr>
            <w:hyperlink r:id="rId278">
              <w:r>
                <w:rPr>
                  <w:rFonts w:ascii="Arial" w:cs="Arial" w:eastAsia="Arial" w:hAnsi="Arial"/>
                  <w:sz w:val="16"/>
                  <w:szCs w:val="16"/>
                  <w:color w:val="0000FF"/>
                  <w:w w:val="95"/>
                </w:rPr>
                <w:t>Zephyr Renewables LLC, NRG Yield, Inc., NRG Yield LLC, and NRG</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4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78">
              <w:r>
                <w:rPr>
                  <w:rFonts w:ascii="Arial" w:cs="Arial" w:eastAsia="Arial" w:hAnsi="Arial"/>
                  <w:sz w:val="16"/>
                  <w:szCs w:val="16"/>
                  <w:color w:val="0000FF"/>
                </w:rPr>
                <w:t>Yield Operating 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00" w:type="dxa"/>
            <w:vAlign w:val="bottom"/>
            <w:vMerge w:val="continue"/>
          </w:tcPr>
          <w:p>
            <w:pPr>
              <w:spacing w:after="0"/>
              <w:rPr>
                <w:sz w:val="24"/>
                <w:szCs w:val="24"/>
                <w:color w:val="auto"/>
              </w:rPr>
            </w:pPr>
          </w:p>
        </w:tc>
        <w:tc>
          <w:tcPr>
            <w:tcW w:w="5000" w:type="dxa"/>
            <w:vAlign w:val="bottom"/>
            <w:gridSpan w:val="28"/>
            <w:vMerge w:val="restart"/>
          </w:tcPr>
          <w:p>
            <w:pPr>
              <w:spacing w:after="0"/>
              <w:rPr>
                <w:rFonts w:ascii="Arial" w:cs="Arial" w:eastAsia="Arial" w:hAnsi="Arial"/>
                <w:sz w:val="16"/>
                <w:szCs w:val="16"/>
                <w:color w:val="0000FF"/>
                <w:w w:val="94"/>
              </w:rPr>
            </w:pPr>
            <w:hyperlink r:id="rId279">
              <w:r>
                <w:rPr>
                  <w:rFonts w:ascii="Arial" w:cs="Arial" w:eastAsia="Arial" w:hAnsi="Arial"/>
                  <w:sz w:val="16"/>
                  <w:szCs w:val="16"/>
                  <w:color w:val="0000FF"/>
                  <w:w w:val="94"/>
                </w:rPr>
                <w:t>Termination Agreement, dated as of August 31, 2018, by and among NRG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0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w w:val="94"/>
              </w:rPr>
            </w:pPr>
            <w:hyperlink r:id="rId279">
              <w:r>
                <w:rPr>
                  <w:rFonts w:ascii="Arial" w:cs="Arial" w:eastAsia="Arial" w:hAnsi="Arial"/>
                  <w:sz w:val="16"/>
                  <w:szCs w:val="16"/>
                  <w:color w:val="0000FF"/>
                  <w:w w:val="94"/>
                </w:rPr>
                <w:t>Yield, Inc., NRG Yield LLC, NRG Yield Operating LLC and NRG Energy,</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00" w:type="dxa"/>
            <w:vAlign w:val="bottom"/>
            <w:gridSpan w:val="23"/>
          </w:tcPr>
          <w:p>
            <w:pPr>
              <w:spacing w:after="0" w:line="142" w:lineRule="exact"/>
              <w:rPr>
                <w:rFonts w:ascii="Arial" w:cs="Arial" w:eastAsia="Arial" w:hAnsi="Arial"/>
                <w:sz w:val="16"/>
                <w:szCs w:val="16"/>
                <w:color w:val="0000FF"/>
              </w:rPr>
            </w:pPr>
            <w:hyperlink r:id="rId279">
              <w:r>
                <w:rPr>
                  <w:rFonts w:ascii="Arial" w:cs="Arial" w:eastAsia="Arial" w:hAnsi="Arial"/>
                  <w:sz w:val="16"/>
                  <w:szCs w:val="16"/>
                  <w:color w:val="0000FF"/>
                </w:rPr>
                <w:t>Inc.</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10.6.1</w:t>
            </w:r>
          </w:p>
        </w:tc>
        <w:tc>
          <w:tcPr>
            <w:tcW w:w="5000" w:type="dxa"/>
            <w:vAlign w:val="bottom"/>
            <w:gridSpan w:val="28"/>
          </w:tcPr>
          <w:p>
            <w:pPr>
              <w:spacing w:after="0"/>
              <w:rPr>
                <w:rFonts w:ascii="Arial" w:cs="Arial" w:eastAsia="Arial" w:hAnsi="Arial"/>
                <w:sz w:val="16"/>
                <w:szCs w:val="16"/>
                <w:color w:val="0000FF"/>
                <w:w w:val="98"/>
              </w:rPr>
            </w:pPr>
            <w:hyperlink r:id="rId280">
              <w:r>
                <w:rPr>
                  <w:rFonts w:ascii="Arial" w:cs="Arial" w:eastAsia="Arial" w:hAnsi="Arial"/>
                  <w:sz w:val="16"/>
                  <w:szCs w:val="16"/>
                  <w:color w:val="0000FF"/>
                  <w:w w:val="98"/>
                </w:rPr>
                <w:t>Amended and Restated Credit Agreement, dated April 25, 2014, by 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5"/>
              </w:rPr>
            </w:pPr>
            <w:hyperlink r:id="rId280">
              <w:r>
                <w:rPr>
                  <w:rFonts w:ascii="Arial" w:cs="Arial" w:eastAsia="Arial" w:hAnsi="Arial"/>
                  <w:sz w:val="16"/>
                  <w:szCs w:val="16"/>
                  <w:color w:val="0000FF"/>
                  <w:w w:val="95"/>
                </w:rPr>
                <w:t>among NRG Yield Operating LLC, NRG Yield LLC, Royal Bank of</w:t>
              </w:r>
            </w:hyperlink>
          </w:p>
        </w:tc>
        <w:tc>
          <w:tcPr>
            <w:tcW w:w="22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gridSpan w:val="28"/>
          </w:tcPr>
          <w:p>
            <w:pPr>
              <w:spacing w:after="0" w:line="142" w:lineRule="exact"/>
              <w:rPr>
                <w:rFonts w:ascii="Arial" w:cs="Arial" w:eastAsia="Arial" w:hAnsi="Arial"/>
                <w:sz w:val="16"/>
                <w:szCs w:val="16"/>
                <w:color w:val="0000FF"/>
                <w:w w:val="95"/>
              </w:rPr>
            </w:pPr>
            <w:hyperlink r:id="rId280">
              <w:r>
                <w:rPr>
                  <w:rFonts w:ascii="Arial" w:cs="Arial" w:eastAsia="Arial" w:hAnsi="Arial"/>
                  <w:sz w:val="16"/>
                  <w:szCs w:val="16"/>
                  <w:color w:val="0000FF"/>
                  <w:w w:val="95"/>
                </w:rPr>
                <w:t>Canada, as Administrative Agent, the lenders party thereto, Royal Bank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9"/>
          </w:tcPr>
          <w:p>
            <w:pPr>
              <w:spacing w:after="0" w:line="142" w:lineRule="exact"/>
              <w:rPr>
                <w:rFonts w:ascii="Arial" w:cs="Arial" w:eastAsia="Arial" w:hAnsi="Arial"/>
                <w:sz w:val="16"/>
                <w:szCs w:val="16"/>
                <w:color w:val="0000FF"/>
                <w:w w:val="95"/>
              </w:rPr>
            </w:pPr>
            <w:hyperlink r:id="rId280">
              <w:r>
                <w:rPr>
                  <w:rFonts w:ascii="Arial" w:cs="Arial" w:eastAsia="Arial" w:hAnsi="Arial"/>
                  <w:sz w:val="16"/>
                  <w:szCs w:val="16"/>
                  <w:color w:val="0000FF"/>
                  <w:w w:val="95"/>
                </w:rPr>
                <w:t>Canada, Goldman Sachs Bank USA and Bank of America, N.A., as L/C</w:t>
              </w:r>
            </w:hyperlink>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4680" w:type="dxa"/>
            <w:vAlign w:val="bottom"/>
            <w:tcBorders>
              <w:top w:val="single" w:sz="8" w:color="0000FF"/>
            </w:tcBorders>
            <w:gridSpan w:val="13"/>
          </w:tcPr>
          <w:p>
            <w:pPr>
              <w:spacing w:after="0" w:line="132" w:lineRule="exact"/>
              <w:rPr>
                <w:rFonts w:ascii="Arial" w:cs="Arial" w:eastAsia="Arial" w:hAnsi="Arial"/>
                <w:sz w:val="15"/>
                <w:szCs w:val="15"/>
                <w:u w:val="single" w:color="auto"/>
                <w:color w:val="0000FF"/>
                <w:w w:val="99"/>
              </w:rPr>
            </w:pPr>
            <w:hyperlink r:id="rId280">
              <w:r>
                <w:rPr>
                  <w:rFonts w:ascii="Arial" w:cs="Arial" w:eastAsia="Arial" w:hAnsi="Arial"/>
                  <w:sz w:val="15"/>
                  <w:szCs w:val="15"/>
                  <w:u w:val="single" w:color="auto"/>
                  <w:color w:val="0000FF"/>
                  <w:w w:val="99"/>
                </w:rPr>
                <w:t>Issuers and RBC Capital Markets as Sole Left Lead Arranger and Sole</w:t>
              </w:r>
            </w:hyperlink>
          </w:p>
        </w:tc>
        <w:tc>
          <w:tcPr>
            <w:tcW w:w="320" w:type="dxa"/>
            <w:vAlign w:val="bottom"/>
            <w:gridSpan w:val="15"/>
          </w:tcPr>
          <w:p>
            <w:pPr>
              <w:spacing w:after="0" w:line="132" w:lineRule="exact"/>
              <w:rPr>
                <w:rFonts w:ascii="Arial" w:cs="Arial" w:eastAsia="Arial" w:hAnsi="Arial"/>
                <w:sz w:val="15"/>
                <w:szCs w:val="15"/>
                <w:u w:val="single" w:color="auto"/>
                <w:color w:val="0000FF"/>
              </w:rPr>
            </w:pPr>
            <w:hyperlink r:id="rId280">
              <w:r>
                <w:rPr>
                  <w:rFonts w:ascii="Arial" w:cs="Arial" w:eastAsia="Arial" w:hAnsi="Arial"/>
                  <w:sz w:val="15"/>
                  <w:szCs w:val="15"/>
                  <w:u w:val="single" w:color="auto"/>
                  <w:color w:val="0000FF"/>
                </w:rPr>
                <w:t>Left</w:t>
              </w:r>
            </w:hyperlink>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5000" w:type="dxa"/>
            <w:vAlign w:val="bottom"/>
            <w:gridSpan w:val="28"/>
          </w:tcPr>
          <w:p>
            <w:pPr>
              <w:spacing w:after="0"/>
              <w:rPr>
                <w:rFonts w:ascii="Arial" w:cs="Arial" w:eastAsia="Arial" w:hAnsi="Arial"/>
                <w:sz w:val="16"/>
                <w:szCs w:val="16"/>
                <w:u w:val="single" w:color="auto"/>
                <w:color w:val="0000FF"/>
              </w:rPr>
            </w:pPr>
            <w:hyperlink r:id="rId280">
              <w:r>
                <w:rPr>
                  <w:rFonts w:ascii="Arial" w:cs="Arial" w:eastAsia="Arial" w:hAnsi="Arial"/>
                  <w:sz w:val="16"/>
                  <w:szCs w:val="16"/>
                  <w:u w:val="single" w:color="auto"/>
                  <w:color w:val="0000FF"/>
                </w:rPr>
                <w:t>Lead Book Runner.</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6"/>
                <w:szCs w:val="16"/>
                <w:color w:val="auto"/>
              </w:rPr>
              <w:t>10.6.2</w:t>
            </w:r>
          </w:p>
        </w:tc>
        <w:tc>
          <w:tcPr>
            <w:tcW w:w="5000" w:type="dxa"/>
            <w:vAlign w:val="bottom"/>
            <w:gridSpan w:val="28"/>
            <w:vMerge w:val="restart"/>
          </w:tcPr>
          <w:p>
            <w:pPr>
              <w:spacing w:after="0"/>
              <w:rPr>
                <w:rFonts w:ascii="Arial" w:cs="Arial" w:eastAsia="Arial" w:hAnsi="Arial"/>
                <w:sz w:val="16"/>
                <w:szCs w:val="16"/>
                <w:color w:val="0000FF"/>
                <w:w w:val="92"/>
              </w:rPr>
            </w:pPr>
            <w:hyperlink r:id="rId281">
              <w:r>
                <w:rPr>
                  <w:rFonts w:ascii="Arial" w:cs="Arial" w:eastAsia="Arial" w:hAnsi="Arial"/>
                  <w:sz w:val="16"/>
                  <w:szCs w:val="16"/>
                  <w:color w:val="0000FF"/>
                  <w:w w:val="92"/>
                </w:rPr>
                <w:t>First Amendment to Amended &amp; Restated Credit Agreement, dated June 26,</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0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Borders>
              <w:top w:val="single" w:sz="8" w:color="0000FF"/>
            </w:tcBorders>
            <w:gridSpan w:val="27"/>
          </w:tcPr>
          <w:p>
            <w:pPr>
              <w:spacing w:after="0" w:line="142" w:lineRule="exact"/>
              <w:rPr>
                <w:rFonts w:ascii="Arial" w:cs="Arial" w:eastAsia="Arial" w:hAnsi="Arial"/>
                <w:sz w:val="16"/>
                <w:szCs w:val="16"/>
                <w:color w:val="0000FF"/>
                <w:w w:val="98"/>
              </w:rPr>
            </w:pPr>
            <w:hyperlink r:id="rId281">
              <w:r>
                <w:rPr>
                  <w:rFonts w:ascii="Arial" w:cs="Arial" w:eastAsia="Arial" w:hAnsi="Arial"/>
                  <w:sz w:val="16"/>
                  <w:szCs w:val="16"/>
                  <w:color w:val="0000FF"/>
                  <w:w w:val="98"/>
                </w:rPr>
                <w:t>2015, by and among NRG Yield Operating LLC, NRG Yield LLC, Royal</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81">
              <w:r>
                <w:rPr>
                  <w:rFonts w:ascii="Arial" w:cs="Arial" w:eastAsia="Arial" w:hAnsi="Arial"/>
                  <w:sz w:val="16"/>
                  <w:szCs w:val="16"/>
                  <w:color w:val="0000FF"/>
                </w:rPr>
                <w:t>Bank of Canada and the Lenders party thereto.</w:t>
              </w:r>
            </w:hyperlink>
          </w:p>
        </w:tc>
        <w:tc>
          <w:tcPr>
            <w:tcW w:w="20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10.6.3</w:t>
            </w:r>
          </w:p>
        </w:tc>
        <w:tc>
          <w:tcPr>
            <w:tcW w:w="4560" w:type="dxa"/>
            <w:vAlign w:val="bottom"/>
            <w:tcBorders>
              <w:bottom w:val="single" w:sz="8" w:color="0000FF"/>
            </w:tcBorders>
            <w:gridSpan w:val="10"/>
          </w:tcPr>
          <w:p>
            <w:pPr>
              <w:spacing w:after="0"/>
              <w:rPr>
                <w:rFonts w:ascii="Arial" w:cs="Arial" w:eastAsia="Arial" w:hAnsi="Arial"/>
                <w:sz w:val="16"/>
                <w:szCs w:val="16"/>
                <w:color w:val="0000FF"/>
                <w:w w:val="91"/>
              </w:rPr>
            </w:pPr>
            <w:hyperlink r:id="rId282">
              <w:r>
                <w:rPr>
                  <w:rFonts w:ascii="Arial" w:cs="Arial" w:eastAsia="Arial" w:hAnsi="Arial"/>
                  <w:sz w:val="16"/>
                  <w:szCs w:val="16"/>
                  <w:color w:val="0000FF"/>
                  <w:w w:val="91"/>
                </w:rPr>
                <w:t>Second Amendment to Amended &amp; Restated Credit Agreement, dated</w:t>
              </w:r>
            </w:hyperlink>
          </w:p>
        </w:tc>
        <w:tc>
          <w:tcPr>
            <w:tcW w:w="4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gridSpan w:val="28"/>
          </w:tcPr>
          <w:p>
            <w:pPr>
              <w:spacing w:after="0" w:line="142" w:lineRule="exact"/>
              <w:rPr>
                <w:rFonts w:ascii="Arial" w:cs="Arial" w:eastAsia="Arial" w:hAnsi="Arial"/>
                <w:sz w:val="16"/>
                <w:szCs w:val="16"/>
                <w:color w:val="0000FF"/>
                <w:w w:val="98"/>
              </w:rPr>
            </w:pPr>
            <w:hyperlink r:id="rId282">
              <w:r>
                <w:rPr>
                  <w:rFonts w:ascii="Arial" w:cs="Arial" w:eastAsia="Arial" w:hAnsi="Arial"/>
                  <w:sz w:val="16"/>
                  <w:szCs w:val="16"/>
                  <w:color w:val="0000FF"/>
                  <w:w w:val="98"/>
                </w:rPr>
                <w:t>February 6, 2018, by and among NRG Yield Operating LLC, NRG Yield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88"/>
              </w:rPr>
            </w:pPr>
            <w:hyperlink r:id="rId282">
              <w:r>
                <w:rPr>
                  <w:rFonts w:ascii="Arial" w:cs="Arial" w:eastAsia="Arial" w:hAnsi="Arial"/>
                  <w:sz w:val="16"/>
                  <w:szCs w:val="16"/>
                  <w:color w:val="0000FF"/>
                  <w:w w:val="88"/>
                </w:rPr>
                <w:t>LLC, the guarantors party thereto, Royal Bank of Canada, as Administrative</w:t>
              </w:r>
            </w:hyperlink>
          </w:p>
        </w:tc>
        <w:tc>
          <w:tcPr>
            <w:tcW w:w="220" w:type="dxa"/>
            <w:vAlign w:val="bottom"/>
            <w:tcBorders>
              <w:bottom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360" w:type="dxa"/>
            <w:vAlign w:val="bottom"/>
            <w:tcBorders>
              <w:bottom w:val="single" w:sz="8" w:color="0000FF"/>
            </w:tcBorders>
            <w:gridSpan w:val="4"/>
          </w:tcPr>
          <w:p>
            <w:pPr>
              <w:spacing w:after="0" w:line="142" w:lineRule="exact"/>
              <w:rPr>
                <w:rFonts w:ascii="Arial" w:cs="Arial" w:eastAsia="Arial" w:hAnsi="Arial"/>
                <w:sz w:val="16"/>
                <w:szCs w:val="16"/>
                <w:color w:val="0000FF"/>
                <w:w w:val="90"/>
              </w:rPr>
            </w:pPr>
            <w:hyperlink r:id="rId282">
              <w:r>
                <w:rPr>
                  <w:rFonts w:ascii="Arial" w:cs="Arial" w:eastAsia="Arial" w:hAnsi="Arial"/>
                  <w:sz w:val="16"/>
                  <w:szCs w:val="16"/>
                  <w:color w:val="0000FF"/>
                  <w:w w:val="90"/>
                </w:rPr>
                <w:t>Agent, and the lenders party thereto.</w:t>
              </w:r>
            </w:hyperlink>
          </w:p>
        </w:tc>
        <w:tc>
          <w:tcPr>
            <w:tcW w:w="2600" w:type="dxa"/>
            <w:vAlign w:val="bottom"/>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0" w:type="dxa"/>
            <w:vAlign w:val="bottom"/>
          </w:tcPr>
          <w:p>
            <w:pPr>
              <w:jc w:val="right"/>
              <w:ind w:right="399"/>
              <w:spacing w:after="0"/>
              <w:rPr>
                <w:sz w:val="20"/>
                <w:szCs w:val="20"/>
                <w:color w:val="auto"/>
              </w:rPr>
            </w:pPr>
            <w:r>
              <w:rPr>
                <w:rFonts w:ascii="Arial" w:cs="Arial" w:eastAsia="Arial" w:hAnsi="Arial"/>
                <w:sz w:val="16"/>
                <w:szCs w:val="16"/>
                <w:color w:val="auto"/>
                <w:w w:val="89"/>
              </w:rPr>
              <w:t>10.6.4</w:t>
            </w:r>
          </w:p>
        </w:tc>
        <w:tc>
          <w:tcPr>
            <w:tcW w:w="4980" w:type="dxa"/>
            <w:vAlign w:val="bottom"/>
            <w:gridSpan w:val="5"/>
            <w:vMerge w:val="restart"/>
          </w:tcPr>
          <w:p>
            <w:pPr>
              <w:spacing w:after="0"/>
              <w:rPr>
                <w:rFonts w:ascii="Arial" w:cs="Arial" w:eastAsia="Arial" w:hAnsi="Arial"/>
                <w:sz w:val="16"/>
                <w:szCs w:val="16"/>
                <w:color w:val="0000FF"/>
              </w:rPr>
            </w:pPr>
            <w:hyperlink r:id="rId283">
              <w:r>
                <w:rPr>
                  <w:rFonts w:ascii="Arial" w:cs="Arial" w:eastAsia="Arial" w:hAnsi="Arial"/>
                  <w:sz w:val="16"/>
                  <w:szCs w:val="16"/>
                  <w:color w:val="0000FF"/>
                </w:rPr>
                <w:t>Third Amendment to Amended and Restated Credit Agreement and</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gridSpan w:val="5"/>
          </w:tcPr>
          <w:p>
            <w:pPr>
              <w:spacing w:after="0" w:line="142" w:lineRule="exact"/>
              <w:rPr>
                <w:rFonts w:ascii="Arial" w:cs="Arial" w:eastAsia="Arial" w:hAnsi="Arial"/>
                <w:sz w:val="16"/>
                <w:szCs w:val="16"/>
                <w:color w:val="0000FF"/>
                <w:w w:val="93"/>
              </w:rPr>
            </w:pPr>
            <w:hyperlink r:id="rId283">
              <w:r>
                <w:rPr>
                  <w:rFonts w:ascii="Arial" w:cs="Arial" w:eastAsia="Arial" w:hAnsi="Arial"/>
                  <w:sz w:val="16"/>
                  <w:szCs w:val="16"/>
                  <w:color w:val="0000FF"/>
                  <w:w w:val="93"/>
                </w:rPr>
                <w:t>Administrative Agent Resignation and Appointment Agreement,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4"/>
              </w:rPr>
            </w:pPr>
            <w:hyperlink r:id="rId283">
              <w:r>
                <w:rPr>
                  <w:rFonts w:ascii="Arial" w:cs="Arial" w:eastAsia="Arial" w:hAnsi="Arial"/>
                  <w:sz w:val="16"/>
                  <w:szCs w:val="16"/>
                  <w:color w:val="0000FF"/>
                  <w:w w:val="94"/>
                </w:rPr>
                <w:t>April 30, 2018, by and among NRG Yield Operating LLC, NRG Yield LLC,</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60" w:type="dxa"/>
            <w:vAlign w:val="bottom"/>
            <w:gridSpan w:val="4"/>
          </w:tcPr>
          <w:p>
            <w:pPr>
              <w:spacing w:after="0" w:line="142" w:lineRule="exact"/>
              <w:rPr>
                <w:rFonts w:ascii="Arial" w:cs="Arial" w:eastAsia="Arial" w:hAnsi="Arial"/>
                <w:sz w:val="16"/>
                <w:szCs w:val="16"/>
                <w:color w:val="0000FF"/>
              </w:rPr>
            </w:pPr>
            <w:hyperlink r:id="rId283">
              <w:r>
                <w:rPr>
                  <w:rFonts w:ascii="Arial" w:cs="Arial" w:eastAsia="Arial" w:hAnsi="Arial"/>
                  <w:sz w:val="16"/>
                  <w:szCs w:val="16"/>
                  <w:color w:val="0000FF"/>
                </w:rPr>
                <w:t>the guarantors party thereto, Royal Bank of Canada, as Resigning</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4240" w:type="dxa"/>
            <w:vAlign w:val="bottom"/>
            <w:tcBorders>
              <w:top w:val="single" w:sz="8" w:color="0000FF"/>
            </w:tcBorders>
          </w:tcPr>
          <w:p>
            <w:pPr>
              <w:spacing w:after="0" w:line="132" w:lineRule="exact"/>
              <w:rPr>
                <w:rFonts w:ascii="Arial" w:cs="Arial" w:eastAsia="Arial" w:hAnsi="Arial"/>
                <w:sz w:val="15"/>
                <w:szCs w:val="15"/>
                <w:u w:val="single" w:color="auto"/>
                <w:color w:val="0000FF"/>
                <w:w w:val="96"/>
              </w:rPr>
            </w:pPr>
            <w:hyperlink r:id="rId283">
              <w:r>
                <w:rPr>
                  <w:rFonts w:ascii="Arial" w:cs="Arial" w:eastAsia="Arial" w:hAnsi="Arial"/>
                  <w:sz w:val="15"/>
                  <w:szCs w:val="15"/>
                  <w:u w:val="single" w:color="auto"/>
                  <w:color w:val="0000FF"/>
                  <w:w w:val="96"/>
                </w:rPr>
                <w:t>Administrative Agent, JPMorgan Chase Bank, N.A., as Successor</w:t>
              </w:r>
            </w:hyperlink>
          </w:p>
        </w:tc>
        <w:tc>
          <w:tcPr>
            <w:tcW w:w="74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4980" w:type="dxa"/>
            <w:vAlign w:val="bottom"/>
            <w:gridSpan w:val="5"/>
          </w:tcPr>
          <w:p>
            <w:pPr>
              <w:spacing w:after="0"/>
              <w:rPr>
                <w:rFonts w:ascii="Arial" w:cs="Arial" w:eastAsia="Arial" w:hAnsi="Arial"/>
                <w:sz w:val="16"/>
                <w:szCs w:val="16"/>
                <w:u w:val="single" w:color="auto"/>
                <w:color w:val="0000FF"/>
              </w:rPr>
            </w:pPr>
            <w:hyperlink r:id="rId283">
              <w:r>
                <w:rPr>
                  <w:rFonts w:ascii="Arial" w:cs="Arial" w:eastAsia="Arial" w:hAnsi="Arial"/>
                  <w:sz w:val="16"/>
                  <w:szCs w:val="16"/>
                  <w:u w:val="single" w:color="auto"/>
                  <w:color w:val="0000FF"/>
                </w:rPr>
                <w:t>Administrative Agent, and the lenders party thereto.</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10.3 to Clearway Energy, Inc.'s Current Report on Form 8-K filed on September 5, 2018.</w:t>
      </w:r>
    </w:p>
    <w:p>
      <w:pPr>
        <w:spacing w:after="0" w:line="187" w:lineRule="exact"/>
        <w:rPr>
          <w:sz w:val="20"/>
          <w:szCs w:val="20"/>
          <w:color w:val="auto"/>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February 14, 2019.</w:t>
      </w:r>
    </w:p>
    <w:p>
      <w:pPr>
        <w:spacing w:after="0" w:line="92" w:lineRule="exact"/>
        <w:rPr>
          <w:sz w:val="20"/>
          <w:szCs w:val="20"/>
          <w:color w:val="auto"/>
        </w:rPr>
      </w:pP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6, 2019.</w:t>
      </w:r>
    </w:p>
    <w:p>
      <w:pPr>
        <w:spacing w:after="0" w:line="11" w:lineRule="exact"/>
        <w:rPr>
          <w:sz w:val="20"/>
          <w:szCs w:val="20"/>
          <w:color w:val="auto"/>
        </w:rPr>
      </w:pP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9, 2019.</w:t>
      </w:r>
    </w:p>
    <w:p>
      <w:pPr>
        <w:spacing w:after="0" w:line="106" w:lineRule="exact"/>
        <w:rPr>
          <w:sz w:val="20"/>
          <w:szCs w:val="20"/>
          <w:color w:val="auto"/>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September 5, 2018.</w:t>
      </w:r>
    </w:p>
    <w:p>
      <w:pPr>
        <w:spacing w:after="0" w:line="187" w:lineRule="exact"/>
        <w:rPr>
          <w:sz w:val="20"/>
          <w:szCs w:val="20"/>
          <w:color w:val="auto"/>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10.2 to Clearway Energy, Inc.'s Current Report on Form 8-K filed on September 5, 2018.</w:t>
      </w:r>
    </w:p>
    <w:p>
      <w:pPr>
        <w:spacing w:after="0" w:line="187" w:lineRule="exact"/>
        <w:rPr>
          <w:sz w:val="20"/>
          <w:szCs w:val="20"/>
          <w:color w:val="auto"/>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10.9 to Clearway Energy, Inc.'s Current Report on Form 8-K filed on September 5, 2018.</w:t>
      </w:r>
    </w:p>
    <w:p>
      <w:pPr>
        <w:spacing w:after="0" w:line="92" w:lineRule="exact"/>
        <w:rPr>
          <w:sz w:val="20"/>
          <w:szCs w:val="20"/>
          <w:color w:val="auto"/>
        </w:rPr>
      </w:pPr>
    </w:p>
    <w:p>
      <w:pPr>
        <w:ind w:right="399"/>
        <w:spacing w:after="0" w:line="230" w:lineRule="auto"/>
        <w:rPr>
          <w:sz w:val="20"/>
          <w:szCs w:val="20"/>
          <w:color w:val="auto"/>
        </w:rPr>
      </w:pPr>
      <w:r>
        <w:rPr>
          <w:rFonts w:ascii="Arial" w:cs="Arial" w:eastAsia="Arial" w:hAnsi="Arial"/>
          <w:sz w:val="16"/>
          <w:szCs w:val="16"/>
          <w:color w:val="auto"/>
        </w:rPr>
        <w:t>Incorporated by reference to Exhibit 10.1 to Clearway Energy, Inc.'s Current Report on Form 8-K filed on April 28, 2014.</w:t>
      </w:r>
    </w:p>
    <w:p>
      <w:pPr>
        <w:spacing w:after="0" w:line="200" w:lineRule="exact"/>
        <w:rPr>
          <w:sz w:val="20"/>
          <w:szCs w:val="20"/>
          <w:color w:val="auto"/>
        </w:rPr>
      </w:pPr>
    </w:p>
    <w:p>
      <w:pPr>
        <w:spacing w:after="0" w:line="297" w:lineRule="exact"/>
        <w:rPr>
          <w:sz w:val="20"/>
          <w:szCs w:val="20"/>
          <w:color w:val="auto"/>
        </w:rPr>
      </w:pPr>
    </w:p>
    <w:p>
      <w:pPr>
        <w:ind w:right="439"/>
        <w:spacing w:after="0" w:line="230" w:lineRule="auto"/>
        <w:rPr>
          <w:sz w:val="20"/>
          <w:szCs w:val="20"/>
          <w:color w:val="auto"/>
        </w:rPr>
      </w:pPr>
      <w:r>
        <w:rPr>
          <w:rFonts w:ascii="Arial" w:cs="Arial" w:eastAsia="Arial" w:hAnsi="Arial"/>
          <w:sz w:val="16"/>
          <w:szCs w:val="16"/>
          <w:color w:val="auto"/>
        </w:rPr>
        <w:t>Incorporated herein by reference to Exhibit 10.9 to Clearway Energy, Inc.'s Quarterly Report on Form 10-Q filed on August 4, 2015.</w:t>
      </w:r>
    </w:p>
    <w:p>
      <w:pPr>
        <w:spacing w:after="0" w:line="187" w:lineRule="exact"/>
        <w:rPr>
          <w:sz w:val="20"/>
          <w:szCs w:val="20"/>
          <w:color w:val="auto"/>
        </w:rPr>
      </w:pP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pacing w:after="0" w:line="173" w:lineRule="exact"/>
        <w:rPr>
          <w:sz w:val="20"/>
          <w:szCs w:val="20"/>
          <w:color w:val="auto"/>
        </w:rPr>
      </w:pPr>
    </w:p>
    <w:p>
      <w:pPr>
        <w:ind w:right="379"/>
        <w:spacing w:after="0" w:line="230"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May 3, 2018.</w:t>
      </w:r>
    </w:p>
    <w:p>
      <w:pPr>
        <w:spacing w:after="0" w:line="672" w:lineRule="exact"/>
        <w:rPr>
          <w:sz w:val="20"/>
          <w:szCs w:val="20"/>
          <w:color w:val="auto"/>
        </w:rPr>
      </w:pPr>
    </w:p>
    <w:p>
      <w:pPr>
        <w:sectPr>
          <w:pgSz w:w="11900" w:h="16838" w:orient="portrait"/>
          <w:cols w:equalWidth="0" w:num="2">
            <w:col w:w="5860" w:space="160"/>
            <w:col w:w="4099"/>
          </w:cols>
          <w:pgMar w:left="340" w:top="940" w:right="1440" w:bottom="1440" w:gutter="0" w:footer="0" w:header="0"/>
        </w:sectPr>
      </w:pPr>
    </w:p>
    <w:p>
      <w:pPr>
        <w:ind w:left="900" w:hanging="890"/>
        <w:spacing w:after="0" w:line="241"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10.6.5</w:t>
      </w:r>
      <w:r>
        <w:rPr>
          <w:sz w:val="20"/>
          <w:szCs w:val="20"/>
          <w:color w:val="auto"/>
        </w:rPr>
        <w:tab/>
      </w:r>
      <w:hyperlink r:id="rId284">
        <w:r>
          <w:rPr>
            <w:rFonts w:ascii="Arial" w:cs="Arial" w:eastAsia="Arial" w:hAnsi="Arial"/>
            <w:sz w:val="15"/>
            <w:szCs w:val="15"/>
            <w:u w:val="single" w:color="auto"/>
            <w:color w:val="0000FF"/>
          </w:rPr>
          <w:t>Fourth Amendment to Amended and Restated Credit Agreement, dated as of</w:t>
        </w:r>
      </w:hyperlink>
      <w:r>
        <w:rPr>
          <w:rFonts w:ascii="Arial" w:cs="Arial" w:eastAsia="Arial" w:hAnsi="Arial"/>
          <w:sz w:val="15"/>
          <w:szCs w:val="15"/>
          <w:u w:val="single" w:color="auto"/>
          <w:color w:val="0000FF"/>
        </w:rPr>
        <w:t xml:space="preserve"> </w:t>
      </w:r>
      <w:hyperlink r:id="rId284">
        <w:r>
          <w:rPr>
            <w:rFonts w:ascii="Arial" w:cs="Arial" w:eastAsia="Arial" w:hAnsi="Arial"/>
            <w:sz w:val="15"/>
            <w:szCs w:val="15"/>
            <w:u w:val="single" w:color="auto"/>
            <w:color w:val="0000FF"/>
          </w:rPr>
          <w:t>November 30, 2018, by and among Clearway Energy Operating LLC,</w:t>
        </w:r>
      </w:hyperlink>
      <w:r>
        <w:rPr>
          <w:rFonts w:ascii="Arial" w:cs="Arial" w:eastAsia="Arial" w:hAnsi="Arial"/>
          <w:sz w:val="15"/>
          <w:szCs w:val="15"/>
          <w:u w:val="single" w:color="auto"/>
          <w:color w:val="0000FF"/>
        </w:rPr>
        <w:t xml:space="preserve"> </w:t>
      </w:r>
      <w:hyperlink r:id="rId284">
        <w:r>
          <w:rPr>
            <w:rFonts w:ascii="Arial" w:cs="Arial" w:eastAsia="Arial" w:hAnsi="Arial"/>
            <w:sz w:val="15"/>
            <w:szCs w:val="15"/>
            <w:u w:val="single" w:color="auto"/>
            <w:color w:val="0000FF"/>
          </w:rPr>
          <w:t>Clearway Energy LLC, the guarantors party thereto, JPMorgan Chase Bank,</w:t>
        </w:r>
      </w:hyperlink>
      <w:r>
        <w:rPr>
          <w:rFonts w:ascii="Arial" w:cs="Arial" w:eastAsia="Arial" w:hAnsi="Arial"/>
          <w:sz w:val="15"/>
          <w:szCs w:val="15"/>
          <w:u w:val="single" w:color="auto"/>
          <w:color w:val="0000FF"/>
        </w:rPr>
        <w:t xml:space="preserve"> </w:t>
      </w:r>
      <w:hyperlink r:id="rId284">
        <w:r>
          <w:rPr>
            <w:rFonts w:ascii="Arial" w:cs="Arial" w:eastAsia="Arial" w:hAnsi="Arial"/>
            <w:sz w:val="15"/>
            <w:szCs w:val="15"/>
            <w:u w:val="single" w:color="auto"/>
            <w:color w:val="0000FF"/>
          </w:rPr>
          <w:t>N.A., as administrative agent, and the lenders party thereto.</w:t>
        </w:r>
      </w:hyperlink>
    </w:p>
    <w:p>
      <w:pPr>
        <w:spacing w:after="0" w:line="252" w:lineRule="exact"/>
        <w:rPr>
          <w:rFonts w:ascii="Arial" w:cs="Arial" w:eastAsia="Arial" w:hAnsi="Arial"/>
          <w:sz w:val="15"/>
          <w:szCs w:val="15"/>
          <w:u w:val="single" w:color="auto"/>
          <w:color w:val="0000FF"/>
        </w:rPr>
      </w:pPr>
    </w:p>
    <w:p>
      <w:pPr>
        <w:ind w:left="900" w:right="20" w:hanging="890"/>
        <w:spacing w:after="0" w:line="241"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10.6.6</w:t>
      </w:r>
      <w:r>
        <w:rPr>
          <w:sz w:val="20"/>
          <w:szCs w:val="20"/>
          <w:color w:val="auto"/>
        </w:rPr>
        <w:tab/>
      </w:r>
      <w:hyperlink r:id="rId285">
        <w:r>
          <w:rPr>
            <w:rFonts w:ascii="Arial" w:cs="Arial" w:eastAsia="Arial" w:hAnsi="Arial"/>
            <w:sz w:val="15"/>
            <w:szCs w:val="15"/>
            <w:u w:val="single" w:color="auto"/>
            <w:color w:val="0000FF"/>
          </w:rPr>
          <w:t>Fifth Amendment to Amended and Restated Credit Agreement, dated as of</w:t>
        </w:r>
      </w:hyperlink>
      <w:r>
        <w:rPr>
          <w:rFonts w:ascii="Arial" w:cs="Arial" w:eastAsia="Arial" w:hAnsi="Arial"/>
          <w:sz w:val="15"/>
          <w:szCs w:val="15"/>
          <w:u w:val="single" w:color="auto"/>
          <w:color w:val="0000FF"/>
        </w:rPr>
        <w:t xml:space="preserve"> </w:t>
      </w:r>
      <w:hyperlink r:id="rId285">
        <w:r>
          <w:rPr>
            <w:rFonts w:ascii="Arial" w:cs="Arial" w:eastAsia="Arial" w:hAnsi="Arial"/>
            <w:sz w:val="15"/>
            <w:szCs w:val="15"/>
            <w:u w:val="single" w:color="auto"/>
            <w:color w:val="0000FF"/>
          </w:rPr>
          <w:t>December 20, 2019, by and among Clearway Energy Operating LLC,</w:t>
        </w:r>
      </w:hyperlink>
      <w:r>
        <w:rPr>
          <w:rFonts w:ascii="Arial" w:cs="Arial" w:eastAsia="Arial" w:hAnsi="Arial"/>
          <w:sz w:val="15"/>
          <w:szCs w:val="15"/>
          <w:u w:val="single" w:color="auto"/>
          <w:color w:val="0000FF"/>
        </w:rPr>
        <w:t xml:space="preserve"> </w:t>
      </w:r>
      <w:hyperlink r:id="rId285">
        <w:r>
          <w:rPr>
            <w:rFonts w:ascii="Arial" w:cs="Arial" w:eastAsia="Arial" w:hAnsi="Arial"/>
            <w:sz w:val="15"/>
            <w:szCs w:val="15"/>
            <w:u w:val="single" w:color="auto"/>
            <w:color w:val="0000FF"/>
          </w:rPr>
          <w:t>Clearway Energy LLC, the guarantors party thereto, JPMorgan Chase Bank,</w:t>
        </w:r>
      </w:hyperlink>
      <w:r>
        <w:rPr>
          <w:rFonts w:ascii="Arial" w:cs="Arial" w:eastAsia="Arial" w:hAnsi="Arial"/>
          <w:sz w:val="15"/>
          <w:szCs w:val="15"/>
          <w:u w:val="single" w:color="auto"/>
          <w:color w:val="0000FF"/>
        </w:rPr>
        <w:t xml:space="preserve"> </w:t>
      </w:r>
      <w:hyperlink r:id="rId285">
        <w:r>
          <w:rPr>
            <w:rFonts w:ascii="Arial" w:cs="Arial" w:eastAsia="Arial" w:hAnsi="Arial"/>
            <w:sz w:val="15"/>
            <w:szCs w:val="15"/>
            <w:u w:val="single" w:color="auto"/>
            <w:color w:val="0000FF"/>
          </w:rPr>
          <w:t>N.A., as administrative agent, and the lenders party thereto.</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200" w:lineRule="exact"/>
        <w:rPr>
          <w:rFonts w:ascii="Arial" w:cs="Arial" w:eastAsia="Arial" w:hAnsi="Arial"/>
          <w:sz w:val="15"/>
          <w:szCs w:val="15"/>
          <w:u w:val="single" w:color="auto"/>
          <w:color w:val="0000FF"/>
        </w:rPr>
      </w:pPr>
    </w:p>
    <w:p>
      <w:pPr>
        <w:spacing w:after="0" w:line="216" w:lineRule="exact"/>
        <w:rPr>
          <w:rFonts w:ascii="Arial" w:cs="Arial" w:eastAsia="Arial" w:hAnsi="Arial"/>
          <w:sz w:val="15"/>
          <w:szCs w:val="15"/>
          <w:u w:val="single" w:color="auto"/>
          <w:color w:val="0000FF"/>
        </w:rPr>
      </w:pP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23, 2019.</w:t>
      </w:r>
    </w:p>
    <w:p>
      <w:pPr>
        <w:spacing w:after="0" w:line="363" w:lineRule="exact"/>
        <w:rPr>
          <w:rFonts w:ascii="Arial" w:cs="Arial" w:eastAsia="Arial" w:hAnsi="Arial"/>
          <w:sz w:val="15"/>
          <w:szCs w:val="15"/>
          <w:u w:val="single" w:color="auto"/>
          <w:color w:val="0000FF"/>
        </w:rPr>
      </w:pPr>
    </w:p>
    <w:p>
      <w:pPr>
        <w:sectPr>
          <w:pgSz w:w="11900" w:h="16838" w:orient="portrait"/>
          <w:cols w:equalWidth="0" w:num="2">
            <w:col w:w="5860" w:space="160"/>
            <w:col w:w="4099"/>
          </w:cols>
          <w:pgMar w:left="340" w:top="940" w:right="1440" w:bottom="1440" w:gutter="0" w:footer="0" w:header="0"/>
          <w:type w:val="continuous"/>
        </w:sectPr>
      </w:pPr>
    </w:p>
    <w:p>
      <w:pPr>
        <w:spacing w:after="0" w:line="52"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4"/>
          <w:szCs w:val="14"/>
          <w:color w:val="auto"/>
        </w:rPr>
        <w:t>10.7^</w:t>
      </w:r>
    </w:p>
    <w:p>
      <w:pPr>
        <w:spacing w:after="0" w:line="393"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4"/>
          <w:szCs w:val="14"/>
          <w:color w:val="auto"/>
        </w:rPr>
        <w:t>10.8^</w:t>
      </w:r>
    </w:p>
    <w:p>
      <w:pPr>
        <w:spacing w:after="0" w:line="393"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4"/>
          <w:szCs w:val="14"/>
          <w:color w:val="auto"/>
        </w:rPr>
        <w:t>10.9^</w:t>
      </w:r>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127" w:lineRule="exact"/>
        <w:rPr>
          <w:rFonts w:ascii="Arial" w:cs="Arial" w:eastAsia="Arial" w:hAnsi="Arial"/>
          <w:sz w:val="15"/>
          <w:szCs w:val="15"/>
          <w:u w:val="single" w:color="auto"/>
          <w:color w:val="0000FF"/>
        </w:rPr>
      </w:pPr>
    </w:p>
    <w:p>
      <w:pPr>
        <w:spacing w:after="0"/>
        <w:rPr>
          <w:rFonts w:ascii="Arial" w:cs="Arial" w:eastAsia="Arial" w:hAnsi="Arial"/>
          <w:sz w:val="16"/>
          <w:szCs w:val="16"/>
          <w:u w:val="single" w:color="auto"/>
          <w:color w:val="0000FF"/>
        </w:rPr>
      </w:pPr>
      <w:hyperlink r:id="rId286">
        <w:r>
          <w:rPr>
            <w:rFonts w:ascii="Arial" w:cs="Arial" w:eastAsia="Arial" w:hAnsi="Arial"/>
            <w:sz w:val="16"/>
            <w:szCs w:val="16"/>
            <w:u w:val="single" w:color="auto"/>
            <w:color w:val="0000FF"/>
          </w:rPr>
          <w:t>Amended and Restated Limited Liability Company Agreement of NRG RPV</w:t>
        </w:r>
      </w:hyperlink>
      <w:r>
        <w:rPr>
          <w:rFonts w:ascii="Arial" w:cs="Arial" w:eastAsia="Arial" w:hAnsi="Arial"/>
          <w:sz w:val="16"/>
          <w:szCs w:val="16"/>
          <w:u w:val="single" w:color="auto"/>
          <w:color w:val="0000FF"/>
        </w:rPr>
        <w:t xml:space="preserve"> </w:t>
      </w:r>
      <w:hyperlink r:id="rId286">
        <w:r>
          <w:rPr>
            <w:rFonts w:ascii="Arial" w:cs="Arial" w:eastAsia="Arial" w:hAnsi="Arial"/>
            <w:sz w:val="16"/>
            <w:szCs w:val="16"/>
            <w:u w:val="single" w:color="auto"/>
            <w:color w:val="0000FF"/>
          </w:rPr>
          <w:t>Holdco 1 LLC, dated as of April 9, 2015.</w:t>
        </w:r>
      </w:hyperlink>
    </w:p>
    <w:p>
      <w:pPr>
        <w:spacing w:after="0" w:line="186" w:lineRule="exact"/>
        <w:rPr>
          <w:sz w:val="20"/>
          <w:szCs w:val="20"/>
          <w:color w:val="auto"/>
        </w:rPr>
      </w:pPr>
    </w:p>
    <w:p>
      <w:pPr>
        <w:ind w:right="360"/>
        <w:spacing w:after="0"/>
        <w:rPr>
          <w:rFonts w:ascii="Arial" w:cs="Arial" w:eastAsia="Arial" w:hAnsi="Arial"/>
          <w:sz w:val="16"/>
          <w:szCs w:val="16"/>
          <w:u w:val="single" w:color="auto"/>
          <w:color w:val="0000FF"/>
        </w:rPr>
      </w:pPr>
      <w:hyperlink r:id="rId287">
        <w:r>
          <w:rPr>
            <w:rFonts w:ascii="Arial" w:cs="Arial" w:eastAsia="Arial" w:hAnsi="Arial"/>
            <w:sz w:val="16"/>
            <w:szCs w:val="16"/>
            <w:u w:val="single" w:color="auto"/>
            <w:color w:val="0000FF"/>
          </w:rPr>
          <w:t>Amended and Restated Limited Liability Company Agreement of NRG</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DGPV Holdco 1 LLC, dated as of May 8, 2015.</w:t>
        </w:r>
      </w:hyperlink>
    </w:p>
    <w:p>
      <w:pPr>
        <w:spacing w:after="0" w:line="91" w:lineRule="exact"/>
        <w:rPr>
          <w:sz w:val="20"/>
          <w:szCs w:val="20"/>
          <w:color w:val="auto"/>
        </w:rPr>
      </w:pPr>
    </w:p>
    <w:p>
      <w:pPr>
        <w:ind w:right="100"/>
        <w:spacing w:after="0" w:line="225" w:lineRule="auto"/>
        <w:rPr>
          <w:rFonts w:ascii="Arial" w:cs="Arial" w:eastAsia="Arial" w:hAnsi="Arial"/>
          <w:sz w:val="16"/>
          <w:szCs w:val="16"/>
          <w:u w:val="single" w:color="auto"/>
          <w:color w:val="0000FF"/>
        </w:rPr>
      </w:pPr>
      <w:hyperlink r:id="rId288">
        <w:r>
          <w:rPr>
            <w:rFonts w:ascii="Arial" w:cs="Arial" w:eastAsia="Arial" w:hAnsi="Arial"/>
            <w:sz w:val="16"/>
            <w:szCs w:val="16"/>
            <w:u w:val="single" w:color="auto"/>
            <w:color w:val="0000FF"/>
          </w:rPr>
          <w:t>Amendment No. 1 to Amended and Restated Limited Liability Company</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Agreement of NRG RPV Holdco 1 LLC, dated as of March 1, 2016, by and</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between NRG Yield RPV Holding LLC and NRG Residential Solar</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Solutions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2" w:lineRule="exact"/>
        <w:rPr>
          <w:rFonts w:ascii="Arial" w:cs="Arial" w:eastAsia="Arial" w:hAnsi="Arial"/>
          <w:sz w:val="16"/>
          <w:szCs w:val="16"/>
          <w:u w:val="single" w:color="auto"/>
          <w:color w:val="0000FF"/>
        </w:rPr>
      </w:pPr>
    </w:p>
    <w:p>
      <w:pPr>
        <w:ind w:right="439"/>
        <w:spacing w:after="0" w:line="230"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4, 2015.</w:t>
      </w:r>
    </w:p>
    <w:p>
      <w:pPr>
        <w:spacing w:after="0" w:line="25" w:lineRule="exact"/>
        <w:rPr>
          <w:rFonts w:ascii="Arial" w:cs="Arial" w:eastAsia="Arial" w:hAnsi="Arial"/>
          <w:sz w:val="16"/>
          <w:szCs w:val="16"/>
          <w:u w:val="single" w:color="auto"/>
          <w:color w:val="0000FF"/>
        </w:rPr>
      </w:pPr>
    </w:p>
    <w:p>
      <w:pPr>
        <w:ind w:right="439"/>
        <w:spacing w:after="0" w:line="230"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August 4, 2015.</w:t>
      </w:r>
    </w:p>
    <w:p>
      <w:pPr>
        <w:spacing w:after="0" w:line="25" w:lineRule="exact"/>
        <w:rPr>
          <w:rFonts w:ascii="Arial" w:cs="Arial" w:eastAsia="Arial" w:hAnsi="Arial"/>
          <w:sz w:val="16"/>
          <w:szCs w:val="16"/>
          <w:u w:val="single" w:color="auto"/>
          <w:color w:val="0000FF"/>
        </w:rPr>
      </w:pPr>
    </w:p>
    <w:p>
      <w:pPr>
        <w:ind w:right="439"/>
        <w:spacing w:after="0" w:line="230"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May 5, 2016.</w:t>
      </w:r>
    </w:p>
    <w:p>
      <w:pPr>
        <w:spacing w:after="0" w:line="360" w:lineRule="exact"/>
        <w:rPr>
          <w:rFonts w:ascii="Arial" w:cs="Arial" w:eastAsia="Arial" w:hAnsi="Arial"/>
          <w:sz w:val="16"/>
          <w:szCs w:val="16"/>
          <w:u w:val="single" w:color="auto"/>
          <w:color w:val="0000FF"/>
        </w:rPr>
      </w:pPr>
    </w:p>
    <w:p>
      <w:pPr>
        <w:sectPr>
          <w:pgSz w:w="11900" w:h="16838" w:orient="portrait"/>
          <w:cols w:equalWidth="0" w:num="3">
            <w:col w:w="360" w:space="540"/>
            <w:col w:w="5000" w:space="120"/>
            <w:col w:w="4099"/>
          </w:cols>
          <w:pgMar w:left="340" w:top="940" w:right="1440"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56" w:lineRule="exact"/>
        <w:rPr>
          <w:rFonts w:ascii="Arial" w:cs="Arial" w:eastAsia="Arial" w:hAnsi="Arial"/>
          <w:sz w:val="16"/>
          <w:szCs w:val="16"/>
          <w:u w:val="single" w:color="auto"/>
          <w:color w:val="0000FF"/>
        </w:rPr>
      </w:pPr>
    </w:p>
    <w:p>
      <w:pPr>
        <w:ind w:left="5460"/>
        <w:spacing w:after="0"/>
        <w:rPr>
          <w:sz w:val="20"/>
          <w:szCs w:val="20"/>
          <w:color w:val="auto"/>
        </w:rPr>
      </w:pPr>
      <w:r>
        <w:rPr>
          <w:rFonts w:ascii="Arial" w:cs="Arial" w:eastAsia="Arial" w:hAnsi="Arial"/>
          <w:sz w:val="16"/>
          <w:szCs w:val="16"/>
          <w:color w:val="auto"/>
        </w:rPr>
        <w:t>157</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40" w:right="1440" w:bottom="144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06"/>
        </w:trPr>
        <w:tc>
          <w:tcPr>
            <w:tcW w:w="900" w:type="dxa"/>
            <w:vAlign w:val="bottom"/>
          </w:tcPr>
          <w:p>
            <w:pPr>
              <w:spacing w:after="0"/>
              <w:rPr>
                <w:sz w:val="20"/>
                <w:szCs w:val="20"/>
                <w:color w:val="auto"/>
              </w:rPr>
            </w:pPr>
            <w:r>
              <w:rPr>
                <w:rFonts w:ascii="Arial" w:cs="Arial" w:eastAsia="Arial" w:hAnsi="Arial"/>
                <w:sz w:val="16"/>
                <w:szCs w:val="16"/>
                <w:color w:val="auto"/>
              </w:rPr>
              <w:t>10.10^</w:t>
            </w:r>
          </w:p>
        </w:tc>
        <w:tc>
          <w:tcPr>
            <w:tcW w:w="5100" w:type="dxa"/>
            <w:vAlign w:val="bottom"/>
            <w:gridSpan w:val="37"/>
            <w:vMerge w:val="restart"/>
          </w:tcPr>
          <w:p>
            <w:pPr>
              <w:spacing w:after="0"/>
              <w:rPr>
                <w:rFonts w:ascii="Arial" w:cs="Arial" w:eastAsia="Arial" w:hAnsi="Arial"/>
                <w:sz w:val="16"/>
                <w:szCs w:val="16"/>
                <w:color w:val="0000FF"/>
              </w:rPr>
            </w:pPr>
            <w:hyperlink r:id="rId290">
              <w:r>
                <w:rPr>
                  <w:rFonts w:ascii="Arial" w:cs="Arial" w:eastAsia="Arial" w:hAnsi="Arial"/>
                  <w:sz w:val="16"/>
                  <w:szCs w:val="16"/>
                  <w:color w:val="0000FF"/>
                </w:rPr>
                <w:t>Amendment No. 2 to Amended and Restated Limited Liability Company</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100" w:type="dxa"/>
            <w:vAlign w:val="bottom"/>
            <w:gridSpan w:val="3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3"/>
              </w:rPr>
            </w:pPr>
            <w:hyperlink r:id="rId290">
              <w:r>
                <w:rPr>
                  <w:rFonts w:ascii="Arial" w:cs="Arial" w:eastAsia="Arial" w:hAnsi="Arial"/>
                  <w:sz w:val="16"/>
                  <w:szCs w:val="16"/>
                  <w:color w:val="0000FF"/>
                  <w:w w:val="93"/>
                </w:rPr>
                <w:t>Agreement of NRG DGPV Holdco 1 LLC, dated as of March 1, 2016, by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gridSpan w:val="23"/>
          </w:tcPr>
          <w:p>
            <w:pPr>
              <w:spacing w:after="0" w:line="142" w:lineRule="exact"/>
              <w:rPr>
                <w:rFonts w:ascii="Arial" w:cs="Arial" w:eastAsia="Arial" w:hAnsi="Arial"/>
                <w:sz w:val="16"/>
                <w:szCs w:val="16"/>
                <w:color w:val="0000FF"/>
                <w:w w:val="96"/>
              </w:rPr>
            </w:pPr>
            <w:hyperlink r:id="rId290">
              <w:r>
                <w:rPr>
                  <w:rFonts w:ascii="Arial" w:cs="Arial" w:eastAsia="Arial" w:hAnsi="Arial"/>
                  <w:sz w:val="16"/>
                  <w:szCs w:val="16"/>
                  <w:color w:val="0000FF"/>
                  <w:w w:val="96"/>
                </w:rPr>
                <w:t>and among NRG Yield DGPV Holding LLC, NRG Renew DG Holdings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4"/>
              </w:rPr>
            </w:pPr>
            <w:hyperlink r:id="rId290">
              <w:r>
                <w:rPr>
                  <w:rFonts w:ascii="Arial" w:cs="Arial" w:eastAsia="Arial" w:hAnsi="Arial"/>
                  <w:sz w:val="16"/>
                  <w:szCs w:val="16"/>
                  <w:color w:val="0000FF"/>
                  <w:w w:val="94"/>
                </w:rPr>
                <w:t>LLC and NRG Renew LLC.</w:t>
              </w:r>
            </w:hyperlink>
          </w:p>
        </w:tc>
        <w:tc>
          <w:tcPr>
            <w:tcW w:w="28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900" w:type="dxa"/>
            <w:vAlign w:val="bottom"/>
          </w:tcPr>
          <w:p>
            <w:pPr>
              <w:spacing w:after="0"/>
              <w:rPr>
                <w:sz w:val="20"/>
                <w:szCs w:val="20"/>
                <w:color w:val="auto"/>
              </w:rPr>
            </w:pPr>
            <w:r>
              <w:rPr>
                <w:rFonts w:ascii="Arial" w:cs="Arial" w:eastAsia="Arial" w:hAnsi="Arial"/>
                <w:sz w:val="16"/>
                <w:szCs w:val="16"/>
                <w:color w:val="auto"/>
              </w:rPr>
              <w:t>10.11^</w:t>
            </w:r>
          </w:p>
        </w:tc>
        <w:tc>
          <w:tcPr>
            <w:tcW w:w="5100" w:type="dxa"/>
            <w:vAlign w:val="bottom"/>
            <w:gridSpan w:val="37"/>
            <w:vMerge w:val="restart"/>
          </w:tcPr>
          <w:p>
            <w:pPr>
              <w:spacing w:after="0"/>
              <w:rPr>
                <w:rFonts w:ascii="Arial" w:cs="Arial" w:eastAsia="Arial" w:hAnsi="Arial"/>
                <w:sz w:val="16"/>
                <w:szCs w:val="16"/>
                <w:color w:val="0000FF"/>
              </w:rPr>
            </w:pPr>
            <w:hyperlink r:id="rId291">
              <w:r>
                <w:rPr>
                  <w:rFonts w:ascii="Arial" w:cs="Arial" w:eastAsia="Arial" w:hAnsi="Arial"/>
                  <w:sz w:val="16"/>
                  <w:szCs w:val="16"/>
                  <w:color w:val="0000FF"/>
                </w:rPr>
                <w:t>Amended and Restated Limited Liability Company Agreement of NRG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100" w:type="dxa"/>
            <w:vAlign w:val="bottom"/>
            <w:gridSpan w:val="3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40" w:type="dxa"/>
            <w:vAlign w:val="bottom"/>
            <w:tcBorders>
              <w:top w:val="single" w:sz="8" w:color="0000FF"/>
            </w:tcBorders>
            <w:gridSpan w:val="15"/>
          </w:tcPr>
          <w:p>
            <w:pPr>
              <w:spacing w:after="0" w:line="142" w:lineRule="exact"/>
              <w:rPr>
                <w:rFonts w:ascii="Arial" w:cs="Arial" w:eastAsia="Arial" w:hAnsi="Arial"/>
                <w:sz w:val="16"/>
                <w:szCs w:val="16"/>
                <w:color w:val="0000FF"/>
                <w:w w:val="93"/>
              </w:rPr>
            </w:pPr>
            <w:hyperlink r:id="rId291">
              <w:r>
                <w:rPr>
                  <w:rFonts w:ascii="Arial" w:cs="Arial" w:eastAsia="Arial" w:hAnsi="Arial"/>
                  <w:sz w:val="16"/>
                  <w:szCs w:val="16"/>
                  <w:color w:val="0000FF"/>
                  <w:w w:val="93"/>
                </w:rPr>
                <w:t>DGPV Holdco 2 LLC, dated as of March 1, 2016, by and among NRG</w:t>
              </w:r>
            </w:hyperlink>
          </w:p>
        </w:tc>
        <w:tc>
          <w:tcPr>
            <w:tcW w:w="460" w:type="dxa"/>
            <w:vAlign w:val="bottom"/>
            <w:gridSpan w:val="22"/>
          </w:tcPr>
          <w:p>
            <w:pPr>
              <w:spacing w:after="0" w:line="142" w:lineRule="exact"/>
              <w:rPr>
                <w:rFonts w:ascii="Arial" w:cs="Arial" w:eastAsia="Arial" w:hAnsi="Arial"/>
                <w:sz w:val="16"/>
                <w:szCs w:val="16"/>
                <w:color w:val="0000FF"/>
              </w:rPr>
            </w:pPr>
            <w:hyperlink r:id="rId291">
              <w:r>
                <w:rPr>
                  <w:rFonts w:ascii="Arial" w:cs="Arial" w:eastAsia="Arial" w:hAnsi="Arial"/>
                  <w:sz w:val="16"/>
                  <w:szCs w:val="16"/>
                  <w:color w:val="0000FF"/>
                </w:rPr>
                <w:t>Yield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8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91">
              <w:r>
                <w:rPr>
                  <w:rFonts w:ascii="Arial" w:cs="Arial" w:eastAsia="Arial" w:hAnsi="Arial"/>
                  <w:sz w:val="16"/>
                  <w:szCs w:val="16"/>
                  <w:color w:val="0000FF"/>
                </w:rPr>
                <w:t>DGPV Holding LLC, NRG Renew DG Holdings LLC, and NRG Renew</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91">
              <w:r>
                <w:rPr>
                  <w:rFonts w:ascii="Arial" w:cs="Arial" w:eastAsia="Arial" w:hAnsi="Arial"/>
                  <w:sz w:val="16"/>
                  <w:szCs w:val="16"/>
                  <w:color w:val="0000FF"/>
                </w:rPr>
                <w:t>LLC.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color w:val="auto"/>
              </w:rPr>
              <w:t>10.12</w:t>
            </w:r>
          </w:p>
        </w:tc>
        <w:tc>
          <w:tcPr>
            <w:tcW w:w="3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00" w:type="dxa"/>
            <w:vAlign w:val="bottom"/>
            <w:vMerge w:val="continue"/>
          </w:tcPr>
          <w:p>
            <w:pPr>
              <w:spacing w:after="0"/>
              <w:rPr>
                <w:sz w:val="24"/>
                <w:szCs w:val="24"/>
                <w:color w:val="auto"/>
              </w:rPr>
            </w:pPr>
          </w:p>
        </w:tc>
        <w:tc>
          <w:tcPr>
            <w:tcW w:w="5100" w:type="dxa"/>
            <w:vAlign w:val="bottom"/>
            <w:gridSpan w:val="37"/>
            <w:vMerge w:val="restart"/>
          </w:tcPr>
          <w:p>
            <w:pPr>
              <w:spacing w:after="0"/>
              <w:rPr>
                <w:rFonts w:ascii="Arial" w:cs="Arial" w:eastAsia="Arial" w:hAnsi="Arial"/>
                <w:sz w:val="16"/>
                <w:szCs w:val="16"/>
                <w:color w:val="0000FF"/>
              </w:rPr>
            </w:pPr>
            <w:hyperlink r:id="rId292">
              <w:r>
                <w:rPr>
                  <w:rFonts w:ascii="Arial" w:cs="Arial" w:eastAsia="Arial" w:hAnsi="Arial"/>
                  <w:sz w:val="16"/>
                  <w:szCs w:val="16"/>
                  <w:color w:val="0000FF"/>
                </w:rPr>
                <w:t>Amendment No. 2 to Amended and Restated Limited Liability Company</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100" w:type="dxa"/>
            <w:vAlign w:val="bottom"/>
            <w:gridSpan w:val="3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80" w:type="dxa"/>
            <w:vAlign w:val="bottom"/>
            <w:tcBorders>
              <w:top w:val="single" w:sz="8" w:color="0000FF"/>
            </w:tcBorders>
            <w:gridSpan w:val="21"/>
          </w:tcPr>
          <w:p>
            <w:pPr>
              <w:spacing w:after="0" w:line="142" w:lineRule="exact"/>
              <w:rPr>
                <w:rFonts w:ascii="Arial" w:cs="Arial" w:eastAsia="Arial" w:hAnsi="Arial"/>
                <w:sz w:val="16"/>
                <w:szCs w:val="16"/>
                <w:color w:val="0000FF"/>
                <w:w w:val="95"/>
              </w:rPr>
            </w:pPr>
            <w:hyperlink r:id="rId292">
              <w:r>
                <w:rPr>
                  <w:rFonts w:ascii="Arial" w:cs="Arial" w:eastAsia="Arial" w:hAnsi="Arial"/>
                  <w:sz w:val="16"/>
                  <w:szCs w:val="16"/>
                  <w:color w:val="0000FF"/>
                  <w:w w:val="95"/>
                </w:rPr>
                <w:t>Agreement of NRG RPV Holdco 1 LLC, dated as of August 5, 2016, by</w:t>
              </w:r>
            </w:hyperlink>
          </w:p>
        </w:tc>
        <w:tc>
          <w:tcPr>
            <w:tcW w:w="320" w:type="dxa"/>
            <w:vAlign w:val="bottom"/>
            <w:gridSpan w:val="16"/>
          </w:tcPr>
          <w:p>
            <w:pPr>
              <w:spacing w:after="0" w:line="142" w:lineRule="exact"/>
              <w:rPr>
                <w:rFonts w:ascii="Arial" w:cs="Arial" w:eastAsia="Arial" w:hAnsi="Arial"/>
                <w:sz w:val="16"/>
                <w:szCs w:val="16"/>
                <w:color w:val="0000FF"/>
              </w:rPr>
            </w:pPr>
            <w:hyperlink r:id="rId292">
              <w:r>
                <w:rPr>
                  <w:rFonts w:ascii="Arial" w:cs="Arial" w:eastAsia="Arial" w:hAnsi="Arial"/>
                  <w:sz w:val="16"/>
                  <w:szCs w:val="16"/>
                  <w:color w:val="0000FF"/>
                </w:rPr>
                <w:t>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92">
              <w:r>
                <w:rPr>
                  <w:rFonts w:ascii="Arial" w:cs="Arial" w:eastAsia="Arial" w:hAnsi="Arial"/>
                  <w:sz w:val="16"/>
                  <w:szCs w:val="16"/>
                  <w:color w:val="0000FF"/>
                </w:rPr>
                <w:t>between NRG Yield RPV Holding LLC and NRG Residential Solar</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292">
              <w:r>
                <w:rPr>
                  <w:rFonts w:ascii="Arial" w:cs="Arial" w:eastAsia="Arial" w:hAnsi="Arial"/>
                  <w:sz w:val="16"/>
                  <w:szCs w:val="16"/>
                  <w:color w:val="0000FF"/>
                  <w:w w:val="94"/>
                </w:rPr>
                <w:t>Solutions LLC.</w:t>
              </w:r>
            </w:hyperlink>
          </w:p>
        </w:tc>
        <w:tc>
          <w:tcPr>
            <w:tcW w:w="3400" w:type="dxa"/>
            <w:vAlign w:val="bottom"/>
            <w:tcBorders>
              <w:top w:val="single" w:sz="8" w:color="0000FF"/>
            </w:tcBorders>
            <w:gridSpan w:val="1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900" w:type="dxa"/>
            <w:vAlign w:val="bottom"/>
          </w:tcPr>
          <w:p>
            <w:pPr>
              <w:spacing w:after="0"/>
              <w:rPr>
                <w:sz w:val="20"/>
                <w:szCs w:val="20"/>
                <w:color w:val="auto"/>
              </w:rPr>
            </w:pPr>
            <w:r>
              <w:rPr>
                <w:rFonts w:ascii="Arial" w:cs="Arial" w:eastAsia="Arial" w:hAnsi="Arial"/>
                <w:sz w:val="16"/>
                <w:szCs w:val="16"/>
                <w:color w:val="auto"/>
              </w:rPr>
              <w:t>10.13†</w:t>
            </w:r>
          </w:p>
        </w:tc>
        <w:tc>
          <w:tcPr>
            <w:tcW w:w="5100" w:type="dxa"/>
            <w:vAlign w:val="bottom"/>
            <w:gridSpan w:val="37"/>
            <w:vMerge w:val="restart"/>
          </w:tcPr>
          <w:p>
            <w:pPr>
              <w:spacing w:after="0"/>
              <w:rPr>
                <w:rFonts w:ascii="Arial" w:cs="Arial" w:eastAsia="Arial" w:hAnsi="Arial"/>
                <w:sz w:val="16"/>
                <w:szCs w:val="16"/>
                <w:color w:val="0000FF"/>
                <w:w w:val="94"/>
              </w:rPr>
            </w:pPr>
            <w:hyperlink r:id="rId293">
              <w:r>
                <w:rPr>
                  <w:rFonts w:ascii="Arial" w:cs="Arial" w:eastAsia="Arial" w:hAnsi="Arial"/>
                  <w:sz w:val="16"/>
                  <w:szCs w:val="16"/>
                  <w:color w:val="0000FF"/>
                  <w:w w:val="94"/>
                </w:rPr>
                <w:t>Employment Agreement, dated as of May 6, 2016, between NRG Yield, Inc.</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100" w:type="dxa"/>
            <w:vAlign w:val="bottom"/>
            <w:gridSpan w:val="3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93">
              <w:r>
                <w:rPr>
                  <w:rFonts w:ascii="Arial" w:cs="Arial" w:eastAsia="Arial" w:hAnsi="Arial"/>
                  <w:sz w:val="16"/>
                  <w:szCs w:val="16"/>
                  <w:color w:val="0000FF"/>
                </w:rPr>
                <w:t>and Christopher S. Sotos.</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color w:val="auto"/>
              </w:rPr>
              <w:t>10.14†</w:t>
            </w:r>
          </w:p>
        </w:tc>
        <w:tc>
          <w:tcPr>
            <w:tcW w:w="3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00" w:type="dxa"/>
            <w:vAlign w:val="bottom"/>
            <w:vMerge w:val="continue"/>
          </w:tcPr>
          <w:p>
            <w:pPr>
              <w:spacing w:after="0"/>
              <w:rPr>
                <w:sz w:val="24"/>
                <w:szCs w:val="24"/>
                <w:color w:val="auto"/>
              </w:rPr>
            </w:pPr>
          </w:p>
        </w:tc>
        <w:tc>
          <w:tcPr>
            <w:tcW w:w="5100" w:type="dxa"/>
            <w:vAlign w:val="bottom"/>
            <w:gridSpan w:val="37"/>
            <w:vMerge w:val="restart"/>
          </w:tcPr>
          <w:p>
            <w:pPr>
              <w:spacing w:after="0"/>
              <w:rPr>
                <w:rFonts w:ascii="Arial" w:cs="Arial" w:eastAsia="Arial" w:hAnsi="Arial"/>
                <w:sz w:val="16"/>
                <w:szCs w:val="16"/>
                <w:color w:val="0000FF"/>
                <w:w w:val="98"/>
              </w:rPr>
            </w:pPr>
            <w:hyperlink r:id="rId294">
              <w:r>
                <w:rPr>
                  <w:rFonts w:ascii="Arial" w:cs="Arial" w:eastAsia="Arial" w:hAnsi="Arial"/>
                  <w:sz w:val="16"/>
                  <w:szCs w:val="16"/>
                  <w:color w:val="0000FF"/>
                  <w:w w:val="98"/>
                </w:rPr>
                <w:t>Amendment, dated January 1, 2018 to Employment Agreement between</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100" w:type="dxa"/>
            <w:vAlign w:val="bottom"/>
            <w:gridSpan w:val="3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1"/>
              </w:rPr>
            </w:pPr>
            <w:hyperlink r:id="rId294">
              <w:r>
                <w:rPr>
                  <w:rFonts w:ascii="Arial" w:cs="Arial" w:eastAsia="Arial" w:hAnsi="Arial"/>
                  <w:sz w:val="16"/>
                  <w:szCs w:val="16"/>
                  <w:color w:val="0000FF"/>
                  <w:w w:val="91"/>
                </w:rPr>
                <w:t>NRG Yield, Inc. and Christopher Sotos.</w:t>
              </w:r>
            </w:hyperlink>
          </w:p>
        </w:tc>
        <w:tc>
          <w:tcPr>
            <w:tcW w:w="21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474"/>
        </w:trPr>
        <w:tc>
          <w:tcPr>
            <w:tcW w:w="900" w:type="dxa"/>
            <w:vAlign w:val="bottom"/>
          </w:tcPr>
          <w:p>
            <w:pPr>
              <w:spacing w:after="0"/>
              <w:rPr>
                <w:sz w:val="20"/>
                <w:szCs w:val="20"/>
                <w:color w:val="auto"/>
              </w:rPr>
            </w:pPr>
            <w:r>
              <w:rPr>
                <w:rFonts w:ascii="Arial" w:cs="Arial" w:eastAsia="Arial" w:hAnsi="Arial"/>
                <w:sz w:val="16"/>
                <w:szCs w:val="16"/>
                <w:color w:val="auto"/>
              </w:rPr>
              <w:t>10.15</w:t>
            </w:r>
          </w:p>
        </w:tc>
        <w:tc>
          <w:tcPr>
            <w:tcW w:w="5100" w:type="dxa"/>
            <w:vAlign w:val="bottom"/>
            <w:gridSpan w:val="37"/>
            <w:vMerge w:val="restart"/>
          </w:tcPr>
          <w:p>
            <w:pPr>
              <w:spacing w:after="0"/>
              <w:rPr>
                <w:rFonts w:ascii="Arial" w:cs="Arial" w:eastAsia="Arial" w:hAnsi="Arial"/>
                <w:sz w:val="16"/>
                <w:szCs w:val="16"/>
                <w:color w:val="0000FF"/>
                <w:w w:val="95"/>
              </w:rPr>
            </w:pPr>
            <w:hyperlink r:id="rId295">
              <w:r>
                <w:rPr>
                  <w:rFonts w:ascii="Arial" w:cs="Arial" w:eastAsia="Arial" w:hAnsi="Arial"/>
                  <w:sz w:val="16"/>
                  <w:szCs w:val="16"/>
                  <w:color w:val="0000FF"/>
                  <w:w w:val="95"/>
                </w:rPr>
                <w:t>Assignment and Assumption Agreement, effective as of February 26, 2019,</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100" w:type="dxa"/>
            <w:vAlign w:val="bottom"/>
            <w:gridSpan w:val="3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95">
              <w:r>
                <w:rPr>
                  <w:rFonts w:ascii="Arial" w:cs="Arial" w:eastAsia="Arial" w:hAnsi="Arial"/>
                  <w:sz w:val="16"/>
                  <w:szCs w:val="16"/>
                  <w:color w:val="0000FF"/>
                </w:rPr>
                <w:t>among Clearway Energy Operating LLC and GIP III Zephyr Carlsbad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5"/>
              </w:rPr>
            </w:pPr>
            <w:hyperlink r:id="rId295">
              <w:r>
                <w:rPr>
                  <w:rFonts w:ascii="Arial" w:cs="Arial" w:eastAsia="Arial" w:hAnsi="Arial"/>
                  <w:sz w:val="16"/>
                  <w:szCs w:val="16"/>
                  <w:color w:val="0000FF"/>
                  <w:w w:val="95"/>
                </w:rPr>
                <w:t>Holdings, LLC.</w:t>
              </w:r>
            </w:hyperlink>
          </w:p>
        </w:tc>
        <w:tc>
          <w:tcPr>
            <w:tcW w:w="35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10.16</w:t>
            </w:r>
          </w:p>
        </w:tc>
        <w:tc>
          <w:tcPr>
            <w:tcW w:w="5100" w:type="dxa"/>
            <w:vAlign w:val="bottom"/>
            <w:gridSpan w:val="37"/>
          </w:tcPr>
          <w:p>
            <w:pPr>
              <w:spacing w:after="0"/>
              <w:rPr>
                <w:rFonts w:ascii="Arial" w:cs="Arial" w:eastAsia="Arial" w:hAnsi="Arial"/>
                <w:sz w:val="16"/>
                <w:szCs w:val="16"/>
                <w:color w:val="0000FF"/>
                <w:w w:val="93"/>
              </w:rPr>
            </w:pPr>
            <w:hyperlink r:id="rId296">
              <w:r>
                <w:rPr>
                  <w:rFonts w:ascii="Arial" w:cs="Arial" w:eastAsia="Arial" w:hAnsi="Arial"/>
                  <w:sz w:val="16"/>
                  <w:szCs w:val="16"/>
                  <w:color w:val="0000FF"/>
                  <w:w w:val="93"/>
                </w:rPr>
                <w:t>Amended and Restated Exchange Agreement, dated as of May 14, 2015,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tcBorders>
              <w:top w:val="single" w:sz="8" w:color="0000FF"/>
            </w:tcBorders>
            <w:gridSpan w:val="32"/>
          </w:tcPr>
          <w:p>
            <w:pPr>
              <w:spacing w:after="0" w:line="142" w:lineRule="exact"/>
              <w:rPr>
                <w:rFonts w:ascii="Arial" w:cs="Arial" w:eastAsia="Arial" w:hAnsi="Arial"/>
                <w:sz w:val="16"/>
                <w:szCs w:val="16"/>
                <w:color w:val="0000FF"/>
                <w:w w:val="96"/>
              </w:rPr>
            </w:pPr>
            <w:hyperlink r:id="rId296">
              <w:r>
                <w:rPr>
                  <w:rFonts w:ascii="Arial" w:cs="Arial" w:eastAsia="Arial" w:hAnsi="Arial"/>
                  <w:sz w:val="16"/>
                  <w:szCs w:val="16"/>
                  <w:color w:val="0000FF"/>
                  <w:w w:val="96"/>
                </w:rPr>
                <w:t>and among NRG Energy, Inc., NRG Yield, Inc., and NRG Yield LLC and,</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96">
              <w:r>
                <w:rPr>
                  <w:rFonts w:ascii="Arial" w:cs="Arial" w:eastAsia="Arial" w:hAnsi="Arial"/>
                  <w:sz w:val="16"/>
                  <w:szCs w:val="16"/>
                  <w:color w:val="0000FF"/>
                </w:rPr>
                <w:t>pursuant to a joinder thereto, dated as of August 31, 2018, Zephyr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2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96">
              <w:r>
                <w:rPr>
                  <w:rFonts w:ascii="Arial" w:cs="Arial" w:eastAsia="Arial" w:hAnsi="Arial"/>
                  <w:sz w:val="16"/>
                  <w:szCs w:val="16"/>
                  <w:color w:val="0000FF"/>
                </w:rPr>
                <w:t>Renewables LLC.</w:t>
              </w:r>
            </w:hyperlink>
          </w:p>
        </w:tc>
        <w:tc>
          <w:tcPr>
            <w:tcW w:w="20" w:type="dxa"/>
            <w:vAlign w:val="bottom"/>
          </w:tcPr>
          <w:p>
            <w:pPr>
              <w:spacing w:after="0"/>
              <w:rPr>
                <w:sz w:val="12"/>
                <w:szCs w:val="12"/>
                <w:color w:val="auto"/>
              </w:rPr>
            </w:pPr>
          </w:p>
        </w:tc>
        <w:tc>
          <w:tcPr>
            <w:tcW w:w="26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6"/>
                <w:szCs w:val="16"/>
                <w:color w:val="auto"/>
              </w:rPr>
              <w:t>10.17†</w:t>
            </w:r>
          </w:p>
        </w:tc>
        <w:tc>
          <w:tcPr>
            <w:tcW w:w="5100" w:type="dxa"/>
            <w:vAlign w:val="bottom"/>
            <w:gridSpan w:val="37"/>
          </w:tcPr>
          <w:p>
            <w:pPr>
              <w:spacing w:after="0"/>
              <w:rPr>
                <w:rFonts w:ascii="Arial" w:cs="Arial" w:eastAsia="Arial" w:hAnsi="Arial"/>
                <w:sz w:val="16"/>
                <w:szCs w:val="16"/>
                <w:u w:val="single" w:color="auto"/>
                <w:color w:val="0000FF"/>
              </w:rPr>
            </w:pPr>
            <w:hyperlink r:id="rId297">
              <w:r>
                <w:rPr>
                  <w:rFonts w:ascii="Arial" w:cs="Arial" w:eastAsia="Arial" w:hAnsi="Arial"/>
                  <w:sz w:val="16"/>
                  <w:szCs w:val="16"/>
                  <w:u w:val="single" w:color="auto"/>
                  <w:color w:val="0000FF"/>
                </w:rPr>
                <w:t>Clearway Energy, Inc. Involuntary Severance Plan.</w:t>
              </w:r>
            </w:hyperlink>
          </w:p>
        </w:tc>
        <w:tc>
          <w:tcPr>
            <w:tcW w:w="0" w:type="dxa"/>
            <w:vAlign w:val="bottom"/>
          </w:tcPr>
          <w:p>
            <w:pPr>
              <w:spacing w:after="0"/>
              <w:rPr>
                <w:sz w:val="1"/>
                <w:szCs w:val="1"/>
                <w:color w:val="auto"/>
              </w:rPr>
            </w:pPr>
          </w:p>
        </w:tc>
      </w:tr>
      <w:tr>
        <w:trPr>
          <w:trHeight w:val="505"/>
        </w:trPr>
        <w:tc>
          <w:tcPr>
            <w:tcW w:w="900" w:type="dxa"/>
            <w:vAlign w:val="bottom"/>
          </w:tcPr>
          <w:p>
            <w:pPr>
              <w:spacing w:after="0"/>
              <w:rPr>
                <w:sz w:val="20"/>
                <w:szCs w:val="20"/>
                <w:color w:val="auto"/>
              </w:rPr>
            </w:pPr>
            <w:r>
              <w:rPr>
                <w:rFonts w:ascii="Arial" w:cs="Arial" w:eastAsia="Arial" w:hAnsi="Arial"/>
                <w:sz w:val="16"/>
                <w:szCs w:val="16"/>
                <w:color w:val="auto"/>
              </w:rPr>
              <w:t>10.18†</w:t>
            </w:r>
          </w:p>
        </w:tc>
        <w:tc>
          <w:tcPr>
            <w:tcW w:w="5100" w:type="dxa"/>
            <w:vAlign w:val="bottom"/>
            <w:gridSpan w:val="37"/>
          </w:tcPr>
          <w:p>
            <w:pPr>
              <w:spacing w:after="0"/>
              <w:rPr>
                <w:rFonts w:ascii="Arial" w:cs="Arial" w:eastAsia="Arial" w:hAnsi="Arial"/>
                <w:sz w:val="16"/>
                <w:szCs w:val="16"/>
                <w:color w:val="0000FF"/>
                <w:w w:val="94"/>
              </w:rPr>
            </w:pPr>
            <w:hyperlink w:anchor="page212">
              <w:r>
                <w:rPr>
                  <w:rFonts w:ascii="Arial" w:cs="Arial" w:eastAsia="Arial" w:hAnsi="Arial"/>
                  <w:sz w:val="16"/>
                  <w:szCs w:val="16"/>
                  <w:color w:val="0000FF"/>
                  <w:w w:val="94"/>
                </w:rPr>
                <w:t>Clearway Energy, Inc. Executive Change-in-Control and General Severance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w:anchor="page212">
              <w:r>
                <w:rPr>
                  <w:rFonts w:ascii="Arial" w:cs="Arial" w:eastAsia="Arial" w:hAnsi="Arial"/>
                  <w:sz w:val="16"/>
                  <w:szCs w:val="16"/>
                  <w:color w:val="0000FF"/>
                </w:rPr>
                <w:t>Plan.</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color w:val="auto"/>
              </w:rPr>
              <w:t>10.19†</w:t>
            </w:r>
          </w:p>
        </w:tc>
        <w:tc>
          <w:tcPr>
            <w:tcW w:w="5100" w:type="dxa"/>
            <w:vAlign w:val="bottom"/>
            <w:gridSpan w:val="37"/>
          </w:tcPr>
          <w:p>
            <w:pPr>
              <w:spacing w:after="0"/>
              <w:rPr>
                <w:rFonts w:ascii="Arial" w:cs="Arial" w:eastAsia="Arial" w:hAnsi="Arial"/>
                <w:sz w:val="16"/>
                <w:szCs w:val="16"/>
                <w:color w:val="0000FF"/>
                <w:w w:val="98"/>
              </w:rPr>
            </w:pPr>
            <w:hyperlink w:anchor="page234">
              <w:r>
                <w:rPr>
                  <w:rFonts w:ascii="Arial" w:cs="Arial" w:eastAsia="Arial" w:hAnsi="Arial"/>
                  <w:sz w:val="16"/>
                  <w:szCs w:val="16"/>
                  <w:color w:val="0000FF"/>
                  <w:w w:val="98"/>
                </w:rPr>
                <w:t>Clearway Energy, Inc. Key Management Change-in-Control and General</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86"/>
              </w:rPr>
            </w:pPr>
            <w:hyperlink w:anchor="page234">
              <w:r>
                <w:rPr>
                  <w:rFonts w:ascii="Arial" w:cs="Arial" w:eastAsia="Arial" w:hAnsi="Arial"/>
                  <w:sz w:val="16"/>
                  <w:szCs w:val="16"/>
                  <w:color w:val="0000FF"/>
                  <w:w w:val="86"/>
                </w:rPr>
                <w:t>Severance Plan.</w:t>
              </w:r>
            </w:hyperlink>
          </w:p>
        </w:tc>
        <w:tc>
          <w:tcPr>
            <w:tcW w:w="372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color w:val="auto"/>
              </w:rPr>
              <w:t>10.20*^</w:t>
            </w:r>
          </w:p>
        </w:tc>
        <w:tc>
          <w:tcPr>
            <w:tcW w:w="5100" w:type="dxa"/>
            <w:vAlign w:val="bottom"/>
            <w:gridSpan w:val="37"/>
          </w:tcPr>
          <w:p>
            <w:pPr>
              <w:spacing w:after="0"/>
              <w:rPr>
                <w:rFonts w:ascii="Arial" w:cs="Arial" w:eastAsia="Arial" w:hAnsi="Arial"/>
                <w:sz w:val="16"/>
                <w:szCs w:val="16"/>
                <w:color w:val="0000FF"/>
                <w:w w:val="95"/>
              </w:rPr>
            </w:pPr>
            <w:hyperlink r:id="rId298">
              <w:r>
                <w:rPr>
                  <w:rFonts w:ascii="Arial" w:cs="Arial" w:eastAsia="Arial" w:hAnsi="Arial"/>
                  <w:sz w:val="16"/>
                  <w:szCs w:val="16"/>
                  <w:color w:val="0000FF"/>
                  <w:w w:val="95"/>
                </w:rPr>
                <w:t>Purchase and Sale Agreement, dated as of April 17, 2020, by and between</w:t>
              </w:r>
            </w:hyperlink>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4860" w:type="dxa"/>
            <w:vAlign w:val="bottom"/>
            <w:tcBorders>
              <w:top w:val="single" w:sz="8" w:color="0000FF"/>
            </w:tcBorders>
            <w:gridSpan w:val="25"/>
          </w:tcPr>
          <w:p>
            <w:pPr>
              <w:spacing w:after="0"/>
              <w:rPr>
                <w:rFonts w:ascii="Arial" w:cs="Arial" w:eastAsia="Arial" w:hAnsi="Arial"/>
                <w:sz w:val="16"/>
                <w:szCs w:val="16"/>
                <w:u w:val="single" w:color="auto"/>
                <w:color w:val="0000FF"/>
              </w:rPr>
            </w:pPr>
            <w:hyperlink r:id="rId298">
              <w:r>
                <w:rPr>
                  <w:rFonts w:ascii="Arial" w:cs="Arial" w:eastAsia="Arial" w:hAnsi="Arial"/>
                  <w:sz w:val="16"/>
                  <w:szCs w:val="16"/>
                  <w:u w:val="single" w:color="auto"/>
                  <w:color w:val="0000FF"/>
                </w:rPr>
                <w:t>Clearway Energy Operating LLC and Clearway Renew LLC.</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900" w:type="dxa"/>
            <w:vAlign w:val="bottom"/>
          </w:tcPr>
          <w:p>
            <w:pPr>
              <w:spacing w:after="0"/>
              <w:rPr>
                <w:sz w:val="20"/>
                <w:szCs w:val="20"/>
                <w:color w:val="auto"/>
              </w:rPr>
            </w:pPr>
            <w:r>
              <w:rPr>
                <w:rFonts w:ascii="Arial" w:cs="Arial" w:eastAsia="Arial" w:hAnsi="Arial"/>
                <w:sz w:val="16"/>
                <w:szCs w:val="16"/>
                <w:color w:val="auto"/>
              </w:rPr>
              <w:t>10.21*^</w:t>
            </w:r>
          </w:p>
        </w:tc>
        <w:tc>
          <w:tcPr>
            <w:tcW w:w="4800" w:type="dxa"/>
            <w:vAlign w:val="bottom"/>
            <w:tcBorders>
              <w:bottom w:val="single" w:sz="8" w:color="0000FF"/>
            </w:tcBorders>
            <w:gridSpan w:val="22"/>
          </w:tcPr>
          <w:p>
            <w:pPr>
              <w:spacing w:after="0"/>
              <w:rPr>
                <w:rFonts w:ascii="Arial" w:cs="Arial" w:eastAsia="Arial" w:hAnsi="Arial"/>
                <w:sz w:val="16"/>
                <w:szCs w:val="16"/>
                <w:color w:val="0000FF"/>
                <w:w w:val="92"/>
              </w:rPr>
            </w:pPr>
            <w:hyperlink r:id="rId299">
              <w:r>
                <w:rPr>
                  <w:rFonts w:ascii="Arial" w:cs="Arial" w:eastAsia="Arial" w:hAnsi="Arial"/>
                  <w:sz w:val="16"/>
                  <w:szCs w:val="16"/>
                  <w:color w:val="0000FF"/>
                  <w:w w:val="92"/>
                </w:rPr>
                <w:t>Membership Interest Purchase Agreement, dated as of April 17, 2020, by</w:t>
              </w:r>
            </w:hyperlink>
          </w:p>
        </w:tc>
        <w:tc>
          <w:tcPr>
            <w:tcW w:w="3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5100" w:type="dxa"/>
            <w:vAlign w:val="bottom"/>
            <w:gridSpan w:val="37"/>
          </w:tcPr>
          <w:p>
            <w:pPr>
              <w:spacing w:after="0"/>
              <w:rPr>
                <w:rFonts w:ascii="Arial" w:cs="Arial" w:eastAsia="Arial" w:hAnsi="Arial"/>
                <w:sz w:val="16"/>
                <w:szCs w:val="16"/>
                <w:u w:val="single" w:color="auto"/>
                <w:color w:val="0000FF"/>
                <w:w w:val="95"/>
              </w:rPr>
            </w:pPr>
            <w:hyperlink r:id="rId299">
              <w:r>
                <w:rPr>
                  <w:rFonts w:ascii="Arial" w:cs="Arial" w:eastAsia="Arial" w:hAnsi="Arial"/>
                  <w:sz w:val="16"/>
                  <w:szCs w:val="16"/>
                  <w:u w:val="single" w:color="auto"/>
                  <w:color w:val="0000FF"/>
                  <w:w w:val="95"/>
                </w:rPr>
                <w:t>and between Clearway Energy Operating LLC and SP Wind Holdings, LLC.</w:t>
              </w:r>
            </w:hyperlink>
          </w:p>
        </w:tc>
        <w:tc>
          <w:tcPr>
            <w:tcW w:w="0" w:type="dxa"/>
            <w:vAlign w:val="bottom"/>
          </w:tcPr>
          <w:p>
            <w:pPr>
              <w:spacing w:after="0"/>
              <w:rPr>
                <w:sz w:val="1"/>
                <w:szCs w:val="1"/>
                <w:color w:val="auto"/>
              </w:rPr>
            </w:pPr>
          </w:p>
        </w:tc>
      </w:tr>
      <w:tr>
        <w:trPr>
          <w:trHeight w:val="320"/>
        </w:trPr>
        <w:tc>
          <w:tcPr>
            <w:tcW w:w="900" w:type="dxa"/>
            <w:vAlign w:val="bottom"/>
          </w:tcPr>
          <w:p>
            <w:pPr>
              <w:spacing w:after="0"/>
              <w:rPr>
                <w:sz w:val="20"/>
                <w:szCs w:val="20"/>
                <w:color w:val="auto"/>
              </w:rPr>
            </w:pPr>
            <w:r>
              <w:rPr>
                <w:rFonts w:ascii="Arial" w:cs="Arial" w:eastAsia="Arial" w:hAnsi="Arial"/>
                <w:sz w:val="16"/>
                <w:szCs w:val="16"/>
                <w:color w:val="auto"/>
              </w:rPr>
              <w:t>10.22*^</w:t>
            </w:r>
          </w:p>
        </w:tc>
        <w:tc>
          <w:tcPr>
            <w:tcW w:w="5100" w:type="dxa"/>
            <w:vAlign w:val="bottom"/>
            <w:gridSpan w:val="37"/>
          </w:tcPr>
          <w:p>
            <w:pPr>
              <w:spacing w:after="0"/>
              <w:rPr>
                <w:rFonts w:ascii="Arial" w:cs="Arial" w:eastAsia="Arial" w:hAnsi="Arial"/>
                <w:sz w:val="16"/>
                <w:szCs w:val="16"/>
                <w:color w:val="0000FF"/>
                <w:w w:val="98"/>
              </w:rPr>
            </w:pPr>
            <w:hyperlink r:id="rId300">
              <w:r>
                <w:rPr>
                  <w:rFonts w:ascii="Arial" w:cs="Arial" w:eastAsia="Arial" w:hAnsi="Arial"/>
                  <w:sz w:val="16"/>
                  <w:szCs w:val="16"/>
                  <w:color w:val="0000FF"/>
                  <w:w w:val="98"/>
                </w:rPr>
                <w:t>Membership Interest Purchase Agreement, dated as of April 17, 2020,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w w:val="93"/>
              </w:rPr>
            </w:pPr>
            <w:hyperlink r:id="rId300">
              <w:r>
                <w:rPr>
                  <w:rFonts w:ascii="Arial" w:cs="Arial" w:eastAsia="Arial" w:hAnsi="Arial"/>
                  <w:sz w:val="16"/>
                  <w:szCs w:val="16"/>
                  <w:color w:val="0000FF"/>
                  <w:w w:val="93"/>
                </w:rPr>
                <w:t>and between CWSP Wildorado Elbow Holding LLC and Wind TE Holdco</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00" w:type="dxa"/>
            <w:vAlign w:val="bottom"/>
            <w:gridSpan w:val="27"/>
          </w:tcPr>
          <w:p>
            <w:pPr>
              <w:spacing w:after="0" w:line="142" w:lineRule="exact"/>
              <w:rPr>
                <w:rFonts w:ascii="Arial" w:cs="Arial" w:eastAsia="Arial" w:hAnsi="Arial"/>
                <w:sz w:val="16"/>
                <w:szCs w:val="16"/>
                <w:color w:val="0000FF"/>
              </w:rPr>
            </w:pPr>
            <w:hyperlink r:id="rId300">
              <w:r>
                <w:rPr>
                  <w:rFonts w:ascii="Arial" w:cs="Arial" w:eastAsia="Arial" w:hAnsi="Arial"/>
                  <w:sz w:val="16"/>
                  <w:szCs w:val="16"/>
                  <w:color w:val="0000FF"/>
                </w:rPr>
                <w:t>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color w:val="auto"/>
              </w:rPr>
              <w:t>10.23</w:t>
            </w:r>
          </w:p>
        </w:tc>
        <w:tc>
          <w:tcPr>
            <w:tcW w:w="5100" w:type="dxa"/>
            <w:vAlign w:val="bottom"/>
            <w:gridSpan w:val="37"/>
          </w:tcPr>
          <w:p>
            <w:pPr>
              <w:spacing w:after="0"/>
              <w:rPr>
                <w:rFonts w:ascii="Arial" w:cs="Arial" w:eastAsia="Arial" w:hAnsi="Arial"/>
                <w:sz w:val="16"/>
                <w:szCs w:val="16"/>
                <w:color w:val="0000FF"/>
              </w:rPr>
            </w:pPr>
            <w:hyperlink r:id="rId301">
              <w:r>
                <w:rPr>
                  <w:rFonts w:ascii="Arial" w:cs="Arial" w:eastAsia="Arial" w:hAnsi="Arial"/>
                  <w:sz w:val="16"/>
                  <w:szCs w:val="16"/>
                  <w:color w:val="0000FF"/>
                </w:rPr>
                <w:t>Fourth Amendment to Right of First Offer Agreement,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300" w:type="dxa"/>
            <w:vAlign w:val="bottom"/>
            <w:tcBorders>
              <w:top w:val="single" w:sz="8" w:color="0000FF"/>
            </w:tcBorders>
            <w:gridSpan w:val="11"/>
          </w:tcPr>
          <w:p>
            <w:pPr>
              <w:spacing w:after="0" w:line="142" w:lineRule="exact"/>
              <w:rPr>
                <w:rFonts w:ascii="Arial" w:cs="Arial" w:eastAsia="Arial" w:hAnsi="Arial"/>
                <w:sz w:val="16"/>
                <w:szCs w:val="16"/>
                <w:color w:val="0000FF"/>
                <w:w w:val="92"/>
              </w:rPr>
            </w:pPr>
            <w:hyperlink r:id="rId301">
              <w:r>
                <w:rPr>
                  <w:rFonts w:ascii="Arial" w:cs="Arial" w:eastAsia="Arial" w:hAnsi="Arial"/>
                  <w:sz w:val="16"/>
                  <w:szCs w:val="16"/>
                  <w:color w:val="0000FF"/>
                  <w:w w:val="92"/>
                </w:rPr>
                <w:t>November 2, 2020, by and between Clearway Energy Group LLC</w:t>
              </w:r>
            </w:hyperlink>
          </w:p>
        </w:tc>
        <w:tc>
          <w:tcPr>
            <w:tcW w:w="800" w:type="dxa"/>
            <w:vAlign w:val="bottom"/>
            <w:gridSpan w:val="26"/>
          </w:tcPr>
          <w:p>
            <w:pPr>
              <w:ind w:left="20"/>
              <w:spacing w:after="0" w:line="142" w:lineRule="exact"/>
              <w:rPr>
                <w:rFonts w:ascii="Arial" w:cs="Arial" w:eastAsia="Arial" w:hAnsi="Arial"/>
                <w:sz w:val="16"/>
                <w:szCs w:val="16"/>
                <w:color w:val="0000FF"/>
              </w:rPr>
            </w:pPr>
            <w:hyperlink r:id="rId301">
              <w:r>
                <w:rPr>
                  <w:rFonts w:ascii="Arial" w:cs="Arial" w:eastAsia="Arial" w:hAnsi="Arial"/>
                  <w:sz w:val="16"/>
                  <w:szCs w:val="16"/>
                  <w:color w:val="0000FF"/>
                </w:rPr>
                <w:t>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301">
              <w:r>
                <w:rPr>
                  <w:rFonts w:ascii="Arial" w:cs="Arial" w:eastAsia="Arial" w:hAnsi="Arial"/>
                  <w:sz w:val="16"/>
                  <w:szCs w:val="16"/>
                  <w:color w:val="0000FF"/>
                </w:rPr>
                <w:t>Clearway Energy, Inc.</w:t>
              </w:r>
            </w:hyperlink>
          </w:p>
        </w:tc>
        <w:tc>
          <w:tcPr>
            <w:tcW w:w="14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color w:val="auto"/>
              </w:rPr>
              <w:t>10.24†*</w:t>
            </w:r>
          </w:p>
        </w:tc>
        <w:tc>
          <w:tcPr>
            <w:tcW w:w="5100" w:type="dxa"/>
            <w:vAlign w:val="bottom"/>
            <w:gridSpan w:val="37"/>
          </w:tcPr>
          <w:p>
            <w:pPr>
              <w:spacing w:after="0"/>
              <w:rPr>
                <w:rFonts w:ascii="Arial" w:cs="Arial" w:eastAsia="Arial" w:hAnsi="Arial"/>
                <w:sz w:val="16"/>
                <w:szCs w:val="16"/>
                <w:color w:val="0000FF"/>
                <w:w w:val="94"/>
              </w:rPr>
            </w:pPr>
            <w:hyperlink r:id="rId302">
              <w:r>
                <w:rPr>
                  <w:rFonts w:ascii="Arial" w:cs="Arial" w:eastAsia="Arial" w:hAnsi="Arial"/>
                  <w:sz w:val="16"/>
                  <w:szCs w:val="16"/>
                  <w:color w:val="0000FF"/>
                  <w:w w:val="94"/>
                </w:rPr>
                <w:t>Membership Interest Purchase Agreement, dated as of December 21, 2020,</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28"/>
          </w:tcPr>
          <w:p>
            <w:pPr>
              <w:spacing w:after="0" w:line="142" w:lineRule="exact"/>
              <w:rPr>
                <w:rFonts w:ascii="Arial" w:cs="Arial" w:eastAsia="Arial" w:hAnsi="Arial"/>
                <w:sz w:val="16"/>
                <w:szCs w:val="16"/>
                <w:color w:val="0000FF"/>
                <w:w w:val="95"/>
              </w:rPr>
            </w:pPr>
            <w:hyperlink r:id="rId302">
              <w:r>
                <w:rPr>
                  <w:rFonts w:ascii="Arial" w:cs="Arial" w:eastAsia="Arial" w:hAnsi="Arial"/>
                  <w:sz w:val="16"/>
                  <w:szCs w:val="16"/>
                  <w:color w:val="0000FF"/>
                  <w:w w:val="95"/>
                </w:rPr>
                <w:t>by and between Renew Development HoldCo LLC and Rosamond Solar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302">
              <w:r>
                <w:rPr>
                  <w:rFonts w:ascii="Arial" w:cs="Arial" w:eastAsia="Arial" w:hAnsi="Arial"/>
                  <w:sz w:val="16"/>
                  <w:szCs w:val="16"/>
                  <w:color w:val="0000FF"/>
                </w:rPr>
                <w:t>Investment LLC.</w:t>
              </w:r>
            </w:hyperlink>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3740" w:type="dxa"/>
            <w:vAlign w:val="bottom"/>
            <w:gridSpan w:val="1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color w:val="auto"/>
              </w:rPr>
              <w:t>10.25†*</w:t>
            </w:r>
          </w:p>
        </w:tc>
        <w:tc>
          <w:tcPr>
            <w:tcW w:w="5100" w:type="dxa"/>
            <w:vAlign w:val="bottom"/>
            <w:gridSpan w:val="37"/>
          </w:tcPr>
          <w:p>
            <w:pPr>
              <w:spacing w:after="0"/>
              <w:rPr>
                <w:rFonts w:ascii="Arial" w:cs="Arial" w:eastAsia="Arial" w:hAnsi="Arial"/>
                <w:sz w:val="16"/>
                <w:szCs w:val="16"/>
                <w:color w:val="0000FF"/>
                <w:w w:val="94"/>
              </w:rPr>
            </w:pPr>
            <w:hyperlink r:id="rId303">
              <w:r>
                <w:rPr>
                  <w:rFonts w:ascii="Arial" w:cs="Arial" w:eastAsia="Arial" w:hAnsi="Arial"/>
                  <w:sz w:val="16"/>
                  <w:szCs w:val="16"/>
                  <w:color w:val="0000FF"/>
                  <w:w w:val="94"/>
                </w:rPr>
                <w:t>Membership Interest Purchase Agreement, dated as of December 21, 2020,</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60" w:type="dxa"/>
            <w:vAlign w:val="bottom"/>
            <w:tcBorders>
              <w:top w:val="single" w:sz="8" w:color="0000FF"/>
            </w:tcBorders>
            <w:gridSpan w:val="30"/>
          </w:tcPr>
          <w:p>
            <w:pPr>
              <w:spacing w:after="0" w:line="142" w:lineRule="exact"/>
              <w:rPr>
                <w:rFonts w:ascii="Arial" w:cs="Arial" w:eastAsia="Arial" w:hAnsi="Arial"/>
                <w:sz w:val="16"/>
                <w:szCs w:val="16"/>
                <w:color w:val="0000FF"/>
                <w:w w:val="93"/>
              </w:rPr>
            </w:pPr>
            <w:hyperlink r:id="rId303">
              <w:r>
                <w:rPr>
                  <w:rFonts w:ascii="Arial" w:cs="Arial" w:eastAsia="Arial" w:hAnsi="Arial"/>
                  <w:sz w:val="16"/>
                  <w:szCs w:val="16"/>
                  <w:color w:val="0000FF"/>
                  <w:w w:val="93"/>
                </w:rPr>
                <w:t>by and between Clearway Renew LLC and Lighthouse Renewable Class A</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303">
              <w:r>
                <w:rPr>
                  <w:rFonts w:ascii="Arial" w:cs="Arial" w:eastAsia="Arial" w:hAnsi="Arial"/>
                  <w:sz w:val="16"/>
                  <w:szCs w:val="16"/>
                  <w:color w:val="0000FF"/>
                </w:rPr>
                <w:t>LLC.</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520" w:type="dxa"/>
            <w:vAlign w:val="bottom"/>
            <w:tcBorders>
              <w:left w:val="single" w:sz="8" w:color="0000FF"/>
            </w:tcBorders>
            <w:gridSpan w:val="2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color w:val="auto"/>
              </w:rPr>
              <w:t>10.26†*</w:t>
            </w:r>
          </w:p>
        </w:tc>
        <w:tc>
          <w:tcPr>
            <w:tcW w:w="5100" w:type="dxa"/>
            <w:vAlign w:val="bottom"/>
            <w:gridSpan w:val="37"/>
          </w:tcPr>
          <w:p>
            <w:pPr>
              <w:spacing w:after="0"/>
              <w:rPr>
                <w:rFonts w:ascii="Arial" w:cs="Arial" w:eastAsia="Arial" w:hAnsi="Arial"/>
                <w:sz w:val="16"/>
                <w:szCs w:val="16"/>
                <w:color w:val="0000FF"/>
                <w:w w:val="94"/>
              </w:rPr>
            </w:pPr>
            <w:hyperlink r:id="rId304">
              <w:r>
                <w:rPr>
                  <w:rFonts w:ascii="Arial" w:cs="Arial" w:eastAsia="Arial" w:hAnsi="Arial"/>
                  <w:sz w:val="16"/>
                  <w:szCs w:val="16"/>
                  <w:color w:val="0000FF"/>
                  <w:w w:val="94"/>
                </w:rPr>
                <w:t>Membership Interest Purchase Agreement, dated as of December 21, 2020,</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60" w:type="dxa"/>
            <w:vAlign w:val="bottom"/>
            <w:tcBorders>
              <w:top w:val="single" w:sz="8" w:color="0000FF"/>
            </w:tcBorders>
            <w:gridSpan w:val="30"/>
          </w:tcPr>
          <w:p>
            <w:pPr>
              <w:spacing w:after="0" w:line="142" w:lineRule="exact"/>
              <w:rPr>
                <w:rFonts w:ascii="Arial" w:cs="Arial" w:eastAsia="Arial" w:hAnsi="Arial"/>
                <w:sz w:val="16"/>
                <w:szCs w:val="16"/>
                <w:color w:val="0000FF"/>
                <w:w w:val="93"/>
              </w:rPr>
            </w:pPr>
            <w:hyperlink r:id="rId304">
              <w:r>
                <w:rPr>
                  <w:rFonts w:ascii="Arial" w:cs="Arial" w:eastAsia="Arial" w:hAnsi="Arial"/>
                  <w:sz w:val="16"/>
                  <w:szCs w:val="16"/>
                  <w:color w:val="0000FF"/>
                  <w:w w:val="93"/>
                </w:rPr>
                <w:t>by and between Clearway Renew LLC and Lighthouse Renewable Class A</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304">
              <w:r>
                <w:rPr>
                  <w:rFonts w:ascii="Arial" w:cs="Arial" w:eastAsia="Arial" w:hAnsi="Arial"/>
                  <w:sz w:val="16"/>
                  <w:szCs w:val="16"/>
                  <w:color w:val="0000FF"/>
                </w:rPr>
                <w:t>LLC.</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520" w:type="dxa"/>
            <w:vAlign w:val="bottom"/>
            <w:tcBorders>
              <w:left w:val="single" w:sz="8" w:color="0000FF"/>
            </w:tcBorders>
            <w:gridSpan w:val="2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color w:val="auto"/>
              </w:rPr>
              <w:t>10.27*^</w:t>
            </w:r>
          </w:p>
        </w:tc>
        <w:tc>
          <w:tcPr>
            <w:tcW w:w="5100" w:type="dxa"/>
            <w:vAlign w:val="bottom"/>
            <w:gridSpan w:val="37"/>
          </w:tcPr>
          <w:p>
            <w:pPr>
              <w:spacing w:after="0"/>
              <w:rPr>
                <w:rFonts w:ascii="Arial" w:cs="Arial" w:eastAsia="Arial" w:hAnsi="Arial"/>
                <w:sz w:val="16"/>
                <w:szCs w:val="16"/>
                <w:color w:val="0000FF"/>
                <w:w w:val="98"/>
              </w:rPr>
            </w:pPr>
            <w:hyperlink w:anchor="page255">
              <w:r>
                <w:rPr>
                  <w:rFonts w:ascii="Arial" w:cs="Arial" w:eastAsia="Arial" w:hAnsi="Arial"/>
                  <w:sz w:val="16"/>
                  <w:szCs w:val="16"/>
                  <w:color w:val="0000FF"/>
                  <w:w w:val="98"/>
                </w:rPr>
                <w:t>Second Amended and Restated Limited Liability Company Agreement of</w:t>
              </w:r>
            </w:hyperlink>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840" w:type="dxa"/>
            <w:vAlign w:val="bottom"/>
            <w:tcBorders>
              <w:top w:val="single" w:sz="8" w:color="0000FF"/>
            </w:tcBorders>
            <w:gridSpan w:val="24"/>
          </w:tcPr>
          <w:p>
            <w:pPr>
              <w:spacing w:after="0"/>
              <w:rPr>
                <w:rFonts w:ascii="Arial" w:cs="Arial" w:eastAsia="Arial" w:hAnsi="Arial"/>
                <w:sz w:val="16"/>
                <w:szCs w:val="16"/>
                <w:u w:val="single" w:color="auto"/>
                <w:color w:val="0000FF"/>
                <w:w w:val="96"/>
              </w:rPr>
            </w:pPr>
            <w:hyperlink w:anchor="page255">
              <w:r>
                <w:rPr>
                  <w:rFonts w:ascii="Arial" w:cs="Arial" w:eastAsia="Arial" w:hAnsi="Arial"/>
                  <w:sz w:val="16"/>
                  <w:szCs w:val="16"/>
                  <w:u w:val="single" w:color="auto"/>
                  <w:color w:val="0000FF"/>
                  <w:w w:val="96"/>
                </w:rPr>
                <w:t>Pinnacle Repowering Partnership LLC, dated as of February 26, 2021.</w:t>
              </w:r>
            </w:hyperlink>
          </w:p>
        </w:tc>
        <w:tc>
          <w:tcPr>
            <w:tcW w:w="26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20"/>
                <w:szCs w:val="20"/>
                <w:color w:val="auto"/>
              </w:rPr>
            </w:pPr>
            <w:r>
              <w:rPr>
                <w:rFonts w:ascii="Arial" w:cs="Arial" w:eastAsia="Arial" w:hAnsi="Arial"/>
                <w:sz w:val="16"/>
                <w:szCs w:val="16"/>
                <w:color w:val="auto"/>
              </w:rPr>
              <w:t>21.1</w:t>
            </w:r>
          </w:p>
        </w:tc>
        <w:tc>
          <w:tcPr>
            <w:tcW w:w="5100" w:type="dxa"/>
            <w:vAlign w:val="bottom"/>
            <w:gridSpan w:val="37"/>
          </w:tcPr>
          <w:p>
            <w:pPr>
              <w:spacing w:after="0"/>
              <w:rPr>
                <w:rFonts w:ascii="Arial" w:cs="Arial" w:eastAsia="Arial" w:hAnsi="Arial"/>
                <w:sz w:val="16"/>
                <w:szCs w:val="16"/>
                <w:u w:val="single" w:color="auto"/>
                <w:color w:val="0000FF"/>
              </w:rPr>
            </w:pPr>
            <w:hyperlink w:anchor="page336">
              <w:r>
                <w:rPr>
                  <w:rFonts w:ascii="Arial" w:cs="Arial" w:eastAsia="Arial" w:hAnsi="Arial"/>
                  <w:sz w:val="16"/>
                  <w:szCs w:val="16"/>
                  <w:u w:val="single" w:color="auto"/>
                  <w:color w:val="0000FF"/>
                </w:rPr>
                <w:t>Subsidiaries of Clearway Energy LLC.</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6"/>
                <w:szCs w:val="16"/>
                <w:color w:val="auto"/>
              </w:rPr>
              <w:t>22.1</w:t>
            </w:r>
          </w:p>
        </w:tc>
        <w:tc>
          <w:tcPr>
            <w:tcW w:w="5100" w:type="dxa"/>
            <w:vAlign w:val="bottom"/>
            <w:gridSpan w:val="37"/>
          </w:tcPr>
          <w:p>
            <w:pPr>
              <w:spacing w:after="0"/>
              <w:rPr>
                <w:rFonts w:ascii="Arial" w:cs="Arial" w:eastAsia="Arial" w:hAnsi="Arial"/>
                <w:sz w:val="16"/>
                <w:szCs w:val="16"/>
                <w:u w:val="single" w:color="auto"/>
                <w:color w:val="0000FF"/>
              </w:rPr>
            </w:pPr>
            <w:hyperlink w:anchor="page347">
              <w:r>
                <w:rPr>
                  <w:rFonts w:ascii="Arial" w:cs="Arial" w:eastAsia="Arial" w:hAnsi="Arial"/>
                  <w:sz w:val="16"/>
                  <w:szCs w:val="16"/>
                  <w:u w:val="single" w:color="auto"/>
                  <w:color w:val="0000FF"/>
                </w:rPr>
                <w:t>Guarantors.</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6"/>
                <w:szCs w:val="16"/>
                <w:color w:val="auto"/>
              </w:rPr>
              <w:t>24.1</w:t>
            </w:r>
          </w:p>
        </w:tc>
        <w:tc>
          <w:tcPr>
            <w:tcW w:w="5100" w:type="dxa"/>
            <w:vAlign w:val="bottom"/>
            <w:gridSpan w:val="37"/>
          </w:tcPr>
          <w:p>
            <w:pPr>
              <w:spacing w:after="0"/>
              <w:rPr>
                <w:rFonts w:ascii="Arial" w:cs="Arial" w:eastAsia="Arial" w:hAnsi="Arial"/>
                <w:sz w:val="16"/>
                <w:szCs w:val="16"/>
                <w:u w:val="single" w:color="auto"/>
                <w:color w:val="0000FF"/>
              </w:rPr>
            </w:pPr>
            <w:hyperlink w:anchor="page162">
              <w:r>
                <w:rPr>
                  <w:rFonts w:ascii="Arial" w:cs="Arial" w:eastAsia="Arial" w:hAnsi="Arial"/>
                  <w:sz w:val="16"/>
                  <w:szCs w:val="16"/>
                  <w:u w:val="single" w:color="auto"/>
                  <w:color w:val="0000FF"/>
                </w:rPr>
                <w:t>Power of Attorney.</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6"/>
                <w:szCs w:val="16"/>
                <w:color w:val="auto"/>
              </w:rPr>
              <w:t>31.1</w:t>
            </w:r>
          </w:p>
        </w:tc>
        <w:tc>
          <w:tcPr>
            <w:tcW w:w="5100" w:type="dxa"/>
            <w:vAlign w:val="bottom"/>
            <w:gridSpan w:val="37"/>
          </w:tcPr>
          <w:p>
            <w:pPr>
              <w:spacing w:after="0"/>
              <w:rPr>
                <w:rFonts w:ascii="Arial" w:cs="Arial" w:eastAsia="Arial" w:hAnsi="Arial"/>
                <w:sz w:val="16"/>
                <w:szCs w:val="16"/>
                <w:u w:val="single" w:color="auto"/>
                <w:color w:val="0000FF"/>
              </w:rPr>
            </w:pPr>
            <w:hyperlink w:anchor="page348">
              <w:r>
                <w:rPr>
                  <w:rFonts w:ascii="Arial" w:cs="Arial" w:eastAsia="Arial" w:hAnsi="Arial"/>
                  <w:sz w:val="16"/>
                  <w:szCs w:val="16"/>
                  <w:u w:val="single" w:color="auto"/>
                  <w:color w:val="0000FF"/>
                </w:rPr>
                <w:t>Rule 13a-14(a)/15d-14(a) certification of Christopher S. Sotos.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39"/>
        <w:spacing w:after="0" w:line="230"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May 5, 2016.</w:t>
      </w:r>
    </w:p>
    <w:p>
      <w:pPr>
        <w:spacing w:after="0" w:line="200" w:lineRule="exact"/>
        <w:rPr>
          <w:sz w:val="20"/>
          <w:szCs w:val="20"/>
          <w:color w:val="auto"/>
        </w:rPr>
      </w:pPr>
    </w:p>
    <w:p>
      <w:pPr>
        <w:spacing w:after="0" w:line="243" w:lineRule="exact"/>
        <w:rPr>
          <w:sz w:val="20"/>
          <w:szCs w:val="20"/>
          <w:color w:val="auto"/>
        </w:rPr>
      </w:pPr>
    </w:p>
    <w:p>
      <w:pPr>
        <w:ind w:right="439"/>
        <w:spacing w:after="0" w:line="230" w:lineRule="auto"/>
        <w:rPr>
          <w:sz w:val="20"/>
          <w:szCs w:val="20"/>
          <w:color w:val="auto"/>
        </w:rPr>
      </w:pPr>
      <w:r>
        <w:rPr>
          <w:rFonts w:ascii="Arial" w:cs="Arial" w:eastAsia="Arial" w:hAnsi="Arial"/>
          <w:sz w:val="16"/>
          <w:szCs w:val="16"/>
          <w:color w:val="auto"/>
        </w:rPr>
        <w:t>Incorporated herein by reference to Exhibit 10.3 to Clearway Energy, Inc.'s Quarterly Report on Form 10-Q filed on May 5, 2016.</w:t>
      </w:r>
    </w:p>
    <w:p>
      <w:pPr>
        <w:spacing w:after="0" w:line="254" w:lineRule="exact"/>
        <w:rPr>
          <w:sz w:val="20"/>
          <w:szCs w:val="20"/>
          <w:color w:val="auto"/>
        </w:rPr>
      </w:pPr>
    </w:p>
    <w:p>
      <w:pPr>
        <w:ind w:right="399"/>
        <w:spacing w:after="0" w:line="230"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9, 2016.</w:t>
      </w:r>
    </w:p>
    <w:p>
      <w:pPr>
        <w:spacing w:after="0" w:line="200" w:lineRule="exact"/>
        <w:rPr>
          <w:sz w:val="20"/>
          <w:szCs w:val="20"/>
          <w:color w:val="auto"/>
        </w:rPr>
      </w:pPr>
    </w:p>
    <w:p>
      <w:pPr>
        <w:spacing w:after="0" w:line="243" w:lineRule="exact"/>
        <w:rPr>
          <w:sz w:val="20"/>
          <w:szCs w:val="20"/>
          <w:color w:val="auto"/>
        </w:rPr>
      </w:pPr>
    </w:p>
    <w:p>
      <w:pPr>
        <w:ind w:right="459"/>
        <w:spacing w:after="0" w:line="230" w:lineRule="auto"/>
        <w:rPr>
          <w:sz w:val="20"/>
          <w:szCs w:val="20"/>
          <w:color w:val="auto"/>
        </w:rPr>
      </w:pPr>
      <w:r>
        <w:rPr>
          <w:rFonts w:ascii="Arial" w:cs="Arial" w:eastAsia="Arial" w:hAnsi="Arial"/>
          <w:sz w:val="16"/>
          <w:szCs w:val="16"/>
          <w:color w:val="auto"/>
        </w:rPr>
        <w:t>Incorporated herein by reference to Exhibit 10.1 to Clearway Energy, Inc.'s Current Report on Form 8-K/A, filed on August 9, 2016.</w:t>
      </w:r>
    </w:p>
    <w:p>
      <w:pPr>
        <w:spacing w:after="0" w:line="187" w:lineRule="exact"/>
        <w:rPr>
          <w:sz w:val="20"/>
          <w:szCs w:val="20"/>
          <w:color w:val="auto"/>
        </w:rPr>
      </w:pPr>
    </w:p>
    <w:p>
      <w:pPr>
        <w:ind w:right="539"/>
        <w:spacing w:after="0" w:line="230" w:lineRule="auto"/>
        <w:rPr>
          <w:sz w:val="20"/>
          <w:szCs w:val="20"/>
          <w:color w:val="auto"/>
        </w:rPr>
      </w:pPr>
      <w:r>
        <w:rPr>
          <w:rFonts w:ascii="Arial" w:cs="Arial" w:eastAsia="Arial" w:hAnsi="Arial"/>
          <w:sz w:val="16"/>
          <w:szCs w:val="16"/>
          <w:color w:val="auto"/>
        </w:rPr>
        <w:t>Incorporated herein by reference to Exhibit 10.28 to Clearway Energy, Inc.'s Annual Report on Form 10-K, filed on March 1, 2018.</w:t>
      </w:r>
    </w:p>
    <w:p>
      <w:pPr>
        <w:spacing w:after="0" w:line="187" w:lineRule="exact"/>
        <w:rPr>
          <w:sz w:val="20"/>
          <w:szCs w:val="20"/>
          <w:color w:val="auto"/>
        </w:rPr>
      </w:pPr>
    </w:p>
    <w:p>
      <w:pPr>
        <w:ind w:right="479"/>
        <w:spacing w:after="0" w:line="230" w:lineRule="auto"/>
        <w:rPr>
          <w:sz w:val="20"/>
          <w:szCs w:val="20"/>
          <w:color w:val="auto"/>
        </w:rPr>
      </w:pPr>
      <w:r>
        <w:rPr>
          <w:rFonts w:ascii="Arial" w:cs="Arial" w:eastAsia="Arial" w:hAnsi="Arial"/>
          <w:sz w:val="16"/>
          <w:szCs w:val="16"/>
          <w:color w:val="auto"/>
        </w:rPr>
        <w:t>Incorporated herein by reference to Exhibit 10.30 to the Company's Annual Report on Form 10-K filed on February 28, 2019.</w:t>
      </w:r>
    </w:p>
    <w:p>
      <w:pPr>
        <w:spacing w:after="0" w:line="92" w:lineRule="exact"/>
        <w:rPr>
          <w:sz w:val="20"/>
          <w:szCs w:val="20"/>
          <w:color w:val="auto"/>
        </w:rPr>
      </w:pPr>
    </w:p>
    <w:p>
      <w:pPr>
        <w:ind w:right="659"/>
        <w:spacing w:after="0" w:line="230"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May 15, 2015.</w:t>
      </w:r>
    </w:p>
    <w:p>
      <w:pPr>
        <w:spacing w:after="0" w:line="173" w:lineRule="exact"/>
        <w:rPr>
          <w:sz w:val="20"/>
          <w:szCs w:val="20"/>
          <w:color w:val="auto"/>
        </w:rPr>
      </w:pPr>
    </w:p>
    <w:p>
      <w:pPr>
        <w:ind w:right="479"/>
        <w:spacing w:after="0" w:line="230" w:lineRule="auto"/>
        <w:rPr>
          <w:sz w:val="20"/>
          <w:szCs w:val="20"/>
          <w:color w:val="auto"/>
        </w:rPr>
      </w:pPr>
      <w:r>
        <w:rPr>
          <w:rFonts w:ascii="Arial" w:cs="Arial" w:eastAsia="Arial" w:hAnsi="Arial"/>
          <w:sz w:val="16"/>
          <w:szCs w:val="16"/>
          <w:color w:val="auto"/>
        </w:rPr>
        <w:t>Incorporated herein by reference to Exhibit 10.26 to the Clearway Energy, Inc. Annual Report on Form 10-K filed on March 2, 2020.</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jc w:val="both"/>
        <w:ind w:right="539"/>
        <w:spacing w:after="0" w:line="230"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April 20, 2020.</w:t>
      </w:r>
    </w:p>
    <w:p>
      <w:pPr>
        <w:spacing w:after="0" w:line="11" w:lineRule="exact"/>
        <w:rPr>
          <w:sz w:val="20"/>
          <w:szCs w:val="20"/>
          <w:color w:val="auto"/>
        </w:rPr>
      </w:pPr>
    </w:p>
    <w:p>
      <w:pPr>
        <w:jc w:val="both"/>
        <w:ind w:right="539"/>
        <w:spacing w:after="0" w:line="230"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April 20, 2020.</w:t>
      </w:r>
    </w:p>
    <w:p>
      <w:pPr>
        <w:spacing w:after="0" w:line="11" w:lineRule="exact"/>
        <w:rPr>
          <w:sz w:val="20"/>
          <w:szCs w:val="20"/>
          <w:color w:val="auto"/>
        </w:rPr>
      </w:pPr>
    </w:p>
    <w:p>
      <w:pPr>
        <w:jc w:val="both"/>
        <w:ind w:right="539"/>
        <w:spacing w:after="0" w:line="230"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April 20, 2020.</w:t>
      </w:r>
    </w:p>
    <w:p>
      <w:pPr>
        <w:spacing w:after="0" w:line="11" w:lineRule="exact"/>
        <w:rPr>
          <w:sz w:val="20"/>
          <w:szCs w:val="20"/>
          <w:color w:val="auto"/>
        </w:rPr>
      </w:pP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November 5, 2020.</w:t>
      </w:r>
    </w:p>
    <w:p>
      <w:pPr>
        <w:spacing w:after="0" w:line="11" w:lineRule="exact"/>
        <w:rPr>
          <w:sz w:val="20"/>
          <w:szCs w:val="20"/>
          <w:color w:val="auto"/>
        </w:rPr>
      </w:pP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22, 2020.</w:t>
      </w:r>
    </w:p>
    <w:p>
      <w:pPr>
        <w:spacing w:after="0" w:line="11" w:lineRule="exact"/>
        <w:rPr>
          <w:sz w:val="20"/>
          <w:szCs w:val="20"/>
          <w:color w:val="auto"/>
        </w:rPr>
      </w:pP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December 22, 2020.</w:t>
      </w:r>
    </w:p>
    <w:p>
      <w:pPr>
        <w:spacing w:after="0" w:line="11" w:lineRule="exact"/>
        <w:rPr>
          <w:sz w:val="20"/>
          <w:szCs w:val="20"/>
          <w:color w:val="auto"/>
        </w:rPr>
      </w:pPr>
    </w:p>
    <w:p>
      <w:pPr>
        <w:ind w:right="559"/>
        <w:spacing w:after="0" w:line="230"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December 22, 2020.</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right="459"/>
        <w:spacing w:after="0"/>
        <w:rPr>
          <w:sz w:val="20"/>
          <w:szCs w:val="20"/>
          <w:color w:val="auto"/>
        </w:rPr>
      </w:pPr>
      <w:r>
        <w:rPr>
          <w:rFonts w:ascii="Arial" w:cs="Arial" w:eastAsia="Arial" w:hAnsi="Arial"/>
          <w:sz w:val="16"/>
          <w:szCs w:val="16"/>
          <w:color w:val="auto"/>
        </w:rPr>
        <w:t>Included on the signature page of this Annual Report on Form 10-K.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22" w:lineRule="exact"/>
        <w:rPr>
          <w:sz w:val="20"/>
          <w:szCs w:val="20"/>
          <w:color w:val="auto"/>
        </w:rPr>
      </w:pPr>
    </w:p>
    <w:p>
      <w:pPr>
        <w:sectPr>
          <w:pgSz w:w="11900" w:h="16838" w:orient="portrait"/>
          <w:cols w:equalWidth="0" w:num="2">
            <w:col w:w="5860" w:space="160"/>
            <w:col w:w="4099"/>
          </w:cols>
          <w:pgMar w:left="340" w:top="940"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40" w:right="1440"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06"/>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480" w:type="dxa"/>
            <w:vAlign w:val="bottom"/>
          </w:tcPr>
          <w:p>
            <w:pPr>
              <w:spacing w:after="0"/>
              <w:rPr>
                <w:sz w:val="17"/>
                <w:szCs w:val="17"/>
                <w:color w:val="auto"/>
              </w:rPr>
            </w:pPr>
          </w:p>
        </w:tc>
        <w:tc>
          <w:tcPr>
            <w:tcW w:w="4640" w:type="dxa"/>
            <w:vAlign w:val="bottom"/>
            <w:gridSpan w:val="3"/>
          </w:tcPr>
          <w:p>
            <w:pPr>
              <w:ind w:left="140"/>
              <w:spacing w:after="0"/>
              <w:rPr>
                <w:rFonts w:ascii="Arial" w:cs="Arial" w:eastAsia="Arial" w:hAnsi="Arial"/>
                <w:sz w:val="16"/>
                <w:szCs w:val="16"/>
                <w:u w:val="single" w:color="auto"/>
                <w:color w:val="0000FF"/>
              </w:rPr>
            </w:pPr>
            <w:hyperlink w:anchor="page349">
              <w:r>
                <w:rPr>
                  <w:rFonts w:ascii="Arial" w:cs="Arial" w:eastAsia="Arial" w:hAnsi="Arial"/>
                  <w:sz w:val="16"/>
                  <w:szCs w:val="16"/>
                  <w:u w:val="single" w:color="auto"/>
                  <w:color w:val="0000FF"/>
                </w:rPr>
                <w:t>Rule 13a-14(a)/15d-14(a) certification of Chad Plotkin.</w:t>
              </w:r>
            </w:hyperlink>
          </w:p>
        </w:tc>
        <w:tc>
          <w:tcPr>
            <w:tcW w:w="1920" w:type="dxa"/>
            <w:vAlign w:val="bottom"/>
          </w:tcPr>
          <w:p>
            <w:pPr>
              <w:ind w:left="620"/>
              <w:spacing w:after="0"/>
              <w:rPr>
                <w:sz w:val="20"/>
                <w:szCs w:val="20"/>
                <w:color w:val="auto"/>
              </w:rPr>
            </w:pPr>
            <w:r>
              <w:rPr>
                <w:rFonts w:ascii="Arial" w:cs="Arial" w:eastAsia="Arial" w:hAnsi="Arial"/>
                <w:sz w:val="16"/>
                <w:szCs w:val="16"/>
                <w:color w:val="auto"/>
              </w:rPr>
              <w:t>Filed herewith.</w:t>
            </w:r>
          </w:p>
        </w:tc>
      </w:tr>
      <w:tr>
        <w:trPr>
          <w:trHeight w:val="182"/>
        </w:trPr>
        <w:tc>
          <w:tcPr>
            <w:tcW w:w="280" w:type="dxa"/>
            <w:vAlign w:val="bottom"/>
          </w:tcPr>
          <w:p>
            <w:pPr>
              <w:spacing w:after="0" w:line="181" w:lineRule="exact"/>
              <w:rPr>
                <w:sz w:val="20"/>
                <w:szCs w:val="20"/>
                <w:color w:val="auto"/>
              </w:rPr>
            </w:pPr>
            <w:r>
              <w:rPr>
                <w:rFonts w:ascii="Arial" w:cs="Arial" w:eastAsia="Arial" w:hAnsi="Arial"/>
                <w:sz w:val="16"/>
                <w:szCs w:val="16"/>
                <w:color w:val="auto"/>
                <w:w w:val="83"/>
              </w:rPr>
              <w:t>31.3</w:t>
            </w:r>
          </w:p>
        </w:tc>
        <w:tc>
          <w:tcPr>
            <w:tcW w:w="480" w:type="dxa"/>
            <w:vAlign w:val="bottom"/>
          </w:tcPr>
          <w:p>
            <w:pPr>
              <w:spacing w:after="0"/>
              <w:rPr>
                <w:sz w:val="15"/>
                <w:szCs w:val="15"/>
                <w:color w:val="auto"/>
              </w:rPr>
            </w:pPr>
          </w:p>
        </w:tc>
        <w:tc>
          <w:tcPr>
            <w:tcW w:w="4640" w:type="dxa"/>
            <w:vAlign w:val="bottom"/>
            <w:gridSpan w:val="3"/>
          </w:tcPr>
          <w:p>
            <w:pPr>
              <w:ind w:left="140"/>
              <w:spacing w:after="0" w:line="181" w:lineRule="exact"/>
              <w:rPr>
                <w:rFonts w:ascii="Arial" w:cs="Arial" w:eastAsia="Arial" w:hAnsi="Arial"/>
                <w:sz w:val="16"/>
                <w:szCs w:val="16"/>
                <w:color w:val="0000FF"/>
              </w:rPr>
            </w:pPr>
            <w:hyperlink w:anchor="page350">
              <w:r>
                <w:rPr>
                  <w:rFonts w:ascii="Arial" w:cs="Arial" w:eastAsia="Arial" w:hAnsi="Arial"/>
                  <w:sz w:val="16"/>
                  <w:szCs w:val="16"/>
                  <w:u w:val="single" w:color="auto"/>
                  <w:color w:val="0000FF"/>
                </w:rPr>
                <w:t>Rule 13a-14(a)/15d-14(a) certification of</w:t>
              </w:r>
              <w:r>
                <w:rPr>
                  <w:rFonts w:ascii="Arial" w:cs="Arial" w:eastAsia="Arial" w:hAnsi="Arial"/>
                  <w:sz w:val="16"/>
                  <w:szCs w:val="16"/>
                  <w:color w:val="0000FF"/>
                </w:rPr>
                <w:t xml:space="preserve"> Sarah Rubenstein.</w:t>
              </w:r>
            </w:hyperlink>
          </w:p>
        </w:tc>
        <w:tc>
          <w:tcPr>
            <w:tcW w:w="1920" w:type="dxa"/>
            <w:vAlign w:val="bottom"/>
          </w:tcPr>
          <w:p>
            <w:pPr>
              <w:ind w:left="620"/>
              <w:spacing w:after="0" w:line="181" w:lineRule="exact"/>
              <w:rPr>
                <w:sz w:val="20"/>
                <w:szCs w:val="20"/>
                <w:color w:val="auto"/>
              </w:rPr>
            </w:pPr>
            <w:r>
              <w:rPr>
                <w:rFonts w:ascii="Arial" w:cs="Arial" w:eastAsia="Arial" w:hAnsi="Arial"/>
                <w:sz w:val="16"/>
                <w:szCs w:val="16"/>
                <w:color w:val="auto"/>
              </w:rPr>
              <w:t>Filed herewith.</w:t>
            </w:r>
          </w:p>
        </w:tc>
      </w:tr>
      <w:tr>
        <w:trPr>
          <w:trHeight w:val="231"/>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480" w:type="dxa"/>
            <w:vAlign w:val="bottom"/>
          </w:tcPr>
          <w:p>
            <w:pPr>
              <w:spacing w:after="0"/>
              <w:rPr>
                <w:sz w:val="20"/>
                <w:szCs w:val="20"/>
                <w:color w:val="auto"/>
              </w:rPr>
            </w:pPr>
          </w:p>
        </w:tc>
        <w:tc>
          <w:tcPr>
            <w:tcW w:w="2840" w:type="dxa"/>
            <w:vAlign w:val="bottom"/>
          </w:tcPr>
          <w:p>
            <w:pPr>
              <w:ind w:left="140"/>
              <w:spacing w:after="0"/>
              <w:rPr>
                <w:rFonts w:ascii="Arial" w:cs="Arial" w:eastAsia="Arial" w:hAnsi="Arial"/>
                <w:sz w:val="16"/>
                <w:szCs w:val="16"/>
                <w:u w:val="single" w:color="auto"/>
                <w:color w:val="0000FF"/>
              </w:rPr>
            </w:pPr>
            <w:hyperlink w:anchor="page351">
              <w:r>
                <w:rPr>
                  <w:rFonts w:ascii="Arial" w:cs="Arial" w:eastAsia="Arial" w:hAnsi="Arial"/>
                  <w:sz w:val="16"/>
                  <w:szCs w:val="16"/>
                  <w:u w:val="single" w:color="auto"/>
                  <w:color w:val="0000FF"/>
                </w:rPr>
                <w:t>Section 1350 Certification.</w:t>
              </w:r>
            </w:hyperlink>
          </w:p>
        </w:tc>
        <w:tc>
          <w:tcPr>
            <w:tcW w:w="1180" w:type="dxa"/>
            <w:vAlign w:val="bottom"/>
            <w:tcBorders>
              <w:top w:val="single" w:sz="8" w:color="0000FF"/>
            </w:tcBorders>
          </w:tcPr>
          <w:p>
            <w:pPr>
              <w:spacing w:after="0"/>
              <w:rPr>
                <w:sz w:val="20"/>
                <w:szCs w:val="20"/>
                <w:color w:val="auto"/>
              </w:rPr>
            </w:pPr>
          </w:p>
        </w:tc>
        <w:tc>
          <w:tcPr>
            <w:tcW w:w="620" w:type="dxa"/>
            <w:vAlign w:val="bottom"/>
          </w:tcPr>
          <w:p>
            <w:pPr>
              <w:spacing w:after="0"/>
              <w:rPr>
                <w:sz w:val="20"/>
                <w:szCs w:val="20"/>
                <w:color w:val="auto"/>
              </w:rPr>
            </w:pPr>
          </w:p>
        </w:tc>
        <w:tc>
          <w:tcPr>
            <w:tcW w:w="1920" w:type="dxa"/>
            <w:vAlign w:val="bottom"/>
          </w:tcPr>
          <w:p>
            <w:pPr>
              <w:ind w:left="620"/>
              <w:spacing w:after="0"/>
              <w:rPr>
                <w:sz w:val="20"/>
                <w:szCs w:val="20"/>
                <w:color w:val="auto"/>
              </w:rPr>
            </w:pPr>
            <w:r>
              <w:rPr>
                <w:rFonts w:ascii="Arial" w:cs="Arial" w:eastAsia="Arial" w:hAnsi="Arial"/>
                <w:sz w:val="16"/>
                <w:szCs w:val="16"/>
                <w:color w:val="auto"/>
                <w:w w:val="91"/>
              </w:rPr>
              <w:t>Furnished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480" w:type="dxa"/>
            <w:vAlign w:val="bottom"/>
          </w:tcPr>
          <w:p>
            <w:pPr>
              <w:spacing w:after="0"/>
              <w:rPr>
                <w:sz w:val="20"/>
                <w:szCs w:val="20"/>
                <w:color w:val="auto"/>
              </w:rPr>
            </w:pPr>
            <w:r>
              <w:rPr>
                <w:rFonts w:ascii="Arial" w:cs="Arial" w:eastAsia="Arial" w:hAnsi="Arial"/>
                <w:sz w:val="16"/>
                <w:szCs w:val="16"/>
                <w:color w:val="auto"/>
              </w:rPr>
              <w:t>INS</w:t>
            </w:r>
          </w:p>
        </w:tc>
        <w:tc>
          <w:tcPr>
            <w:tcW w:w="4640" w:type="dxa"/>
            <w:vAlign w:val="bottom"/>
            <w:gridSpan w:val="3"/>
          </w:tcPr>
          <w:p>
            <w:pPr>
              <w:ind w:left="140"/>
              <w:spacing w:after="0"/>
              <w:rPr>
                <w:sz w:val="20"/>
                <w:szCs w:val="20"/>
                <w:color w:val="auto"/>
              </w:rPr>
            </w:pPr>
            <w:r>
              <w:rPr>
                <w:rFonts w:ascii="Arial" w:cs="Arial" w:eastAsia="Arial" w:hAnsi="Arial"/>
                <w:sz w:val="16"/>
                <w:szCs w:val="16"/>
                <w:color w:val="auto"/>
              </w:rPr>
              <w:t>Inline XBRL Instance Document.</w:t>
            </w:r>
          </w:p>
        </w:tc>
        <w:tc>
          <w:tcPr>
            <w:tcW w:w="1920" w:type="dxa"/>
            <w:vAlign w:val="bottom"/>
          </w:tcPr>
          <w:p>
            <w:pPr>
              <w:ind w:left="62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480" w:type="dxa"/>
            <w:vAlign w:val="bottom"/>
          </w:tcPr>
          <w:p>
            <w:pPr>
              <w:spacing w:after="0"/>
              <w:rPr>
                <w:sz w:val="20"/>
                <w:szCs w:val="20"/>
                <w:color w:val="auto"/>
              </w:rPr>
            </w:pPr>
            <w:r>
              <w:rPr>
                <w:rFonts w:ascii="Arial" w:cs="Arial" w:eastAsia="Arial" w:hAnsi="Arial"/>
                <w:sz w:val="16"/>
                <w:szCs w:val="16"/>
                <w:color w:val="auto"/>
              </w:rPr>
              <w:t>SCH</w:t>
            </w:r>
          </w:p>
        </w:tc>
        <w:tc>
          <w:tcPr>
            <w:tcW w:w="4640" w:type="dxa"/>
            <w:vAlign w:val="bottom"/>
            <w:gridSpan w:val="3"/>
          </w:tcPr>
          <w:p>
            <w:pPr>
              <w:ind w:left="140"/>
              <w:spacing w:after="0"/>
              <w:rPr>
                <w:sz w:val="20"/>
                <w:szCs w:val="20"/>
                <w:color w:val="auto"/>
              </w:rPr>
            </w:pPr>
            <w:r>
              <w:rPr>
                <w:rFonts w:ascii="Arial" w:cs="Arial" w:eastAsia="Arial" w:hAnsi="Arial"/>
                <w:sz w:val="16"/>
                <w:szCs w:val="16"/>
                <w:color w:val="auto"/>
              </w:rPr>
              <w:t>Inline XBRL Taxonomy Extension Schema.</w:t>
            </w:r>
          </w:p>
        </w:tc>
        <w:tc>
          <w:tcPr>
            <w:tcW w:w="1920" w:type="dxa"/>
            <w:vAlign w:val="bottom"/>
          </w:tcPr>
          <w:p>
            <w:pPr>
              <w:ind w:left="62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480" w:type="dxa"/>
            <w:vAlign w:val="bottom"/>
          </w:tcPr>
          <w:p>
            <w:pPr>
              <w:spacing w:after="0"/>
              <w:rPr>
                <w:sz w:val="20"/>
                <w:szCs w:val="20"/>
                <w:color w:val="auto"/>
              </w:rPr>
            </w:pPr>
            <w:r>
              <w:rPr>
                <w:rFonts w:ascii="Arial" w:cs="Arial" w:eastAsia="Arial" w:hAnsi="Arial"/>
                <w:sz w:val="16"/>
                <w:szCs w:val="16"/>
                <w:color w:val="auto"/>
              </w:rPr>
              <w:t>CAL</w:t>
            </w:r>
          </w:p>
        </w:tc>
        <w:tc>
          <w:tcPr>
            <w:tcW w:w="4640" w:type="dxa"/>
            <w:vAlign w:val="bottom"/>
            <w:gridSpan w:val="3"/>
          </w:tcPr>
          <w:p>
            <w:pPr>
              <w:ind w:left="140"/>
              <w:spacing w:after="0"/>
              <w:rPr>
                <w:sz w:val="20"/>
                <w:szCs w:val="20"/>
                <w:color w:val="auto"/>
              </w:rPr>
            </w:pPr>
            <w:r>
              <w:rPr>
                <w:rFonts w:ascii="Arial" w:cs="Arial" w:eastAsia="Arial" w:hAnsi="Arial"/>
                <w:sz w:val="16"/>
                <w:szCs w:val="16"/>
                <w:color w:val="auto"/>
              </w:rPr>
              <w:t>Inline XBRL Taxonomy Extension Calculation Linkbase.</w:t>
            </w:r>
          </w:p>
        </w:tc>
        <w:tc>
          <w:tcPr>
            <w:tcW w:w="1920" w:type="dxa"/>
            <w:vAlign w:val="bottom"/>
          </w:tcPr>
          <w:p>
            <w:pPr>
              <w:ind w:left="62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480" w:type="dxa"/>
            <w:vAlign w:val="bottom"/>
          </w:tcPr>
          <w:p>
            <w:pPr>
              <w:spacing w:after="0"/>
              <w:rPr>
                <w:sz w:val="20"/>
                <w:szCs w:val="20"/>
                <w:color w:val="auto"/>
              </w:rPr>
            </w:pPr>
            <w:r>
              <w:rPr>
                <w:rFonts w:ascii="Arial" w:cs="Arial" w:eastAsia="Arial" w:hAnsi="Arial"/>
                <w:sz w:val="16"/>
                <w:szCs w:val="16"/>
                <w:color w:val="auto"/>
              </w:rPr>
              <w:t>DEF</w:t>
            </w:r>
          </w:p>
        </w:tc>
        <w:tc>
          <w:tcPr>
            <w:tcW w:w="4640" w:type="dxa"/>
            <w:vAlign w:val="bottom"/>
            <w:gridSpan w:val="3"/>
          </w:tcPr>
          <w:p>
            <w:pPr>
              <w:ind w:left="140"/>
              <w:spacing w:after="0"/>
              <w:rPr>
                <w:sz w:val="20"/>
                <w:szCs w:val="20"/>
                <w:color w:val="auto"/>
              </w:rPr>
            </w:pPr>
            <w:r>
              <w:rPr>
                <w:rFonts w:ascii="Arial" w:cs="Arial" w:eastAsia="Arial" w:hAnsi="Arial"/>
                <w:sz w:val="16"/>
                <w:szCs w:val="16"/>
                <w:color w:val="auto"/>
              </w:rPr>
              <w:t>Inline XBRL Taxonomy Extension Definition Linkbase.</w:t>
            </w:r>
          </w:p>
        </w:tc>
        <w:tc>
          <w:tcPr>
            <w:tcW w:w="1920" w:type="dxa"/>
            <w:vAlign w:val="bottom"/>
          </w:tcPr>
          <w:p>
            <w:pPr>
              <w:ind w:left="62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480" w:type="dxa"/>
            <w:vAlign w:val="bottom"/>
          </w:tcPr>
          <w:p>
            <w:pPr>
              <w:spacing w:after="0"/>
              <w:rPr>
                <w:sz w:val="20"/>
                <w:szCs w:val="20"/>
                <w:color w:val="auto"/>
              </w:rPr>
            </w:pPr>
            <w:r>
              <w:rPr>
                <w:rFonts w:ascii="Arial" w:cs="Arial" w:eastAsia="Arial" w:hAnsi="Arial"/>
                <w:sz w:val="16"/>
                <w:szCs w:val="16"/>
                <w:color w:val="auto"/>
              </w:rPr>
              <w:t>LAB</w:t>
            </w:r>
          </w:p>
        </w:tc>
        <w:tc>
          <w:tcPr>
            <w:tcW w:w="4640" w:type="dxa"/>
            <w:vAlign w:val="bottom"/>
            <w:gridSpan w:val="3"/>
          </w:tcPr>
          <w:p>
            <w:pPr>
              <w:ind w:left="140"/>
              <w:spacing w:after="0"/>
              <w:rPr>
                <w:sz w:val="20"/>
                <w:szCs w:val="20"/>
                <w:color w:val="auto"/>
              </w:rPr>
            </w:pPr>
            <w:r>
              <w:rPr>
                <w:rFonts w:ascii="Arial" w:cs="Arial" w:eastAsia="Arial" w:hAnsi="Arial"/>
                <w:sz w:val="16"/>
                <w:szCs w:val="16"/>
                <w:color w:val="auto"/>
              </w:rPr>
              <w:t>Inline XBRL Taxonomy Extension Label Linkbase.</w:t>
            </w:r>
          </w:p>
        </w:tc>
        <w:tc>
          <w:tcPr>
            <w:tcW w:w="1920" w:type="dxa"/>
            <w:vAlign w:val="bottom"/>
          </w:tcPr>
          <w:p>
            <w:pPr>
              <w:ind w:left="62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480" w:type="dxa"/>
            <w:vAlign w:val="bottom"/>
          </w:tcPr>
          <w:p>
            <w:pPr>
              <w:spacing w:after="0"/>
              <w:rPr>
                <w:sz w:val="20"/>
                <w:szCs w:val="20"/>
                <w:color w:val="auto"/>
              </w:rPr>
            </w:pPr>
            <w:r>
              <w:rPr>
                <w:rFonts w:ascii="Arial" w:cs="Arial" w:eastAsia="Arial" w:hAnsi="Arial"/>
                <w:sz w:val="16"/>
                <w:szCs w:val="16"/>
                <w:color w:val="auto"/>
              </w:rPr>
              <w:t>PRE</w:t>
            </w:r>
          </w:p>
        </w:tc>
        <w:tc>
          <w:tcPr>
            <w:tcW w:w="4640" w:type="dxa"/>
            <w:vAlign w:val="bottom"/>
            <w:gridSpan w:val="3"/>
          </w:tcPr>
          <w:p>
            <w:pPr>
              <w:ind w:left="140"/>
              <w:spacing w:after="0"/>
              <w:rPr>
                <w:sz w:val="20"/>
                <w:szCs w:val="20"/>
                <w:color w:val="auto"/>
              </w:rPr>
            </w:pPr>
            <w:r>
              <w:rPr>
                <w:rFonts w:ascii="Arial" w:cs="Arial" w:eastAsia="Arial" w:hAnsi="Arial"/>
                <w:sz w:val="16"/>
                <w:szCs w:val="16"/>
                <w:color w:val="auto"/>
              </w:rPr>
              <w:t>Inline XBRL Taxonomy Extension Presentation Linkbase.</w:t>
            </w:r>
          </w:p>
        </w:tc>
        <w:tc>
          <w:tcPr>
            <w:tcW w:w="1920" w:type="dxa"/>
            <w:vAlign w:val="bottom"/>
          </w:tcPr>
          <w:p>
            <w:pPr>
              <w:ind w:left="620"/>
              <w:spacing w:after="0"/>
              <w:rPr>
                <w:sz w:val="20"/>
                <w:szCs w:val="20"/>
                <w:color w:val="auto"/>
              </w:rPr>
            </w:pPr>
            <w:r>
              <w:rPr>
                <w:rFonts w:ascii="Arial" w:cs="Arial" w:eastAsia="Arial" w:hAnsi="Arial"/>
                <w:sz w:val="16"/>
                <w:szCs w:val="16"/>
                <w:color w:val="auto"/>
              </w:rPr>
              <w:t>Filed herewith.</w:t>
            </w:r>
          </w:p>
        </w:tc>
      </w:tr>
    </w:tbl>
    <w:p>
      <w:pPr>
        <w:spacing w:after="0" w:line="10" w:lineRule="exact"/>
        <w:rPr>
          <w:sz w:val="20"/>
          <w:szCs w:val="20"/>
          <w:color w:val="auto"/>
        </w:rPr>
      </w:pPr>
    </w:p>
    <w:p>
      <w:pPr>
        <w:ind w:left="900" w:right="5280" w:hanging="894"/>
        <w:spacing w:after="0" w:line="230"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Cover Page Interactive Data File (</w:t>
      </w:r>
      <w:r>
        <w:rPr>
          <w:rFonts w:ascii="Arial" w:cs="Arial" w:eastAsia="Arial" w:hAnsi="Arial"/>
          <w:sz w:val="16"/>
          <w:szCs w:val="16"/>
          <w:color w:val="212529"/>
        </w:rPr>
        <w:t>the cover page interactive data file does</w:t>
      </w:r>
      <w:r>
        <w:rPr>
          <w:rFonts w:ascii="Arial" w:cs="Arial" w:eastAsia="Arial" w:hAnsi="Arial"/>
          <w:sz w:val="16"/>
          <w:szCs w:val="16"/>
          <w:color w:val="auto"/>
        </w:rPr>
        <w:t xml:space="preserve"> </w:t>
      </w:r>
      <w:r>
        <w:rPr>
          <w:rFonts w:ascii="Arial" w:cs="Arial" w:eastAsia="Arial" w:hAnsi="Arial"/>
          <w:sz w:val="16"/>
          <w:szCs w:val="16"/>
          <w:color w:val="212529"/>
        </w:rPr>
        <w:t>not appear in Exhibit 104 because its Inline XBRL tags are embedded within the Inline XBRL document)</w:t>
      </w:r>
    </w:p>
    <w:p>
      <w:pPr>
        <w:spacing w:after="0" w:line="389" w:lineRule="exact"/>
        <w:rPr>
          <w:sz w:val="20"/>
          <w:szCs w:val="20"/>
          <w:color w:val="auto"/>
        </w:rPr>
      </w:pPr>
    </w:p>
    <w:p>
      <w:pPr>
        <w:ind w:left="680" w:hanging="674"/>
        <w:spacing w:after="0"/>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32" w:lineRule="exact"/>
        <w:rPr>
          <w:sz w:val="20"/>
          <w:szCs w:val="20"/>
          <w:color w:val="auto"/>
        </w:rPr>
      </w:pPr>
    </w:p>
    <w:p>
      <w:pPr>
        <w:ind w:left="680" w:hanging="674"/>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10" w:lineRule="exact"/>
        <w:rPr>
          <w:sz w:val="20"/>
          <w:szCs w:val="20"/>
          <w:color w:val="auto"/>
        </w:rPr>
      </w:pPr>
    </w:p>
    <w:p>
      <w:pPr>
        <w:ind w:left="680" w:right="120" w:hanging="674"/>
        <w:spacing w:after="0"/>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940" w:right="39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Item 16 —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190"/>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3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CLEARWAY ENERGY LLC</w:t>
      </w:r>
    </w:p>
    <w:p>
      <w:pPr>
        <w:ind w:left="672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14605</wp:posOffset>
            </wp:positionV>
            <wp:extent cx="21170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Chief Executive Officer</w:t>
      </w:r>
    </w:p>
    <w:p>
      <w:pPr>
        <w:ind w:left="6720"/>
        <w:spacing w:after="0"/>
        <w:rPr>
          <w:sz w:val="20"/>
          <w:szCs w:val="20"/>
          <w:color w:val="auto"/>
        </w:rPr>
      </w:pPr>
      <w:r>
        <w:rPr>
          <w:rFonts w:ascii="Arial" w:cs="Arial" w:eastAsia="Arial" w:hAnsi="Arial"/>
          <w:sz w:val="18"/>
          <w:szCs w:val="18"/>
          <w:i w:val="1"/>
          <w:iCs w:val="1"/>
          <w:color w:val="auto"/>
        </w:rPr>
        <w:t>(Principal Executive Officer)</w:t>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 2021</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firstLine="217"/>
        <w:spacing w:after="0" w:line="254" w:lineRule="auto"/>
        <w:rPr>
          <w:sz w:val="20"/>
          <w:szCs w:val="20"/>
          <w:color w:val="auto"/>
        </w:rPr>
      </w:pPr>
      <w:r>
        <w:rPr>
          <w:rFonts w:ascii="Arial" w:cs="Arial" w:eastAsia="Arial" w:hAnsi="Arial"/>
          <w:sz w:val="18"/>
          <w:szCs w:val="18"/>
          <w:color w:val="auto"/>
        </w:rPr>
        <w:t>Each person whose signature appears below constitutes and appoints Christopher S. Sotos, Kevin P. Malcarney and Michael A. Brown,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41" w:lineRule="exact"/>
        <w:rPr>
          <w:sz w:val="20"/>
          <w:szCs w:val="20"/>
          <w:color w:val="auto"/>
        </w:rPr>
      </w:pPr>
    </w:p>
    <w:p>
      <w:pPr>
        <w:jc w:val="both"/>
        <w:ind w:right="20" w:firstLine="182"/>
        <w:spacing w:after="0" w:line="277" w:lineRule="auto"/>
        <w:rPr>
          <w:sz w:val="20"/>
          <w:szCs w:val="20"/>
          <w:color w:val="auto"/>
        </w:rPr>
      </w:pPr>
      <w:r>
        <w:rPr>
          <w:rFonts w:ascii="Arial" w:cs="Arial" w:eastAsia="Arial" w:hAnsi="Arial"/>
          <w:sz w:val="18"/>
          <w:szCs w:val="18"/>
          <w:color w:val="auto"/>
        </w:rPr>
        <w:t>In accordance with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52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88"/>
              </w:rPr>
              <w:t>Signatures</w:t>
            </w:r>
          </w:p>
        </w:tc>
        <w:tc>
          <w:tcPr>
            <w:tcW w:w="302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1"/>
              </w:rPr>
              <w:t>/s/ CHRISTOPHER S. SOTOS</w:t>
            </w:r>
          </w:p>
        </w:tc>
        <w:tc>
          <w:tcPr>
            <w:tcW w:w="4600" w:type="dxa"/>
            <w:vAlign w:val="bottom"/>
            <w:gridSpan w:val="3"/>
          </w:tcPr>
          <w:p>
            <w:pPr>
              <w:ind w:left="52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22"/>
        </w:trPr>
        <w:tc>
          <w:tcPr>
            <w:tcW w:w="512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Christopher S. Sotos</w:t>
            </w:r>
          </w:p>
        </w:tc>
        <w:tc>
          <w:tcPr>
            <w:tcW w:w="4600" w:type="dxa"/>
            <w:vAlign w:val="bottom"/>
            <w:gridSpan w:val="3"/>
          </w:tcPr>
          <w:p>
            <w:pPr>
              <w:ind w:left="520"/>
              <w:spacing w:after="0"/>
              <w:rPr>
                <w:sz w:val="20"/>
                <w:szCs w:val="20"/>
                <w:color w:val="auto"/>
              </w:rPr>
            </w:pPr>
            <w:r>
              <w:rPr>
                <w:rFonts w:ascii="Arial" w:cs="Arial" w:eastAsia="Arial" w:hAnsi="Arial"/>
                <w:sz w:val="18"/>
                <w:szCs w:val="18"/>
                <w:i w:val="1"/>
                <w:iCs w:val="1"/>
                <w:color w:val="auto"/>
                <w:w w:val="96"/>
              </w:rPr>
              <w:t>of Clearway Energy LLC (Principal Executive Officer)</w:t>
            </w:r>
          </w:p>
        </w:tc>
        <w:tc>
          <w:tcPr>
            <w:tcW w:w="0" w:type="dxa"/>
            <w:vAlign w:val="bottom"/>
          </w:tcPr>
          <w:p>
            <w:pPr>
              <w:spacing w:after="0"/>
              <w:rPr>
                <w:sz w:val="1"/>
                <w:szCs w:val="1"/>
                <w:color w:val="auto"/>
              </w:rPr>
            </w:pPr>
          </w:p>
        </w:tc>
      </w:tr>
      <w:tr>
        <w:trPr>
          <w:trHeight w:val="230"/>
        </w:trPr>
        <w:tc>
          <w:tcPr>
            <w:tcW w:w="5120" w:type="dxa"/>
            <w:vAlign w:val="bottom"/>
            <w:gridSpan w:val="3"/>
          </w:tcPr>
          <w:p>
            <w:pPr>
              <w:ind w:left="320"/>
              <w:spacing w:after="0"/>
              <w:rPr>
                <w:sz w:val="20"/>
                <w:szCs w:val="20"/>
                <w:color w:val="auto"/>
              </w:rPr>
            </w:pPr>
            <w:r>
              <w:rPr>
                <w:rFonts w:ascii="Arial" w:cs="Arial" w:eastAsia="Arial" w:hAnsi="Arial"/>
                <w:sz w:val="18"/>
                <w:szCs w:val="18"/>
                <w:color w:val="auto"/>
              </w:rPr>
              <w:t>Date: March 1, 2021</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0" w:type="dxa"/>
            <w:vAlign w:val="bottom"/>
            <w:gridSpan w:val="3"/>
          </w:tcPr>
          <w:p>
            <w:pPr>
              <w:ind w:left="520"/>
              <w:spacing w:after="0"/>
              <w:rPr>
                <w:sz w:val="20"/>
                <w:szCs w:val="20"/>
                <w:color w:val="auto"/>
              </w:rPr>
            </w:pPr>
            <w:r>
              <w:rPr>
                <w:rFonts w:ascii="Arial" w:cs="Arial" w:eastAsia="Arial" w:hAnsi="Arial"/>
                <w:sz w:val="18"/>
                <w:szCs w:val="18"/>
                <w:i w:val="1"/>
                <w:iCs w:val="1"/>
                <w:color w:val="auto"/>
              </w:rPr>
              <w:t>Senior Vice President and Chief Financial Officer</w:t>
            </w:r>
          </w:p>
        </w:tc>
        <w:tc>
          <w:tcPr>
            <w:tcW w:w="0" w:type="dxa"/>
            <w:vAlign w:val="bottom"/>
          </w:tcPr>
          <w:p>
            <w:pPr>
              <w:spacing w:after="0"/>
              <w:rPr>
                <w:sz w:val="1"/>
                <w:szCs w:val="1"/>
                <w:color w:val="auto"/>
              </w:rPr>
            </w:pPr>
          </w:p>
        </w:tc>
      </w:tr>
      <w:tr>
        <w:trPr>
          <w:trHeight w:val="446"/>
        </w:trPr>
        <w:tc>
          <w:tcPr>
            <w:tcW w:w="5120" w:type="dxa"/>
            <w:vAlign w:val="bottom"/>
            <w:gridSpan w:val="3"/>
          </w:tcPr>
          <w:p>
            <w:pPr>
              <w:jc w:val="center"/>
              <w:ind w:left="610"/>
              <w:spacing w:after="0"/>
              <w:rPr>
                <w:sz w:val="20"/>
                <w:szCs w:val="20"/>
                <w:color w:val="auto"/>
              </w:rPr>
            </w:pPr>
            <w:r>
              <w:rPr>
                <w:rFonts w:ascii="Arial" w:cs="Arial" w:eastAsia="Arial" w:hAnsi="Arial"/>
                <w:sz w:val="18"/>
                <w:szCs w:val="18"/>
                <w:color w:val="auto"/>
                <w:w w:val="98"/>
              </w:rPr>
              <w:t>/s/ CHAD PLOTKIN</w:t>
            </w: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600" w:type="dxa"/>
            <w:vAlign w:val="bottom"/>
            <w:gridSpan w:val="3"/>
            <w:vMerge w:val="restart"/>
          </w:tcPr>
          <w:p>
            <w:pPr>
              <w:ind w:left="520"/>
              <w:spacing w:after="0"/>
              <w:rPr>
                <w:sz w:val="20"/>
                <w:szCs w:val="20"/>
                <w:color w:val="auto"/>
              </w:rPr>
            </w:pPr>
            <w:r>
              <w:rPr>
                <w:rFonts w:ascii="Arial" w:cs="Arial" w:eastAsia="Arial" w:hAnsi="Arial"/>
                <w:sz w:val="18"/>
                <w:szCs w:val="18"/>
                <w:i w:val="1"/>
                <w:iCs w:val="1"/>
                <w:color w:val="auto"/>
                <w:w w:val="97"/>
              </w:rPr>
              <w:t>of Clearway Energy LLC (Principal Financial Officer)</w:t>
            </w:r>
          </w:p>
        </w:tc>
        <w:tc>
          <w:tcPr>
            <w:tcW w:w="0" w:type="dxa"/>
            <w:vAlign w:val="bottom"/>
          </w:tcPr>
          <w:p>
            <w:pPr>
              <w:spacing w:after="0"/>
              <w:rPr>
                <w:sz w:val="1"/>
                <w:szCs w:val="1"/>
                <w:color w:val="auto"/>
              </w:rPr>
            </w:pPr>
          </w:p>
        </w:tc>
      </w:tr>
      <w:tr>
        <w:trPr>
          <w:trHeight w:val="222"/>
        </w:trPr>
        <w:tc>
          <w:tcPr>
            <w:tcW w:w="512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Chad Plotkin</w:t>
            </w:r>
          </w:p>
        </w:tc>
        <w:tc>
          <w:tcPr>
            <w:tcW w:w="46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ind w:left="320"/>
              <w:spacing w:after="0"/>
              <w:rPr>
                <w:sz w:val="20"/>
                <w:szCs w:val="20"/>
                <w:color w:val="auto"/>
              </w:rPr>
            </w:pPr>
            <w:r>
              <w:rPr>
                <w:rFonts w:ascii="Arial" w:cs="Arial" w:eastAsia="Arial" w:hAnsi="Arial"/>
                <w:sz w:val="18"/>
                <w:szCs w:val="18"/>
                <w:color w:val="auto"/>
              </w:rPr>
              <w:t>Date: March 1, 2021</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1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6"/>
              </w:rPr>
              <w:t>/s/ SARAH RUBENSTEIN</w:t>
            </w:r>
          </w:p>
        </w:tc>
        <w:tc>
          <w:tcPr>
            <w:tcW w:w="4600" w:type="dxa"/>
            <w:vAlign w:val="bottom"/>
            <w:gridSpan w:val="3"/>
          </w:tcPr>
          <w:p>
            <w:pPr>
              <w:ind w:left="520"/>
              <w:spacing w:after="0"/>
              <w:rPr>
                <w:sz w:val="20"/>
                <w:szCs w:val="20"/>
                <w:color w:val="auto"/>
              </w:rPr>
            </w:pPr>
            <w:r>
              <w:rPr>
                <w:rFonts w:ascii="Arial" w:cs="Arial" w:eastAsia="Arial" w:hAnsi="Arial"/>
                <w:sz w:val="18"/>
                <w:szCs w:val="18"/>
                <w:i w:val="1"/>
                <w:iCs w:val="1"/>
                <w:color w:val="auto"/>
              </w:rPr>
              <w:t>Vice President, Accounting &amp; Controller</w:t>
            </w:r>
          </w:p>
        </w:tc>
        <w:tc>
          <w:tcPr>
            <w:tcW w:w="0" w:type="dxa"/>
            <w:vAlign w:val="bottom"/>
          </w:tcPr>
          <w:p>
            <w:pPr>
              <w:spacing w:after="0"/>
              <w:rPr>
                <w:sz w:val="1"/>
                <w:szCs w:val="1"/>
                <w:color w:val="auto"/>
              </w:rPr>
            </w:pPr>
          </w:p>
        </w:tc>
      </w:tr>
      <w:tr>
        <w:trPr>
          <w:trHeight w:val="222"/>
        </w:trPr>
        <w:tc>
          <w:tcPr>
            <w:tcW w:w="512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Sarah Rubenstein</w:t>
            </w:r>
          </w:p>
        </w:tc>
        <w:tc>
          <w:tcPr>
            <w:tcW w:w="4600" w:type="dxa"/>
            <w:vAlign w:val="bottom"/>
            <w:gridSpan w:val="3"/>
          </w:tcPr>
          <w:p>
            <w:pPr>
              <w:ind w:left="520"/>
              <w:spacing w:after="0"/>
              <w:rPr>
                <w:sz w:val="20"/>
                <w:szCs w:val="20"/>
                <w:color w:val="auto"/>
              </w:rPr>
            </w:pPr>
            <w:r>
              <w:rPr>
                <w:rFonts w:ascii="Arial" w:cs="Arial" w:eastAsia="Arial" w:hAnsi="Arial"/>
                <w:sz w:val="18"/>
                <w:szCs w:val="18"/>
                <w:i w:val="1"/>
                <w:iCs w:val="1"/>
                <w:color w:val="auto"/>
                <w:w w:val="93"/>
              </w:rPr>
              <w:t>of Clearway Energy LLC (Principal Accounting Officer)</w:t>
            </w:r>
          </w:p>
        </w:tc>
        <w:tc>
          <w:tcPr>
            <w:tcW w:w="0" w:type="dxa"/>
            <w:vAlign w:val="bottom"/>
          </w:tcPr>
          <w:p>
            <w:pPr>
              <w:spacing w:after="0"/>
              <w:rPr>
                <w:sz w:val="1"/>
                <w:szCs w:val="1"/>
                <w:color w:val="auto"/>
              </w:rPr>
            </w:pPr>
          </w:p>
        </w:tc>
      </w:tr>
      <w:tr>
        <w:trPr>
          <w:trHeight w:val="230"/>
        </w:trPr>
        <w:tc>
          <w:tcPr>
            <w:tcW w:w="5120" w:type="dxa"/>
            <w:vAlign w:val="bottom"/>
            <w:gridSpan w:val="3"/>
          </w:tcPr>
          <w:p>
            <w:pPr>
              <w:ind w:left="320"/>
              <w:spacing w:after="0"/>
              <w:rPr>
                <w:sz w:val="20"/>
                <w:szCs w:val="20"/>
                <w:color w:val="auto"/>
              </w:rPr>
            </w:pPr>
            <w:r>
              <w:rPr>
                <w:rFonts w:ascii="Arial" w:cs="Arial" w:eastAsia="Arial" w:hAnsi="Arial"/>
                <w:sz w:val="18"/>
                <w:szCs w:val="18"/>
                <w:color w:val="auto"/>
              </w:rPr>
              <w:t>Date: March 1, 2021</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CLEARWAY ENERGY, INC.</w:t>
            </w:r>
          </w:p>
        </w:tc>
        <w:tc>
          <w:tcPr>
            <w:tcW w:w="4600" w:type="dxa"/>
            <w:vAlign w:val="bottom"/>
            <w:gridSpan w:val="3"/>
          </w:tcPr>
          <w:p>
            <w:pPr>
              <w:ind w:left="520"/>
              <w:spacing w:after="0"/>
              <w:rPr>
                <w:sz w:val="20"/>
                <w:szCs w:val="20"/>
                <w:color w:val="auto"/>
              </w:rPr>
            </w:pPr>
            <w:r>
              <w:rPr>
                <w:rFonts w:ascii="Arial" w:cs="Arial" w:eastAsia="Arial" w:hAnsi="Arial"/>
                <w:sz w:val="18"/>
                <w:szCs w:val="18"/>
                <w:color w:val="auto"/>
              </w:rPr>
              <w:t>Sole Managing Member</w:t>
            </w:r>
          </w:p>
        </w:tc>
        <w:tc>
          <w:tcPr>
            <w:tcW w:w="0" w:type="dxa"/>
            <w:vAlign w:val="bottom"/>
          </w:tcPr>
          <w:p>
            <w:pPr>
              <w:spacing w:after="0"/>
              <w:rPr>
                <w:sz w:val="1"/>
                <w:szCs w:val="1"/>
                <w:color w:val="auto"/>
              </w:rPr>
            </w:pPr>
          </w:p>
        </w:tc>
      </w:tr>
      <w:tr>
        <w:trPr>
          <w:trHeight w:val="486"/>
        </w:trPr>
        <w:tc>
          <w:tcPr>
            <w:tcW w:w="51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1"/>
              </w:rPr>
              <w:t>/s/ CHRISTOPHER S. SOTOS</w:t>
            </w:r>
          </w:p>
        </w:tc>
        <w:tc>
          <w:tcPr>
            <w:tcW w:w="4600" w:type="dxa"/>
            <w:vAlign w:val="bottom"/>
            <w:gridSpan w:val="3"/>
          </w:tcPr>
          <w:p>
            <w:pPr>
              <w:ind w:left="52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22"/>
        </w:trPr>
        <w:tc>
          <w:tcPr>
            <w:tcW w:w="512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Christopher S. Sotos</w:t>
            </w:r>
          </w:p>
        </w:tc>
        <w:tc>
          <w:tcPr>
            <w:tcW w:w="4600" w:type="dxa"/>
            <w:vAlign w:val="bottom"/>
            <w:gridSpan w:val="3"/>
          </w:tcPr>
          <w:p>
            <w:pPr>
              <w:ind w:left="520"/>
              <w:spacing w:after="0"/>
              <w:rPr>
                <w:sz w:val="20"/>
                <w:szCs w:val="20"/>
                <w:color w:val="auto"/>
              </w:rPr>
            </w:pPr>
            <w:r>
              <w:rPr>
                <w:rFonts w:ascii="Arial" w:cs="Arial" w:eastAsia="Arial" w:hAnsi="Arial"/>
                <w:sz w:val="18"/>
                <w:szCs w:val="18"/>
                <w:i w:val="1"/>
                <w:iCs w:val="1"/>
                <w:color w:val="auto"/>
              </w:rPr>
              <w:t>of Clearway Energy, Inc.</w:t>
            </w:r>
          </w:p>
        </w:tc>
        <w:tc>
          <w:tcPr>
            <w:tcW w:w="0" w:type="dxa"/>
            <w:vAlign w:val="bottom"/>
          </w:tcPr>
          <w:p>
            <w:pPr>
              <w:spacing w:after="0"/>
              <w:rPr>
                <w:sz w:val="1"/>
                <w:szCs w:val="1"/>
                <w:color w:val="auto"/>
              </w:rPr>
            </w:pPr>
          </w:p>
        </w:tc>
      </w:tr>
      <w:tr>
        <w:trPr>
          <w:trHeight w:val="230"/>
        </w:trPr>
        <w:tc>
          <w:tcPr>
            <w:tcW w:w="5120" w:type="dxa"/>
            <w:vAlign w:val="bottom"/>
            <w:gridSpan w:val="3"/>
          </w:tcPr>
          <w:p>
            <w:pPr>
              <w:ind w:left="320"/>
              <w:spacing w:after="0"/>
              <w:rPr>
                <w:sz w:val="20"/>
                <w:szCs w:val="20"/>
                <w:color w:val="auto"/>
              </w:rPr>
            </w:pPr>
            <w:r>
              <w:rPr>
                <w:rFonts w:ascii="Arial" w:cs="Arial" w:eastAsia="Arial" w:hAnsi="Arial"/>
                <w:sz w:val="18"/>
                <w:szCs w:val="18"/>
                <w:color w:val="auto"/>
              </w:rPr>
              <w:t>Date: March 1, 2021</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62" w:name="page163"/>
    <w:bookmarkEnd w:id="162"/>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50"/>
        </w:trPr>
        <w:tc>
          <w:tcPr>
            <w:tcW w:w="3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280" w:type="dxa"/>
            <w:vAlign w:val="bottom"/>
            <w:tcBorders>
              <w:bottom w:val="single" w:sz="8" w:color="auto"/>
            </w:tcBorders>
          </w:tcPr>
          <w:p>
            <w:pPr>
              <w:spacing w:after="0"/>
              <w:rPr>
                <w:sz w:val="21"/>
                <w:szCs w:val="21"/>
                <w:color w:val="auto"/>
              </w:rPr>
            </w:pPr>
          </w:p>
        </w:tc>
      </w:tr>
      <w:tr>
        <w:trPr>
          <w:trHeight w:val="237"/>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NATHANIEL ANSCHUETZ</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90"/>
              </w:rPr>
              <w:t>Nathaniel Anschuetz</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JONATHAN BRAM</w:t>
            </w: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88"/>
              </w:rPr>
              <w:t>Jonathan Bram</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BRIAN FORD</w:t>
            </w: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92"/>
              </w:rPr>
              <w:t>Brian Ford</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BRUCE MACLENNAN</w:t>
            </w: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91"/>
              </w:rPr>
              <w:t>Bruce MacLennan</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13"/>
        </w:trPr>
        <w:tc>
          <w:tcPr>
            <w:tcW w:w="35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/s/ FERRELL MCCLEAN</w:t>
            </w: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92"/>
              </w:rPr>
              <w:t>Ferrell McClean</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DANIEL B. MORE</w:t>
            </w: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6"/>
        </w:trPr>
        <w:tc>
          <w:tcPr>
            <w:tcW w:w="3500" w:type="dxa"/>
            <w:vAlign w:val="bottom"/>
          </w:tcPr>
          <w:p>
            <w:pPr>
              <w:jc w:val="center"/>
              <w:spacing w:after="0"/>
              <w:rPr>
                <w:sz w:val="20"/>
                <w:szCs w:val="20"/>
                <w:color w:val="auto"/>
              </w:rPr>
            </w:pPr>
            <w:r>
              <w:rPr>
                <w:rFonts w:ascii="Arial" w:cs="Arial" w:eastAsia="Arial" w:hAnsi="Arial"/>
                <w:sz w:val="18"/>
                <w:szCs w:val="18"/>
                <w:color w:val="auto"/>
                <w:w w:val="94"/>
              </w:rPr>
              <w:t>Daniel B. More</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 STANLEY O'NEAL</w:t>
            </w: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90"/>
              </w:rPr>
              <w:t>E. Stanley O'Neal</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S. SOTOS</w:t>
            </w: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89"/>
              </w:rPr>
              <w:t>Christopher S. Sotos</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SCOTT STANLEY</w:t>
            </w: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Director of Clearway Energy, Inc.</w:t>
            </w: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90"/>
              </w:rPr>
              <w:t>Scott Stanley</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188595</wp:posOffset>
            </wp:positionV>
            <wp:extent cx="13887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1">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17145</wp:posOffset>
            </wp:positionV>
            <wp:extent cx="13887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ectPr>
          <w:pgSz w:w="11900" w:h="16838" w:orient="portrait"/>
          <w:cols w:equalWidth="0" w:num="2">
            <w:col w:w="8900" w:space="660"/>
            <w:col w:w="1060"/>
          </w:cols>
          <w:pgMar w:left="360" w:top="1440" w:right="919" w:bottom="1440" w:gutter="0" w:footer="0" w:header="0"/>
        </w:sectPr>
      </w:pPr>
    </w:p>
    <w:bookmarkStart w:id="163" w:name="page164"/>
    <w:bookmarkEnd w:id="163"/>
    <w:p>
      <w:pPr>
        <w:ind w:left="2760"/>
        <w:spacing w:after="0"/>
        <w:rPr>
          <w:sz w:val="20"/>
          <w:szCs w:val="20"/>
          <w:color w:val="auto"/>
        </w:rPr>
      </w:pPr>
      <w:r>
        <w:rPr>
          <w:rFonts w:ascii="Arial" w:cs="Arial" w:eastAsia="Arial" w:hAnsi="Arial"/>
          <w:sz w:val="18"/>
          <w:szCs w:val="18"/>
          <w:b w:val="1"/>
          <w:bCs w:val="1"/>
          <w:color w:val="auto"/>
        </w:rPr>
        <w:t>Supplemental Information to be Furnished with Reports Filed Pursuant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15(d) of the Act by Registrants Which Have Not Registered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Pursuant to Section 12 of the Act</w:t>
      </w:r>
    </w:p>
    <w:p>
      <w:pPr>
        <w:spacing w:after="0" w:line="89"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No annual report or proxy materials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700"/>
          </w:cols>
          <w:pgMar w:left="320" w:top="985" w:right="879" w:bottom="1440" w:gutter="0" w:footer="0" w:header="0"/>
        </w:sectPr>
      </w:pPr>
    </w:p>
    <w:bookmarkStart w:id="164" w:name="page165"/>
    <w:bookmarkEnd w:id="164"/>
    <w:p>
      <w:pPr>
        <w:ind w:left="10320"/>
        <w:spacing w:after="0"/>
        <w:rPr>
          <w:sz w:val="20"/>
          <w:szCs w:val="20"/>
          <w:color w:val="auto"/>
        </w:rPr>
      </w:pPr>
      <w:r>
        <w:rPr>
          <w:rFonts w:ascii="Arial" w:cs="Arial" w:eastAsia="Arial" w:hAnsi="Arial"/>
          <w:sz w:val="16"/>
          <w:szCs w:val="16"/>
          <w:b w:val="1"/>
          <w:bCs w:val="1"/>
          <w:color w:val="auto"/>
        </w:rPr>
        <w:t>Exhibit 4.37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 OF 1934</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Clearway Energy LLC (the “</w:t>
      </w:r>
      <w:r>
        <w:rPr>
          <w:rFonts w:ascii="Arial" w:cs="Arial" w:eastAsia="Arial" w:hAnsi="Arial"/>
          <w:sz w:val="18"/>
          <w:szCs w:val="18"/>
          <w:i w:val="1"/>
          <w:iCs w:val="1"/>
          <w:color w:val="auto"/>
        </w:rPr>
        <w:t>Registrant</w:t>
      </w:r>
      <w:r>
        <w:rPr>
          <w:rFonts w:ascii="Arial" w:cs="Arial" w:eastAsia="Arial" w:hAnsi="Arial"/>
          <w:sz w:val="18"/>
          <w:szCs w:val="18"/>
          <w:color w:val="auto"/>
        </w:rPr>
        <w:t>” or “</w:t>
      </w:r>
      <w:r>
        <w:rPr>
          <w:rFonts w:ascii="Arial" w:cs="Arial" w:eastAsia="Arial" w:hAnsi="Arial"/>
          <w:sz w:val="18"/>
          <w:szCs w:val="18"/>
          <w:i w:val="1"/>
          <w:iCs w:val="1"/>
          <w:color w:val="auto"/>
        </w:rPr>
        <w:t>Clearway LLC</w:t>
      </w:r>
      <w:r>
        <w:rPr>
          <w:rFonts w:ascii="Arial" w:cs="Arial" w:eastAsia="Arial" w:hAnsi="Arial"/>
          <w:sz w:val="18"/>
          <w:szCs w:val="18"/>
          <w:color w:val="auto"/>
        </w:rPr>
        <w:t>”), which is a direct subsidiary of Clearway Energy, Inc. (“</w:t>
      </w:r>
      <w:r>
        <w:rPr>
          <w:rFonts w:ascii="Arial" w:cs="Arial" w:eastAsia="Arial" w:hAnsi="Arial"/>
          <w:sz w:val="18"/>
          <w:szCs w:val="18"/>
          <w:i w:val="1"/>
          <w:iCs w:val="1"/>
          <w:color w:val="auto"/>
        </w:rPr>
        <w:t>Clearway Inc.</w:t>
      </w:r>
      <w:r>
        <w:rPr>
          <w:rFonts w:ascii="Arial" w:cs="Arial" w:eastAsia="Arial" w:hAnsi="Arial"/>
          <w:sz w:val="18"/>
          <w:szCs w:val="18"/>
          <w:color w:val="auto"/>
        </w:rPr>
        <w:t>”), had two classes of securities registered under Section 12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each issued by Clearway Energy Operating LLC (“</w:t>
      </w:r>
      <w:r>
        <w:rPr>
          <w:rFonts w:ascii="Arial" w:cs="Arial" w:eastAsia="Arial" w:hAnsi="Arial"/>
          <w:sz w:val="18"/>
          <w:szCs w:val="18"/>
          <w:i w:val="1"/>
          <w:iCs w:val="1"/>
          <w:color w:val="auto"/>
        </w:rPr>
        <w:t>Clearway Operating LLC</w:t>
      </w:r>
      <w:r>
        <w:rPr>
          <w:rFonts w:ascii="Arial" w:cs="Arial" w:eastAsia="Arial" w:hAnsi="Arial"/>
          <w:sz w:val="18"/>
          <w:szCs w:val="18"/>
          <w:color w:val="auto"/>
        </w:rPr>
        <w:t>”), a wholly owned subsidiary of Clearway LLC: (i) 5.750% unsecured senior notes due 2025, and (ii) 5.00% unsecured senior notes due 2026.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Clearway Operating LLC’s 5.750% Senior Notes due 2025</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Clearway Operating LLC’s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 as of December 31, 2019. In this description, “Clearway Operating LLC” refers only to Clearway Energy Operating LLC and not to any of its subsidiaries or parent entities.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the notes under an indenture among Clearway Operating LLC, the Guarantors named therein and Delaware Trust Company, as trustee.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w:t>
      </w:r>
      <w:r>
        <w:rPr>
          <w:rFonts w:ascii="Arial" w:cs="Arial" w:eastAsia="Arial" w:hAnsi="Arial"/>
          <w:sz w:val="16"/>
          <w:szCs w:val="16"/>
          <w:i w:val="1"/>
          <w:iCs w:val="1"/>
          <w:color w:val="auto"/>
        </w:rPr>
        <w:t>Trust Indenture</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The definitions of certain capitalized terms used in the following summary are set forth under the caption “—Certain Definitions.” Terms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“Description of Clearway Operating LLC’s 5.750% Senior Notes due 2024” section are defined only for the purpose of this section. Certain defined terms used in this description but not defined below under “—Certain Definitions” have the meanings assigned to them in the indenture. The indenture is an exhibit to this Annual Report on Form 10-K and is incorporated by reference herein. In addition, copies of the indenture are available upon request from Clearway Inc. References in this section to any subsections are references only to subsections of this section.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holder of a note is treated as the owner of it for all purposes. Only registered holders of notes have rights under the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general unsecured obligations of Clearway Operating LLC;</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9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Clearway Operating LLC, including Clearway Operating LLC’s Indebtedness under the Credit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senior in right of payment to any future subordinated Indebtedness of Clearway Operating LLC;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unconditionally guaranteed on a joint and several basis by the Guarantors.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notes are effectively subordinated to all borrowings under the Credit Agreement, which is secured by substantially all of the assets of Clearway Operating LLC and the Guarantors, and any other secured Indebtedness (including any secured Hedging Obligations) of Clearway Operating LLC or the Guarantors, in each case to the extent of the value of the assets that secure the Credit Agreement or such other secured Indebtedness.</w:t>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The Parent Guarantor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guaranteed by Clearway LLC (the “</w:t>
      </w:r>
      <w:r>
        <w:rPr>
          <w:rFonts w:ascii="Arial" w:cs="Arial" w:eastAsia="Arial" w:hAnsi="Arial"/>
          <w:sz w:val="18"/>
          <w:szCs w:val="18"/>
          <w:i w:val="1"/>
          <w:iCs w:val="1"/>
          <w:color w:val="auto"/>
        </w:rPr>
        <w:t>Parent Guarantor</w:t>
      </w:r>
      <w:r>
        <w:rPr>
          <w:rFonts w:ascii="Arial" w:cs="Arial" w:eastAsia="Arial" w:hAnsi="Arial"/>
          <w:sz w:val="18"/>
          <w:szCs w:val="18"/>
          <w:color w:val="auto"/>
        </w:rPr>
        <w:t>”). The Parent Guarantee of the notes:</w:t>
      </w:r>
    </w:p>
    <w:p>
      <w:pPr>
        <w:spacing w:after="0" w:line="225" w:lineRule="exact"/>
        <w:rPr>
          <w:sz w:val="20"/>
          <w:szCs w:val="20"/>
          <w:color w:val="auto"/>
        </w:rPr>
      </w:pPr>
    </w:p>
    <w:p>
      <w:pPr>
        <w:ind w:left="900" w:hanging="244"/>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 a general unsecured obligation of the Parent Guarantor;</w:t>
      </w:r>
    </w:p>
    <w:p>
      <w:pPr>
        <w:spacing w:after="0" w:line="225" w:lineRule="exact"/>
        <w:rPr>
          <w:rFonts w:ascii="Arial" w:cs="Arial" w:eastAsia="Arial" w:hAnsi="Arial"/>
          <w:sz w:val="18"/>
          <w:szCs w:val="18"/>
          <w:color w:val="auto"/>
        </w:rPr>
      </w:pPr>
    </w:p>
    <w:p>
      <w:pPr>
        <w:ind w:left="1300" w:hanging="644"/>
        <w:spacing w:after="0" w:line="277" w:lineRule="auto"/>
        <w:tabs>
          <w:tab w:leader="none" w:pos="9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the Parent Guarantor, including the Parent Guarantor’s guarantee under the Credit Agreement;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the Parent Guarantor.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the Parent Guarantor’s guarantee of the notes is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Subsidiary Guarantors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to the Parent Guarantee, the notes are guaranteed by each Wholly Owned Subsidiary of Clearway Operating LLC that guarantees any obligations of Clearway Operating LLC under the Credit Agreement of Clearway Operating LLC. Each Subsidiary Guarantee of the notes:</w:t>
      </w:r>
    </w:p>
    <w:p>
      <w:pPr>
        <w:spacing w:after="0" w:line="124" w:lineRule="exact"/>
        <w:rPr>
          <w:sz w:val="20"/>
          <w:szCs w:val="20"/>
          <w:color w:val="auto"/>
        </w:rPr>
      </w:pPr>
    </w:p>
    <w:p>
      <w:pPr>
        <w:ind w:left="900" w:hanging="244"/>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a general unsecured obligation of the Subsidiary Guarantor;</w:t>
      </w:r>
    </w:p>
    <w:p>
      <w:pPr>
        <w:spacing w:after="0" w:line="225" w:lineRule="exact"/>
        <w:rPr>
          <w:rFonts w:ascii="Arial" w:cs="Arial" w:eastAsia="Arial" w:hAnsi="Arial"/>
          <w:sz w:val="18"/>
          <w:szCs w:val="18"/>
          <w:color w:val="auto"/>
        </w:rPr>
      </w:pPr>
    </w:p>
    <w:p>
      <w:pPr>
        <w:ind w:left="1300" w:hanging="644"/>
        <w:spacing w:after="0" w:line="277" w:lineRule="auto"/>
        <w:tabs>
          <w:tab w:leader="none" w:pos="9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that Subsidiary Guarantor, including such Subsidiary Guarantor’s guarantee under the Credit Agreement;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that Subsidiary Guarantor.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each Subsidiary Guarantor’s guarantee of the notes is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operations of Clearway Operating LLC are primarily conducted through its subsidiaries and, therefore, Clearway Operating LLC depends on the cash flow of its subsidiaries to meet its obligations, including its obligations under the notes. Not all of Clearway Operating LLC’s subsidiaries guarantee the notes. The notes are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Clearway Operating LLC to receive assets of any of its subsidiaries upon the subsidiary’s liquidation or reorganization (and the consequent right of the holders of notes to participate in those assets) is effectively subordinated to the claims of that subsidiary’s creditors, except to the extent that Clearway Operating LLC is itself recognized as a creditor of the subsidiary, in which case its claims would still be subordinated in right of payment to any security in the assets of the subsidiary and any indebtedness of the subsidiary senior to that held by Clearway Operating LLC.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Operating LLC issued $600.0 million aggregate principal amount of notes on the issue date. Clearway Operating LLC may issue additional notes of the same series under the indenture from time to time after the issue date. Any issuance of additional notes is subject to all of the covenants in the indenture. The notes and any additional notes of the same series subsequently issued under the indenture are treated as a single class for all purposes under the indenture, including, without limitation, waivers, amendments, redemptions and offers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166" w:name="page167"/>
    <w:bookmarkEnd w:id="166"/>
    <w:p>
      <w:pPr>
        <w:jc w:val="both"/>
        <w:ind w:firstLine="648"/>
        <w:spacing w:after="0" w:line="277" w:lineRule="auto"/>
        <w:rPr>
          <w:sz w:val="20"/>
          <w:szCs w:val="20"/>
          <w:color w:val="auto"/>
        </w:rPr>
      </w:pPr>
      <w:r>
        <w:rPr>
          <w:rFonts w:ascii="Arial" w:cs="Arial" w:eastAsia="Arial" w:hAnsi="Arial"/>
          <w:sz w:val="18"/>
          <w:szCs w:val="18"/>
          <w:color w:val="auto"/>
        </w:rPr>
        <w:t>Clearway Operating LLC issued notes in denominations of $2,000 and integral multiples of $1,000 in excess thereof. The notes will mature on October 15, 2025.</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accrues at the rate of 5.750% per annum and is payable semi-annually in arrears on April 15 and October 15 of each year. Clearway Operating LLC makes each interest payment to the holders of record on the immediately preceding April 1 and October 1, respectively.</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on the notes accrues from the date it was most recently paid. Interest is computed on the basis of a 360-day year comprised of twelve 30-day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holder of notes has given wire transfer instructions to Clearway Operating LLC, Clearway Operating LLC pays or causes to be paid all principal, interest and premium on that holder’s notes in accordance with those instructions. All other payments on notes are made at the office or agency of the paying agent and registrar within the City and State of New York unless Clearway Operating LLC elects to make interest payments by check mailed to the holders of the notes at their address set forth in the register of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trustee acts as paying agent and registrar. Clearway Operating LLC may change the paying agent or registrar without prior notice to the holders of the notes, and Clearway Operating LLC or any of its Subsidiaries or parent entities may act as paying agent or registrar.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 to pay all taxes due on transfer. Clearway Operating LLC is not required to transfer or exchange any note selected for redemption. Also, Clearway Operating LLC is not required to transfer or exchange any note for a period of 15 days before a selection of notes to be redeemed.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Guarantee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Clearway Operating LLC’s payment obligations under the notes are guaranteed on a full and unconditional basis by the Parent Guarantor. The obligations of the Parent Guarantor under the Parent Guarantee are limited as necessary to prevent the Parent Guarantee from constituting a fraudulent conveyance under Applicable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Clearway Operating LLC’s payment obligations under the notes are guaranteed on a full and unconditional basis by each of the Subsidiary Guarantors. These Subsidiary Guarantees are joint and several obligations of the Subsidiary Guarantors. The obligations of each Subsidiary Guarantor under its Subsidiary Guarantee are limited as necessary to prevent that Subsidiary Guarantee from constituting a fraudulent conveyance under Applicable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Subsidiary Guarantee of a Subsidiary Guarantor will be released automatically:</w:t>
      </w:r>
    </w:p>
    <w:p>
      <w:pPr>
        <w:spacing w:after="0" w:line="225" w:lineRule="exact"/>
        <w:rPr>
          <w:sz w:val="20"/>
          <w:szCs w:val="20"/>
          <w:color w:val="auto"/>
        </w:rPr>
      </w:pPr>
    </w:p>
    <w:p>
      <w:pPr>
        <w:jc w:val="both"/>
        <w:ind w:left="660" w:hanging="4"/>
        <w:spacing w:after="0" w:line="263" w:lineRule="auto"/>
        <w:tabs>
          <w:tab w:leader="none" w:pos="9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Clearway Operating LLC or a Subsidiary of Clearway Operating LLC;</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93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Clearway Operating LLC or a</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21" w:right="339" w:bottom="1440" w:gutter="0" w:footer="0" w:header="0"/>
          <w:type w:val="continuous"/>
        </w:sectPr>
      </w:pPr>
    </w:p>
    <w:bookmarkStart w:id="167" w:name="page168"/>
    <w:bookmarkEnd w:id="167"/>
    <w:p>
      <w:pPr>
        <w:ind w:left="660"/>
        <w:spacing w:after="0" w:line="277" w:lineRule="auto"/>
        <w:rPr>
          <w:sz w:val="20"/>
          <w:szCs w:val="20"/>
          <w:color w:val="auto"/>
        </w:rPr>
      </w:pPr>
      <w:r>
        <w:rPr>
          <w:rFonts w:ascii="Arial" w:cs="Arial" w:eastAsia="Arial" w:hAnsi="Arial"/>
          <w:sz w:val="18"/>
          <w:szCs w:val="18"/>
          <w:color w:val="auto"/>
        </w:rPr>
        <w:t>Subsidiary of Clearway Operating LLC, if following such sale or other disposition, that Subsidiary Guarantor is no longer a direct or indirect Subsidiary of Clearway Operating LLC;</w:t>
      </w:r>
    </w:p>
    <w:p>
      <w:pPr>
        <w:spacing w:after="0" w:line="170" w:lineRule="exact"/>
        <w:rPr>
          <w:sz w:val="20"/>
          <w:szCs w:val="20"/>
          <w:color w:val="auto"/>
        </w:rPr>
      </w:pPr>
    </w:p>
    <w:p>
      <w:pPr>
        <w:ind w:left="920" w:hanging="264"/>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notes as provided below under the captions “—Legal Defeasance and Covenant Defeasance” and “—Satisfaction and Discharge;”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the indenture;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upon the prior consent of holders of at least a majority in aggregate principal amount of the notes then outstanding;</w:t>
      </w:r>
    </w:p>
    <w:p>
      <w:pPr>
        <w:spacing w:after="0" w:line="225" w:lineRule="exact"/>
        <w:rPr>
          <w:rFonts w:ascii="Arial" w:cs="Arial" w:eastAsia="Arial" w:hAnsi="Arial"/>
          <w:sz w:val="18"/>
          <w:szCs w:val="18"/>
          <w:color w:val="auto"/>
        </w:rPr>
      </w:pPr>
    </w:p>
    <w:p>
      <w:pPr>
        <w:jc w:val="both"/>
        <w:ind w:left="1300" w:firstLine="4"/>
        <w:spacing w:after="0" w:line="273" w:lineRule="auto"/>
        <w:tabs>
          <w:tab w:leader="none" w:pos="1564" w:val="left"/>
        </w:tabs>
        <w:numPr>
          <w:ilvl w:val="1"/>
          <w:numId w:val="86"/>
        </w:numPr>
        <w:rPr>
          <w:rFonts w:ascii="Arial" w:cs="Arial" w:eastAsia="Arial" w:hAnsi="Arial"/>
          <w:sz w:val="17"/>
          <w:szCs w:val="17"/>
          <w:color w:val="auto"/>
        </w:rPr>
      </w:pPr>
      <w:r>
        <w:rPr>
          <w:rFonts w:ascii="Arial" w:cs="Arial" w:eastAsia="Arial" w:hAnsi="Arial"/>
          <w:sz w:val="17"/>
          <w:szCs w:val="17"/>
          <w:color w:val="auto"/>
        </w:rPr>
        <w:t>if Clearway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Clearway Operating LLC outstanding under the Credit Agreement at that time, upon the requisite consent of the holders of all other Material Indebtedness of Clearway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77" w:lineRule="exact"/>
        <w:rPr>
          <w:rFonts w:ascii="Arial" w:cs="Arial" w:eastAsia="Arial" w:hAnsi="Arial"/>
          <w:sz w:val="17"/>
          <w:szCs w:val="17"/>
          <w:color w:val="auto"/>
        </w:rPr>
      </w:pPr>
    </w:p>
    <w:p>
      <w:pPr>
        <w:jc w:val="both"/>
        <w:ind w:left="1300" w:firstLine="4"/>
        <w:spacing w:after="0" w:line="257" w:lineRule="auto"/>
        <w:tabs>
          <w:tab w:leader="none" w:pos="1587"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Clearway Operating LLC has Indebtedness outstanding under the Credit Agreement at that time, upon the release of such Subsidiary Guarantor’s Guarantee of all Obligations of Clearway Operating LLC under the Credit Agreement, or, if there is no Indebtedness of Clearway Operating LLC outstanding under the Credit Agreement at that time, upon the release of such Subsidiary Guarantor’s Guarantee of all Obligations with respect to all other Material Indebtedness of Clearway Operating LLC at that time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At any time prior to October 15, 2021, Clearway Operating LLC may on any one or more occasions redeem up to 35% of the aggregate principal amount of the notes, upon not less than 15 nor more than 60 days’ prior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57" w:lineRule="exact"/>
        <w:rPr>
          <w:sz w:val="20"/>
          <w:szCs w:val="20"/>
          <w:color w:val="auto"/>
        </w:rPr>
      </w:pPr>
    </w:p>
    <w:p>
      <w:pPr>
        <w:ind w:left="660" w:hanging="4"/>
        <w:spacing w:after="0" w:line="277" w:lineRule="auto"/>
        <w:tabs>
          <w:tab w:leader="none" w:pos="9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65% of the aggregate principal amount of the notes issued on the isue date (excluding notes held by Clearway Operating LLC, its Subsidiaries and parent entities) remains outstanding immediately after the occurrence of such redemption;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prior to October 15, 2021, Clearway Operating LLC may on any one or more occasions redeem all or a part of the notes, upon not less than 15 nor more than 60 days’ prior notice, at a redemption price equal to 100% of the principal amount of notes redeemed plus the Applicable Premium as of, and accrued and unpaid interest, if any, to, the redemption date, subject to the rights of holders of notes on the relevant record date to receive interest due on the relevant interest payment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pursuant to the preceding paragraphs, the notes will not be redeemable at Clearway Operating LLC’s option prior to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168" w:name="page169"/>
    <w:bookmarkEnd w:id="168"/>
    <w:p>
      <w:pPr>
        <w:jc w:val="both"/>
        <w:ind w:firstLine="648"/>
        <w:spacing w:after="0" w:line="301" w:lineRule="auto"/>
        <w:rPr>
          <w:sz w:val="20"/>
          <w:szCs w:val="20"/>
          <w:color w:val="auto"/>
        </w:rPr>
      </w:pPr>
      <w:r>
        <w:rPr>
          <w:rFonts w:ascii="Arial" w:cs="Arial" w:eastAsia="Arial" w:hAnsi="Arial"/>
          <w:sz w:val="16"/>
          <w:szCs w:val="16"/>
          <w:color w:val="auto"/>
        </w:rPr>
        <w:t>On or after October 15, 2021, Clearway Operating LLC may on any one or more occasions redeem all or a part of the notes upon not less than 15 nor more than 60 days’ prior notice, at the redemption prices (expressed as percentages of principal amount) set forth below plus accrued and unpaid interest, if any, on the notes redeemed, to the applicable redemption date, if redeemed during the 12-month period beginning on October 15 of the years indicated below, subject to the rights of holders of notes on the relevant record date to receive interest on the relevant interest payment date.</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Percentage</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480" w:type="dxa"/>
            <w:vAlign w:val="bottom"/>
            <w:gridSpan w:val="3"/>
            <w:shd w:val="clear" w:color="auto" w:fill="B6DDE8"/>
          </w:tcPr>
          <w:p>
            <w:pPr>
              <w:jc w:val="right"/>
              <w:ind w:right="1560"/>
              <w:spacing w:after="0"/>
              <w:rPr>
                <w:sz w:val="20"/>
                <w:szCs w:val="20"/>
                <w:color w:val="auto"/>
              </w:rPr>
            </w:pPr>
            <w:r>
              <w:rPr>
                <w:rFonts w:ascii="Arial" w:cs="Arial" w:eastAsia="Arial" w:hAnsi="Arial"/>
                <w:sz w:val="18"/>
                <w:szCs w:val="18"/>
                <w:color w:val="auto"/>
              </w:rPr>
              <w:t>2021</w:t>
            </w:r>
          </w:p>
        </w:tc>
        <w:tc>
          <w:tcPr>
            <w:tcW w:w="2400" w:type="dxa"/>
            <w:vAlign w:val="bottom"/>
            <w:gridSpan w:val="3"/>
            <w:shd w:val="clear" w:color="auto" w:fill="B6DDE8"/>
          </w:tcPr>
          <w:p>
            <w:pPr>
              <w:jc w:val="right"/>
              <w:ind w:right="20"/>
              <w:spacing w:after="0"/>
              <w:rPr>
                <w:sz w:val="20"/>
                <w:szCs w:val="20"/>
                <w:color w:val="auto"/>
              </w:rPr>
            </w:pPr>
            <w:r>
              <w:rPr>
                <w:rFonts w:ascii="Arial" w:cs="Arial" w:eastAsia="Arial" w:hAnsi="Arial"/>
                <w:sz w:val="18"/>
                <w:szCs w:val="18"/>
                <w:color w:val="auto"/>
              </w:rPr>
              <w:t>102.875 %</w:t>
            </w:r>
          </w:p>
        </w:tc>
      </w:tr>
      <w:tr>
        <w:trPr>
          <w:trHeight w:val="229"/>
        </w:trPr>
        <w:tc>
          <w:tcPr>
            <w:tcW w:w="5480" w:type="dxa"/>
            <w:vAlign w:val="bottom"/>
            <w:gridSpan w:val="3"/>
          </w:tcPr>
          <w:p>
            <w:pPr>
              <w:jc w:val="right"/>
              <w:ind w:right="1560"/>
              <w:spacing w:after="0"/>
              <w:rPr>
                <w:sz w:val="20"/>
                <w:szCs w:val="20"/>
                <w:color w:val="auto"/>
              </w:rPr>
            </w:pPr>
            <w:r>
              <w:rPr>
                <w:rFonts w:ascii="Arial" w:cs="Arial" w:eastAsia="Arial" w:hAnsi="Arial"/>
                <w:sz w:val="18"/>
                <w:szCs w:val="18"/>
                <w:color w:val="auto"/>
              </w:rPr>
              <w:t>2022</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101.437 %</w:t>
            </w:r>
          </w:p>
        </w:tc>
      </w:tr>
      <w:tr>
        <w:trPr>
          <w:trHeight w:val="229"/>
        </w:trPr>
        <w:tc>
          <w:tcPr>
            <w:tcW w:w="20" w:type="dxa"/>
            <w:vAlign w:val="bottom"/>
            <w:shd w:val="clear" w:color="auto" w:fill="B6DDE8"/>
          </w:tcPr>
          <w:p>
            <w:pPr>
              <w:spacing w:after="0"/>
              <w:rPr>
                <w:sz w:val="19"/>
                <w:szCs w:val="19"/>
                <w:color w:val="auto"/>
              </w:rPr>
            </w:pPr>
          </w:p>
        </w:tc>
        <w:tc>
          <w:tcPr>
            <w:tcW w:w="5460" w:type="dxa"/>
            <w:vAlign w:val="bottom"/>
            <w:gridSpan w:val="2"/>
            <w:shd w:val="clear" w:color="auto" w:fill="B6DDE8"/>
          </w:tcPr>
          <w:p>
            <w:pPr>
              <w:spacing w:after="0"/>
              <w:rPr>
                <w:sz w:val="20"/>
                <w:szCs w:val="20"/>
                <w:color w:val="auto"/>
              </w:rPr>
            </w:pPr>
            <w:r>
              <w:rPr>
                <w:rFonts w:ascii="Arial" w:cs="Arial" w:eastAsia="Arial" w:hAnsi="Arial"/>
                <w:sz w:val="18"/>
                <w:szCs w:val="18"/>
                <w:color w:val="auto"/>
              </w:rPr>
              <w:t>2023 and thereafter</w:t>
            </w:r>
          </w:p>
        </w:tc>
        <w:tc>
          <w:tcPr>
            <w:tcW w:w="2400" w:type="dxa"/>
            <w:vAlign w:val="bottom"/>
            <w:gridSpan w:val="3"/>
            <w:shd w:val="clear" w:color="auto" w:fill="B6DDE8"/>
          </w:tcPr>
          <w:p>
            <w:pPr>
              <w:jc w:val="right"/>
              <w:ind w:right="20"/>
              <w:spacing w:after="0"/>
              <w:rPr>
                <w:sz w:val="20"/>
                <w:szCs w:val="20"/>
                <w:color w:val="auto"/>
              </w:rPr>
            </w:pPr>
            <w:r>
              <w:rPr>
                <w:rFonts w:ascii="Arial" w:cs="Arial" w:eastAsia="Arial" w:hAnsi="Arial"/>
                <w:sz w:val="18"/>
                <w:szCs w:val="18"/>
                <w:color w:val="auto"/>
              </w:rPr>
              <w:t>100.000 %</w:t>
            </w:r>
          </w:p>
        </w:tc>
      </w:tr>
    </w:tbl>
    <w:p>
      <w:pPr>
        <w:spacing w:after="0" w:line="3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Clearway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Operating LLC is not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Change of Control Triggering Event occurs, each holder of notes will have the right to require Clearway Operating LLC to repurchase all or any part (equal to $2,000 or an integral multiple of $1,000 in excess thereof) of that holder’s notes pursuant to a Change of Control Offer on the terms set forth in the indenture.</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Change of Control Offer, Clearway Operating LLC will offer a Change of Control Payment in cash equal to 101% of the aggregate principal amount of the notes, plus accrued and unpaid interest, if any, on the notes to the date of purchase, subject to the rights of holders of the notes on the relevant record date to receive interest due on the relevant interest payment date. Within 30 days following any Change of Control Triggering Event, Clearway Operating LLC will mail a notice to each holder describing the transaction or transactions that constitute the Change of Control and offering to repurchase notes on the Change of Control Payment Date specified in the notice, which date will be no earlier than 15 days and no later than 60 days from the date such notice is mailed, pursuant to the procedures required by the indenture and described in such notice. Clearway Operating LLC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Clearway Operating LLC will comply with the applicable securities laws and regulations and will not be deemed to have breached its obligations under the Change of Control provisions of the indenture by virtue of such compliance.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Clearway Operating LLC will, to the extent lawful:</w:t>
      </w:r>
    </w:p>
    <w:p>
      <w:pPr>
        <w:spacing w:after="0" w:line="225" w:lineRule="exact"/>
        <w:rPr>
          <w:sz w:val="20"/>
          <w:szCs w:val="20"/>
          <w:color w:val="auto"/>
        </w:rPr>
      </w:pPr>
    </w:p>
    <w:p>
      <w:pPr>
        <w:ind w:left="920" w:hanging="264"/>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169" w:name="page170"/>
    <w:bookmarkEnd w:id="169"/>
    <w:p>
      <w:pPr>
        <w:ind w:left="660" w:hanging="4"/>
        <w:spacing w:after="0" w:line="277" w:lineRule="auto"/>
        <w:tabs>
          <w:tab w:leader="none" w:pos="9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Clearway Operating LLC.</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will promptly distribute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of $2,000 or an integral multiple of $1,000 in excess thereof. Clearway Operating LLC will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described above that require Clearway Operating LLC to make a Change of Control Offer following a Change of Control Triggering Event are applicable whether or not any other provisions of the indenture are applicable.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Except as described above with respect to a Change of Control Triggering Event, the indenture does not contain provisions that permit the holders of the notes to require that Clearway Operating LLC repurchase or redeem the notes in the event of a takeover, recapitalization or similar transaction.</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Clearway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Clearway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holders of not less than 90.0% in aggregate principal amount of the outstanding notes validly tender and not withdraw such notes in a Change of Control Offer and Clearway Operating LLC, or any third party making a Change of Control Offer in lieu of Clearway Operating LLC as described above, purchases all of the notes validly tendered and not withdrawn by such holders, all of the Holders of the Notes will be deemed to have validly tendered their notes and not withdrawn and, accordingly, Clearway Operating LLC will have the right, upon not less than 15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Clearway Operating LLC and its Subsidiaries taken as a whole. There is a limited body of case law interpreting the phrase “substantially all,” and there is no precise established definition of the phrase under Applicable Law. Accordingly, the ability of a holder of notes to require Clearway Operating LLC to repurchase its notes as a result of a sale, lease, transfer, conveyance or other disposition of less than all of the assets of Clearway Operating LLC and its Subsidiaries taken as a whole to another Person or group may be uncertain.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less than all of the notes are to be redeemed at any time, the trustee for the notes will select notes for redemption on a pro rata basis unless otherwise required by law or applicable stock exchange requirements.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notes of $2,000 or less can be redeemed in part. Notices of redemption will be mailed by first class mail at least 15 but not more than 60 days before the redemption date to each holder of notes to be redeemed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170" w:name="page171"/>
    <w:bookmarkEnd w:id="170"/>
    <w:p>
      <w:pPr>
        <w:jc w:val="both"/>
        <w:spacing w:after="0" w:line="255" w:lineRule="auto"/>
        <w:rPr>
          <w:sz w:val="20"/>
          <w:szCs w:val="20"/>
          <w:color w:val="auto"/>
        </w:rPr>
      </w:pPr>
      <w:r>
        <w:rPr>
          <w:rFonts w:ascii="Arial" w:cs="Arial" w:eastAsia="Arial" w:hAnsi="Arial"/>
          <w:sz w:val="18"/>
          <w:szCs w:val="18"/>
          <w:color w:val="auto"/>
        </w:rPr>
        <w:t>registered address, except that redemption notices may be mailed more than 60 days prior to a redemption date if the notice is issued in connection with a defeasance of the notes or a satisfaction and discharge of the indenture. Any redemption notice may, in Clearway Operating LLC’s discretion, be subject to the satisfaction of one or more conditions precedent. If a redemption notice is subject to satisfaction of one or more conditions precedent, such notice will state that, at Clearway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Clearway Operating LLC has deposited with the paying agent funds sufficient to pay the principal of, plus accrued and unpaid interest and premium, if any, on, the notes to be redeemed.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Clearway Operating LLC will not, and will not permit any Subsidiary Guarantor, to create or permit to exist any Lien upon any Principal Property owned by Clearway Operating LLC or any Subsidiary Guarantor or upon any Equity Interests issued by, or Indebtedness of, any direct or indirect Subsidiary of Clearway Operating LLC to secure any Indebtedness of Clearway Operating LLC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restriction will not apply to, or prevent the creation or existence of:</w:t>
      </w:r>
    </w:p>
    <w:p>
      <w:pPr>
        <w:spacing w:after="0" w:line="192" w:lineRule="exact"/>
        <w:rPr>
          <w:sz w:val="20"/>
          <w:szCs w:val="20"/>
          <w:color w:val="auto"/>
        </w:rPr>
      </w:pPr>
    </w:p>
    <w:p>
      <w:pPr>
        <w:jc w:val="both"/>
        <w:ind w:left="660" w:hanging="4"/>
        <w:spacing w:after="0" w:line="286" w:lineRule="auto"/>
        <w:tabs>
          <w:tab w:leader="none" w:pos="935" w:val="left"/>
        </w:tabs>
        <w:numPr>
          <w:ilvl w:val="0"/>
          <w:numId w:val="90"/>
        </w:numPr>
        <w:rPr>
          <w:rFonts w:ascii="Arial" w:cs="Arial" w:eastAsia="Arial" w:hAnsi="Arial"/>
          <w:sz w:val="17"/>
          <w:szCs w:val="17"/>
          <w:color w:val="auto"/>
        </w:rPr>
      </w:pPr>
      <w:r>
        <w:rPr>
          <w:rFonts w:ascii="Arial" w:cs="Arial" w:eastAsia="Arial" w:hAnsi="Arial"/>
          <w:sz w:val="17"/>
          <w:szCs w:val="17"/>
          <w:color w:val="auto"/>
        </w:rPr>
        <w:t>Liens securing Indebtedness of Clearway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jc w:val="both"/>
        <w:ind w:left="660" w:hanging="4"/>
        <w:spacing w:after="0" w:line="254" w:lineRule="auto"/>
        <w:tabs>
          <w:tab w:leader="none" w:pos="934"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Liens securing Indebtedness of any Person that (a) is acquired by Clearway Operating LLC or any of its Subsidiaries after the date of the indenture, (b) is merged or amalgamated with or into Clearway Operating LLC or any of its Subsidiaries after the date of the indenture or (c) becomes consolidated in the financial statements of Clearway Operating LLC or any of its Subsidiaries after the date of the indenture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Clearway Operating LLC or any of its Subsidiaries;</w:t>
      </w:r>
    </w:p>
    <w:p>
      <w:pPr>
        <w:spacing w:after="0" w:line="194" w:lineRule="exact"/>
        <w:rPr>
          <w:rFonts w:ascii="Arial" w:cs="Arial" w:eastAsia="Arial" w:hAnsi="Arial"/>
          <w:sz w:val="18"/>
          <w:szCs w:val="18"/>
          <w:color w:val="auto"/>
        </w:rPr>
      </w:pPr>
    </w:p>
    <w:p>
      <w:pPr>
        <w:jc w:val="both"/>
        <w:ind w:left="660" w:hanging="4"/>
        <w:spacing w:after="0" w:line="296" w:lineRule="auto"/>
        <w:tabs>
          <w:tab w:leader="none" w:pos="917"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Liens securing Indebtedness of Clearway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171" w:name="page172"/>
    <w:bookmarkEnd w:id="171"/>
    <w:p>
      <w:pPr>
        <w:ind w:left="920" w:hanging="264"/>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in favor of Clearway Operating LLC or any of its Subsidiaries;</w:t>
      </w:r>
    </w:p>
    <w:p>
      <w:pPr>
        <w:spacing w:after="0" w:line="225" w:lineRule="exact"/>
        <w:rPr>
          <w:rFonts w:ascii="Arial" w:cs="Arial" w:eastAsia="Arial" w:hAnsi="Arial"/>
          <w:sz w:val="18"/>
          <w:szCs w:val="18"/>
          <w:color w:val="auto"/>
        </w:rPr>
      </w:pPr>
    </w:p>
    <w:p>
      <w:pPr>
        <w:ind w:left="660" w:hanging="4"/>
        <w:spacing w:after="0" w:line="277" w:lineRule="auto"/>
        <w:tabs>
          <w:tab w:leader="none" w:pos="9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Clearway Operating LLC in its reasonable discretion acting in good faith);</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Clearway Operating LLC or any Subsidiary Guarantor;</w:t>
      </w:r>
    </w:p>
    <w:p>
      <w:pPr>
        <w:spacing w:after="0" w:line="236" w:lineRule="exact"/>
        <w:rPr>
          <w:rFonts w:ascii="Arial" w:cs="Arial" w:eastAsia="Arial" w:hAnsi="Arial"/>
          <w:sz w:val="17"/>
          <w:szCs w:val="17"/>
          <w:color w:val="auto"/>
        </w:rPr>
      </w:pPr>
    </w:p>
    <w:p>
      <w:pPr>
        <w:ind w:left="660" w:hanging="4"/>
        <w:spacing w:after="0" w:line="277" w:lineRule="auto"/>
        <w:tabs>
          <w:tab w:leader="none" w:pos="917"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hanging="4"/>
        <w:spacing w:after="0" w:line="277" w:lineRule="auto"/>
        <w:tabs>
          <w:tab w:leader="none" w:pos="929"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Clearway Operating LLC or any Guarantor, including rights of offset and set-off;</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or Tax Equity Financing of one or more Project Subsidiaries;</w:t>
      </w:r>
    </w:p>
    <w:p>
      <w:pPr>
        <w:spacing w:after="0" w:line="236" w:lineRule="exact"/>
        <w:rPr>
          <w:rFonts w:ascii="Arial" w:cs="Arial" w:eastAsia="Arial" w:hAnsi="Arial"/>
          <w:sz w:val="17"/>
          <w:szCs w:val="17"/>
          <w:color w:val="auto"/>
        </w:rPr>
      </w:pPr>
    </w:p>
    <w:p>
      <w:pPr>
        <w:jc w:val="both"/>
        <w:ind w:left="660" w:right="20" w:hanging="4"/>
        <w:spacing w:after="0" w:line="301" w:lineRule="auto"/>
        <w:tabs>
          <w:tab w:leader="none" w:pos="1018"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(or a 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57" w:lineRule="exact"/>
        <w:rPr>
          <w:rFonts w:ascii="Arial" w:cs="Arial" w:eastAsia="Arial" w:hAnsi="Arial"/>
          <w:sz w:val="16"/>
          <w:szCs w:val="16"/>
          <w:color w:val="auto"/>
        </w:rPr>
      </w:pPr>
    </w:p>
    <w:p>
      <w:pPr>
        <w:jc w:val="both"/>
        <w:ind w:left="660" w:hanging="4"/>
        <w:spacing w:after="0" w:line="263" w:lineRule="auto"/>
        <w:tabs>
          <w:tab w:leader="none" w:pos="1029"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Clearway Operating LLC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Clearway Operating LLC will be permitted to classify such Lien on the date of its incurrence, or later reclassify all or a portion of such Lien, in any manner that complies with this covenant.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Clearway Operating LLC or any Subsidiary Guarantor proposes to create or permit to exist any Lien upon any Principal Property owned by Clearway Operating LLC or any Subsidiary Guarantor or upon any Equity Interests or Indebtedness of any direct or indirect Subsidiary of Clearway Operating LLC to secure any Indebtedness, other than as permitted by clauses (1) through (13) of the previous paragraph, Clearway Operating LLC will give prior written notice thereof to the trustee, who will give notice to the holders of notes, and Clearway Operating LLC will further agree, prior to or simultaneously with the creation of such Lien, effectively to secure all the notes equally and ratably with (or prior to) such other Indebtedness, for so long as such other Indebtedness is so secured.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the Parent Guarantor nor Clearway Operating LLC will, directly or indirectly: (1) consolidate or merge with or into another Person (whether or not the Parent Guarantor or Clearway Operating LLC is the surviving Person); or (2) sell, assign, transfer, convey or otherwise dispose of all or substantially all of the properties 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of the Parent Guarantor or the Parent Guarantor and its Subsidiaries taken as a whole or Clearway Operating LLC or Clearway Operating LLC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 taken as a whole, in one or more related transactions, to another Person; unless:</w:t>
      </w:r>
    </w:p>
    <w:p>
      <w:pPr>
        <w:spacing w:after="0" w:line="211" w:lineRule="exact"/>
        <w:rPr>
          <w:sz w:val="20"/>
          <w:szCs w:val="20"/>
          <w:color w:val="auto"/>
        </w:rPr>
      </w:pPr>
    </w:p>
    <w:p>
      <w:pPr>
        <w:jc w:val="both"/>
        <w:ind w:left="660" w:hanging="4"/>
        <w:spacing w:after="0" w:line="272" w:lineRule="auto"/>
        <w:tabs>
          <w:tab w:leader="none" w:pos="93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either: (a) the Parent Guarantor or Clearway Operating LLC, as the case may be, is the surviving Person; or (b) the Person formed by or surviving any such consolidation or merger (if other than the Parent Guarantor or Clearway Operating LLC,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77" w:lineRule="exact"/>
        <w:rPr>
          <w:rFonts w:ascii="Arial" w:cs="Arial" w:eastAsia="Arial" w:hAnsi="Arial"/>
          <w:sz w:val="17"/>
          <w:szCs w:val="17"/>
          <w:color w:val="auto"/>
        </w:rPr>
      </w:pPr>
    </w:p>
    <w:p>
      <w:pPr>
        <w:jc w:val="both"/>
        <w:ind w:left="660" w:hanging="4"/>
        <w:spacing w:after="0" w:line="259" w:lineRule="auto"/>
        <w:tabs>
          <w:tab w:leader="none" w:pos="9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Clearway Operating LLC, as the case may be) or the Person to which such sale, assignment, transfer, conveyance or other disposition has been made assumes all the obligations of the Parent Guarantor or Clearway Operating LLC, as the case may be, under the notes and the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neither the Parent Guarantor nor Clearway Operating LLC may, directly or indirectly, lease all or substantially all of its and its respective Subsidiaries’ properties or assets, in one or more related transactions, to any other Person.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“Merger, Consolidation or Sale of Assets” covenant will not apply to (1) a merger of the Parent Guarantor or Clearway Operating LLC, as the case may be, with an Affiliate solely for the purpose of reforming the Parent Guarantor or Clearway Operating LLC, as the case may be, in another jurisdiction or forming a direct or indirect holding company of Clearway Operating LLC that is a Wholly Owned Subsidiary of the Parent Guarantor; and</w:t>
      </w:r>
    </w:p>
    <w:p>
      <w:pPr>
        <w:spacing w:after="0" w:line="2" w:lineRule="exact"/>
        <w:rPr>
          <w:sz w:val="20"/>
          <w:szCs w:val="20"/>
          <w:color w:val="auto"/>
        </w:rPr>
      </w:pPr>
    </w:p>
    <w:p>
      <w:pPr>
        <w:ind w:firstLine="8"/>
        <w:spacing w:after="0" w:line="260" w:lineRule="auto"/>
        <w:tabs>
          <w:tab w:leader="none" w:pos="2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Clearway Operating LLC and their respective Subsidiaries, including by way of merger or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hanging="4"/>
        <w:spacing w:after="0" w:line="277" w:lineRule="auto"/>
        <w:tabs>
          <w:tab w:leader="none" w:pos="9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Clearway Operating LLC or any of its Subsidiaries acquires or creates another Wholly Owned Subsidiary after the issue date and such Wholly Owned Subsidiary Guarantees any Obligations of Clearway Operating LLC under the Credit Agreement, or</w:t>
      </w:r>
    </w:p>
    <w:p>
      <w:pPr>
        <w:spacing w:after="0" w:line="170" w:lineRule="exact"/>
        <w:rPr>
          <w:rFonts w:ascii="Arial" w:cs="Arial" w:eastAsia="Arial" w:hAnsi="Arial"/>
          <w:sz w:val="18"/>
          <w:szCs w:val="18"/>
          <w:color w:val="auto"/>
        </w:rPr>
      </w:pPr>
    </w:p>
    <w:p>
      <w:pPr>
        <w:ind w:left="660" w:hanging="4"/>
        <w:spacing w:after="0" w:line="308" w:lineRule="auto"/>
        <w:tabs>
          <w:tab w:leader="none" w:pos="931"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Wholly Owned Subsidiary of Clearway Operating LLC that does not currently Guarantee any Obligations of Clearway Operating LLC under the Credit Agreement subsequently Guarantees any Obligations of Clearway Operating LLC under the Credit Agreement, or</w:t>
      </w:r>
    </w:p>
    <w:p>
      <w:pPr>
        <w:spacing w:after="0" w:line="146" w:lineRule="exact"/>
        <w:rPr>
          <w:rFonts w:ascii="Arial" w:cs="Arial" w:eastAsia="Arial" w:hAnsi="Arial"/>
          <w:sz w:val="17"/>
          <w:szCs w:val="17"/>
          <w:color w:val="auto"/>
        </w:rPr>
      </w:pPr>
    </w:p>
    <w:p>
      <w:pPr>
        <w:jc w:val="both"/>
        <w:ind w:left="660" w:hanging="4"/>
        <w:spacing w:after="0" w:line="272" w:lineRule="auto"/>
        <w:tabs>
          <w:tab w:leader="none" w:pos="917"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there is no Indebtedness of Clearway Operating LLC outstanding under the Credit Agreement at that time, any Wholly Owned Subsidiary of Clearway Operating LLC (including any newly acquired or created Wholly Owned Subsidiary) Guarantees any Obligations with respect to any other Material Indebtedness of Clearway Operating LLC, then such newly acquired or created Wholly Owned Subsidiary or Wholly Owned Subsidiary that subsequently fully and unconditionally Guarantees obligations under the Credit Agreement or other Material Indebtedness of Clearway Operating LLC, as the case may be, will become a Guarantor of the notes and execute a supplemental indenture and deliver an opinion of counsel satisfactory to the trustee within 60 business days of the date on which it was acquired or created or guaranteed other Material Indebtedness of Clearway Operating LLC,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Whether or not required by the Commission’s rules and regulations, so long as any notes are outstanding, Clearway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84" w:lineRule="exact"/>
        <w:rPr>
          <w:sz w:val="20"/>
          <w:szCs w:val="20"/>
          <w:color w:val="auto"/>
        </w:rPr>
      </w:pPr>
    </w:p>
    <w:p>
      <w:pPr>
        <w:ind w:left="660" w:hanging="4"/>
        <w:spacing w:after="0" w:line="277" w:lineRule="auto"/>
        <w:tabs>
          <w:tab w:leader="none" w:pos="9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Clearway Operating LLC were required to file such reports; and</w:t>
      </w:r>
    </w:p>
    <w:p>
      <w:pPr>
        <w:spacing w:after="0" w:line="170" w:lineRule="exact"/>
        <w:rPr>
          <w:rFonts w:ascii="Arial" w:cs="Arial" w:eastAsia="Arial" w:hAnsi="Arial"/>
          <w:sz w:val="18"/>
          <w:szCs w:val="18"/>
          <w:color w:val="auto"/>
        </w:rPr>
      </w:pPr>
    </w:p>
    <w:p>
      <w:pPr>
        <w:ind w:left="660" w:hanging="4"/>
        <w:spacing w:after="0" w:line="277" w:lineRule="auto"/>
        <w:tabs>
          <w:tab w:leader="none" w:pos="9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Clearway Operating LLC were required to file such reports.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Clearway Operating LLC’s consolidated financial statements by Clearway Operating LLC’s independent registered public accounting firm. In addition, Clearway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Clearway Operating LLC is no longer subject to the periodic reporting requirements of the Exchange Act for any reason, Clearway Operating LLC will nevertheless continue filing the reports specified in the preceding paragraph with the Commission within the time periods specified above unless the Commission will not accept such a filing. Clearway Operating LLC agrees that it will not take any action for the purpose of causing the Commission not to accept any such filings. If, notwithstanding the foregoing, the Commission will not accept Clearway Operating LLC’s filings for any reason, Clearway Operating LLC will post the reports referred to in the preceding paragraph on the website of Clearway Inc. within the time periods that would apply if Clearway Operating LLC were required to file those reports with the Commission.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 long as the Parent Guarantor continues to own, directly or indirectly, all of the Equity Interests of Clearway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Clearway Operating LLC under this reporting covenant.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Clearway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Status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920" w:hanging="264"/>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ownership of debt or equity interests in Clearway Operating LLC;</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660" w:hanging="4"/>
        <w:spacing w:after="0" w:line="277" w:lineRule="auto"/>
        <w:tabs>
          <w:tab w:leader="none" w:pos="9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activities as the parent of a consolidated group of companies, including Clearway Operating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174" w:name="page175"/>
    <w:bookmarkEnd w:id="174"/>
    <w:p>
      <w:pPr>
        <w:ind w:left="920" w:hanging="264"/>
        <w:spacing w:after="0"/>
        <w:tabs>
          <w:tab w:leader="none" w:pos="9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making distributions to holders of its debt or equity interests or to Clearway Operating LLC or any Subsidiary of Clearway Operating LLC;</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9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Inc., Clearway Operating LLC or any Subsidiary of Clearway Operating LLC and the execution and delivery of any agreements related to the foregoing, including credit agreements, indentures, security agreements, notes and registration rights agreements;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25" w:lineRule="exact"/>
        <w:rPr>
          <w:rFonts w:ascii="Arial" w:cs="Arial" w:eastAsia="Arial" w:hAnsi="Arial"/>
          <w:sz w:val="18"/>
          <w:szCs w:val="18"/>
          <w:color w:val="auto"/>
        </w:rPr>
      </w:pPr>
    </w:p>
    <w:p>
      <w:pPr>
        <w:ind w:left="660" w:hanging="4"/>
        <w:spacing w:after="0" w:line="308" w:lineRule="auto"/>
        <w:tabs>
          <w:tab w:leader="none" w:pos="930" w:val="left"/>
        </w:tabs>
        <w:numPr>
          <w:ilvl w:val="0"/>
          <w:numId w:val="98"/>
        </w:numPr>
        <w:rPr>
          <w:rFonts w:ascii="Arial" w:cs="Arial" w:eastAsia="Arial" w:hAnsi="Arial"/>
          <w:sz w:val="17"/>
          <w:szCs w:val="17"/>
          <w:color w:val="auto"/>
        </w:rPr>
      </w:pPr>
      <w:r>
        <w:rPr>
          <w:rFonts w:ascii="Arial" w:cs="Arial" w:eastAsia="Arial" w:hAnsi="Arial"/>
          <w:sz w:val="17"/>
          <w:szCs w:val="17"/>
          <w:color w:val="auto"/>
        </w:rPr>
        <w:t>failure by Clearway Operating LLC or any Guarantor for 60 days after written notice given by the trustee or the holders of at least 25% in aggregate principal amount of the notes that are then outstanding, to comply with any of the other agreements in the indenture;</w:t>
      </w:r>
    </w:p>
    <w:p>
      <w:pPr>
        <w:spacing w:after="0" w:line="146" w:lineRule="exact"/>
        <w:rPr>
          <w:rFonts w:ascii="Arial" w:cs="Arial" w:eastAsia="Arial" w:hAnsi="Arial"/>
          <w:sz w:val="17"/>
          <w:szCs w:val="17"/>
          <w:color w:val="auto"/>
        </w:rPr>
      </w:pPr>
    </w:p>
    <w:p>
      <w:pPr>
        <w:jc w:val="both"/>
        <w:ind w:left="660" w:hanging="4"/>
        <w:spacing w:after="0" w:line="286" w:lineRule="auto"/>
        <w:tabs>
          <w:tab w:leader="none" w:pos="932"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Clearway Operating LLC or any Guarantor (or the payment of which is guaranteed by Clearway Operating LLC or any Guarantor) whether such Indebtedness or guarantee now exists, or is created after the issue date, if that default:</w:t>
      </w:r>
    </w:p>
    <w:p>
      <w:pPr>
        <w:spacing w:after="0" w:line="165" w:lineRule="exact"/>
        <w:rPr>
          <w:rFonts w:ascii="Arial" w:cs="Arial" w:eastAsia="Arial" w:hAnsi="Arial"/>
          <w:sz w:val="17"/>
          <w:szCs w:val="17"/>
          <w:color w:val="auto"/>
        </w:rPr>
      </w:pPr>
    </w:p>
    <w:p>
      <w:pPr>
        <w:ind w:left="1300" w:firstLine="4"/>
        <w:spacing w:after="0" w:line="277" w:lineRule="auto"/>
        <w:tabs>
          <w:tab w:leader="none" w:pos="1563" w:val="left"/>
        </w:tabs>
        <w:numPr>
          <w:ilvl w:val="1"/>
          <w:numId w:val="98"/>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jc w:val="both"/>
        <w:ind w:left="1960"/>
        <w:spacing w:after="0" w:line="263"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 (ii) $100.0 million;</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(4) shall not apply to secured Indebtedness that becomes due as a result of the voluntary sale or transfer of the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such Indebtedness to a Person that is not an Affiliate of Clearway Operating LLC;</w:t>
      </w:r>
    </w:p>
    <w:p>
      <w:pPr>
        <w:spacing w:after="0" w:line="170" w:lineRule="exact"/>
        <w:rPr>
          <w:sz w:val="20"/>
          <w:szCs w:val="20"/>
          <w:color w:val="auto"/>
        </w:rPr>
      </w:pPr>
    </w:p>
    <w:p>
      <w:pPr>
        <w:jc w:val="both"/>
        <w:ind w:left="660" w:hanging="4"/>
        <w:spacing w:after="0" w:line="259" w:lineRule="auto"/>
        <w:tabs>
          <w:tab w:leader="none" w:pos="9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the greater of (i) 1.5% of Total Assets and (ii) $100.0 million (excluding therefrom any amount reasonably expected to be covered by insurance) shall be rendered against Clearway Operating LLC or any Guarantor or Guarantors or any combination thereof and the same shall not have been paid, discharged or stayed for a period of 60 days after such judgment became final and non-appealable;</w:t>
      </w:r>
    </w:p>
    <w:p>
      <w:pPr>
        <w:spacing w:after="0" w:line="186" w:lineRule="exact"/>
        <w:rPr>
          <w:rFonts w:ascii="Arial" w:cs="Arial" w:eastAsia="Arial" w:hAnsi="Arial"/>
          <w:sz w:val="18"/>
          <w:szCs w:val="18"/>
          <w:color w:val="auto"/>
        </w:rPr>
      </w:pPr>
    </w:p>
    <w:p>
      <w:pPr>
        <w:ind w:left="660" w:right="20" w:hanging="4"/>
        <w:spacing w:after="0" w:line="277" w:lineRule="auto"/>
        <w:tabs>
          <w:tab w:leader="none" w:pos="92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be held in any final and non-appealable judicial proceeding to be unenforceable or invalid or shall cease for any reason to be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175" w:name="page176"/>
    <w:bookmarkEnd w:id="175"/>
    <w:p>
      <w:pPr>
        <w:jc w:val="both"/>
        <w:ind w:left="660"/>
        <w:spacing w:after="0" w:line="263" w:lineRule="auto"/>
        <w:rPr>
          <w:sz w:val="20"/>
          <w:szCs w:val="20"/>
          <w:color w:val="auto"/>
        </w:rPr>
      </w:pPr>
      <w:r>
        <w:rPr>
          <w:rFonts w:ascii="Arial" w:cs="Arial" w:eastAsia="Arial" w:hAnsi="Arial"/>
          <w:sz w:val="18"/>
          <w:szCs w:val="18"/>
          <w:color w:val="auto"/>
        </w:rPr>
        <w:t>or any Guarantor (or any group of Guarantors) that, if Subsidiaries of Clearway Operating LLC, would constitute a Significant Subsidiary, or any Person acting on behalf of any Guarantor (or any group of Guarantors) that, if Subsidiaries of Clearway Operating LLC, would constitute a Significant Subsidiary, shall deny or disaffirm its or their obligations under its or their Guarantee(s); and</w:t>
      </w:r>
    </w:p>
    <w:p>
      <w:pPr>
        <w:spacing w:after="0" w:line="184" w:lineRule="exact"/>
        <w:rPr>
          <w:sz w:val="20"/>
          <w:szCs w:val="20"/>
          <w:color w:val="auto"/>
        </w:rPr>
      </w:pPr>
    </w:p>
    <w:p>
      <w:pPr>
        <w:jc w:val="both"/>
        <w:ind w:left="660" w:hanging="4"/>
        <w:spacing w:after="0" w:line="263" w:lineRule="auto"/>
        <w:tabs>
          <w:tab w:leader="none" w:pos="9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Clearway Operating LLC or any Guarantor that, if a Subsidiary of Clearway Operating LLC, would constitute a Significant Subsidiary or any group of Guarantors that, if Subsidiaries of Clearway Operating LLC, taken together, would constitute a Significant Subsidiary.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case of an Event of Default with respect to the notes arising from certain events of bankruptcy or insolvency with respect to Clearway Operating LLC, any Guarantor or any group of Guarantors that, if subsidiaries of Clearway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aggregate principal amount of such notes that are outstanding may declare all the notes to be due and payable immediately.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57" w:lineRule="exact"/>
        <w:rPr>
          <w:sz w:val="20"/>
          <w:szCs w:val="20"/>
          <w:color w:val="auto"/>
        </w:rPr>
      </w:pPr>
    </w:p>
    <w:p>
      <w:pPr>
        <w:ind w:left="920" w:hanging="264"/>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660" w:hanging="4"/>
        <w:spacing w:after="0" w:line="277" w:lineRule="auto"/>
        <w:tabs>
          <w:tab w:leader="none" w:pos="9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that are then outstanding have made a written request to the trustee to pursue the remedy;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225" w:lineRule="exact"/>
        <w:rPr>
          <w:rFonts w:ascii="Arial" w:cs="Arial" w:eastAsia="Arial" w:hAnsi="Arial"/>
          <w:sz w:val="18"/>
          <w:szCs w:val="18"/>
          <w:color w:val="auto"/>
        </w:rPr>
      </w:pPr>
    </w:p>
    <w:p>
      <w:pPr>
        <w:ind w:left="660" w:hanging="4"/>
        <w:spacing w:after="0" w:line="277" w:lineRule="auto"/>
        <w:tabs>
          <w:tab w:leader="none" w:pos="9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that are then outstanding have not given the trustee a direction inconsistent with such request within such 60-day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holders of a majority in aggregate principal amount of the notes then outstanding by written notice to the trustee may, on behalf of the holders of the notes, rescind an acceleration or waive any existing Default or Event of Default and its consequences under the indenture except a continuing Default or Event of Default in the payment of interest on, or the principal of, such notes.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Clearway Operating LLC is required to deliver to the trustee annually a statement regarding compliance with the indenture. Upon becoming aware of any Default or Event of Default, Clearway Operating LLC is required to deliver to the trustee a statement specifying such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director, officer, employee, incorporator, stockholder, member or unitholder of Clearway Operating LLC or any Guarantor, as such, has any liability for any obligations of Clearway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Clearway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7"/>
          <w:szCs w:val="17"/>
          <w:i w:val="1"/>
          <w:iCs w:val="1"/>
          <w:color w:val="auto"/>
        </w:rPr>
        <w:t>Legal Defeasance</w:t>
      </w:r>
      <w:r>
        <w:rPr>
          <w:rFonts w:ascii="Arial" w:cs="Arial" w:eastAsia="Arial" w:hAnsi="Arial"/>
          <w:sz w:val="17"/>
          <w:szCs w:val="17"/>
          <w:color w:val="auto"/>
        </w:rPr>
        <w:t>”), except for:</w:t>
      </w:r>
    </w:p>
    <w:p>
      <w:pPr>
        <w:spacing w:after="0" w:line="146" w:lineRule="exact"/>
        <w:rPr>
          <w:sz w:val="20"/>
          <w:szCs w:val="20"/>
          <w:color w:val="auto"/>
        </w:rPr>
      </w:pPr>
    </w:p>
    <w:p>
      <w:pPr>
        <w:ind w:left="660" w:hanging="4"/>
        <w:spacing w:after="0" w:line="277" w:lineRule="auto"/>
        <w:tabs>
          <w:tab w:leader="none" w:pos="92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of holders of the notes that are then outstanding to receive payments in respect of the principal of, or interest or premium on such notes when such payments are due from the trust referred to below;</w:t>
      </w:r>
    </w:p>
    <w:p>
      <w:pPr>
        <w:spacing w:after="0" w:line="170" w:lineRule="exact"/>
        <w:rPr>
          <w:rFonts w:ascii="Arial" w:cs="Arial" w:eastAsia="Arial" w:hAnsi="Arial"/>
          <w:sz w:val="18"/>
          <w:szCs w:val="18"/>
          <w:color w:val="auto"/>
        </w:rPr>
      </w:pPr>
    </w:p>
    <w:p>
      <w:pPr>
        <w:ind w:left="660" w:right="20" w:hanging="4"/>
        <w:spacing w:after="0" w:line="308" w:lineRule="auto"/>
        <w:tabs>
          <w:tab w:leader="none" w:pos="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Clearway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46" w:lineRule="exact"/>
        <w:rPr>
          <w:rFonts w:ascii="Arial" w:cs="Arial" w:eastAsia="Arial" w:hAnsi="Arial"/>
          <w:sz w:val="17"/>
          <w:szCs w:val="17"/>
          <w:color w:val="auto"/>
        </w:rPr>
      </w:pPr>
    </w:p>
    <w:p>
      <w:pPr>
        <w:ind w:left="660" w:hanging="4"/>
        <w:spacing w:after="0" w:line="277" w:lineRule="auto"/>
        <w:tabs>
          <w:tab w:leader="none" w:pos="91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notes, and Clearway Operating LLC’s and the Guarantors’ obligations in connection therewith;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Legal Defeasance provisions of the indenture governing such notes.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Clearway Operating LLC may, at its option and at any time, elect to have the obligations of Clearway Operating LLC and the Guarantors released with respect to certain covenants (including its obligation to make Change of Control Offers) that are described in the indenture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jc w:val="both"/>
        <w:ind w:left="660" w:hanging="4"/>
        <w:spacing w:after="0" w:line="296" w:lineRule="auto"/>
        <w:tabs>
          <w:tab w:leader="none" w:pos="92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Clearway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Clearway Operating LLC must specify whether such notes are being defeased to maturity or to a particular redemption date;</w:t>
      </w:r>
    </w:p>
    <w:p>
      <w:pPr>
        <w:spacing w:after="0" w:line="161" w:lineRule="exact"/>
        <w:rPr>
          <w:rFonts w:ascii="Arial" w:cs="Arial" w:eastAsia="Arial" w:hAnsi="Arial"/>
          <w:sz w:val="16"/>
          <w:szCs w:val="16"/>
          <w:color w:val="auto"/>
        </w:rPr>
      </w:pPr>
    </w:p>
    <w:p>
      <w:pPr>
        <w:jc w:val="both"/>
        <w:ind w:left="660" w:hanging="4"/>
        <w:spacing w:after="0" w:line="291" w:lineRule="auto"/>
        <w:tabs>
          <w:tab w:leader="none" w:pos="93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the case of Legal Defeasance, Clearway Operating LLC has delivered to the trustee an opinion of counsel reasonably acceptable to the trustee confirming that (a) Clearway Operating LLC has received from, or there has been published by, the Internal Revenue Service a ruling or</w:t>
      </w:r>
    </w:p>
    <w:p>
      <w:pPr>
        <w:jc w:val="both"/>
        <w:ind w:left="660"/>
        <w:spacing w:after="0" w:line="273" w:lineRule="auto"/>
        <w:rPr>
          <w:rFonts w:ascii="Arial" w:cs="Arial" w:eastAsia="Arial" w:hAnsi="Arial"/>
          <w:sz w:val="16"/>
          <w:szCs w:val="16"/>
          <w:color w:val="auto"/>
        </w:rPr>
      </w:pPr>
      <w:r>
        <w:rPr>
          <w:rFonts w:ascii="Arial" w:cs="Arial" w:eastAsia="Arial" w:hAnsi="Arial"/>
          <w:sz w:val="17"/>
          <w:szCs w:val="17"/>
          <w:color w:val="auto"/>
        </w:rPr>
        <w:t>(b) 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7" w:right="339" w:bottom="1440" w:gutter="0" w:footer="0" w:header="0"/>
        </w:sectPr>
      </w:pPr>
    </w:p>
    <w:bookmarkStart w:id="177" w:name="page178"/>
    <w:bookmarkEnd w:id="177"/>
    <w:p>
      <w:pPr>
        <w:jc w:val="both"/>
        <w:ind w:left="660" w:hanging="4"/>
        <w:spacing w:after="0" w:line="259" w:lineRule="auto"/>
        <w:tabs>
          <w:tab w:leader="none" w:pos="92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Covenant Defeasance, Clearway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3" w:lineRule="exact"/>
        <w:rPr>
          <w:rFonts w:ascii="Arial" w:cs="Arial" w:eastAsia="Arial" w:hAnsi="Arial"/>
          <w:sz w:val="18"/>
          <w:szCs w:val="18"/>
          <w:color w:val="auto"/>
        </w:rPr>
      </w:pPr>
    </w:p>
    <w:p>
      <w:pPr>
        <w:jc w:val="both"/>
        <w:ind w:left="660" w:hanging="4"/>
        <w:spacing w:after="0" w:line="259" w:lineRule="auto"/>
        <w:tabs>
          <w:tab w:leader="none" w:pos="9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and the agreements governing other Indebtedness being defeased, discharged or replaced) to which Clearway Operating LLC or any of its Subsidiaries or the Parent Guarantor is a party or by which Clearway Operating LLC or any of its Subsidiaries or the Parent Guarantor is bound;</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stating that the deposit was not made by Clearway Operating LLC with the intent of preferring the holders of the notes over the other creditors of Clearway Operating LLC with the intent of defeating, hindering, delaying or defrauding creditors of Clearway Operating LLC or others; and</w:t>
      </w:r>
    </w:p>
    <w:p>
      <w:pPr>
        <w:spacing w:after="0" w:line="183" w:lineRule="exact"/>
        <w:rPr>
          <w:rFonts w:ascii="Arial" w:cs="Arial" w:eastAsia="Arial" w:hAnsi="Arial"/>
          <w:sz w:val="18"/>
          <w:szCs w:val="18"/>
          <w:color w:val="auto"/>
        </w:rPr>
      </w:pPr>
    </w:p>
    <w:p>
      <w:pPr>
        <w:ind w:left="660" w:hanging="4"/>
        <w:spacing w:after="0" w:line="277" w:lineRule="auto"/>
        <w:tabs>
          <w:tab w:leader="none" w:pos="9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and an opinion of counsel, each stating that all conditions precedent relating to the Legal Defeasance or the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Except as provided in the next two succeeding paragraphs, the indenture or the notes outstanding thereunder may be amended or supplemented with the consent of the holders of at least a majority in principal amount of the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Without the consent of each holder of the notes affected thereby, an amendment or waiver may not (with respect to any such notes held by a non-consenting holder):</w:t>
      </w:r>
    </w:p>
    <w:p>
      <w:pPr>
        <w:spacing w:after="0" w:line="170" w:lineRule="exact"/>
        <w:rPr>
          <w:sz w:val="20"/>
          <w:szCs w:val="20"/>
          <w:color w:val="auto"/>
        </w:rPr>
      </w:pPr>
    </w:p>
    <w:p>
      <w:pPr>
        <w:ind w:left="920" w:hanging="264"/>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9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9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178" w:name="page179"/>
    <w:bookmarkEnd w:id="178"/>
    <w:p>
      <w:pPr>
        <w:ind w:left="660" w:hanging="4"/>
        <w:spacing w:after="0" w:line="277" w:lineRule="auto"/>
        <w:tabs>
          <w:tab w:leader="none" w:pos="94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such notes to receive payments of principal of, or interest or premium on such notes;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waive a redemption payment with respect to any such note (other than a payment required by one of the covenants described above under the caption “—Repurchase at the Option of Holders”);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Clearway Operating LLC, the Guarantors and the trustee may amend or supplement the indenture or the notes:</w:t>
      </w:r>
    </w:p>
    <w:p>
      <w:pPr>
        <w:spacing w:after="0" w:line="170" w:lineRule="exact"/>
        <w:rPr>
          <w:sz w:val="20"/>
          <w:szCs w:val="20"/>
          <w:color w:val="auto"/>
        </w:rPr>
      </w:pPr>
    </w:p>
    <w:p>
      <w:pPr>
        <w:ind w:left="920" w:hanging="264"/>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notes are issued in registered form for purposes of Section 163(f) of the Code);</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provide for the assumption of Clearway Operating LLC’s obligations to holders of notes in the case of a merger or consolidation or sale of all or substantially all of Clearway Operating LLC’s assets;</w:t>
      </w:r>
    </w:p>
    <w:p>
      <w:pPr>
        <w:spacing w:after="0" w:line="170" w:lineRule="exact"/>
        <w:rPr>
          <w:rFonts w:ascii="Arial" w:cs="Arial" w:eastAsia="Arial" w:hAnsi="Arial"/>
          <w:sz w:val="18"/>
          <w:szCs w:val="18"/>
          <w:color w:val="auto"/>
        </w:rPr>
      </w:pPr>
    </w:p>
    <w:p>
      <w:pPr>
        <w:ind w:left="660" w:hanging="4"/>
        <w:spacing w:after="0" w:line="277" w:lineRule="auto"/>
        <w:tabs>
          <w:tab w:leader="none" w:pos="9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any indenture of any such holder;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pacing w:after="0" w:line="248" w:lineRule="exact"/>
        <w:rPr>
          <w:rFonts w:ascii="Arial" w:cs="Arial" w:eastAsia="Arial" w:hAnsi="Arial"/>
          <w:sz w:val="16"/>
          <w:szCs w:val="16"/>
          <w:color w:val="auto"/>
        </w:rPr>
      </w:pPr>
    </w:p>
    <w:p>
      <w:pPr>
        <w:ind w:left="660" w:hanging="4"/>
        <w:spacing w:after="0" w:line="277" w:lineRule="auto"/>
        <w:tabs>
          <w:tab w:leader="none" w:pos="9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Notes” in the offering memorandum of Clearway Operating LLC dated September 17, 2018;</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date hereof;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225" w:lineRule="exact"/>
        <w:rPr>
          <w:sz w:val="20"/>
          <w:szCs w:val="20"/>
          <w:color w:val="auto"/>
        </w:rPr>
      </w:pPr>
    </w:p>
    <w:p>
      <w:pPr>
        <w:ind w:left="920" w:hanging="264"/>
        <w:spacing w:after="0"/>
        <w:tabs>
          <w:tab w:leader="none" w:pos="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1300" w:firstLine="4"/>
        <w:spacing w:after="0" w:line="263" w:lineRule="auto"/>
        <w:tabs>
          <w:tab w:leader="none" w:pos="154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been deposited in trust and thereafter repaid to Clearway Operating LLC, have been delivered to the trustee for such notes for cancellation; or</w:t>
      </w:r>
    </w:p>
    <w:p>
      <w:pPr>
        <w:spacing w:after="0" w:line="183" w:lineRule="exact"/>
        <w:rPr>
          <w:rFonts w:ascii="Arial" w:cs="Arial" w:eastAsia="Arial" w:hAnsi="Arial"/>
          <w:sz w:val="18"/>
          <w:szCs w:val="18"/>
          <w:color w:val="auto"/>
        </w:rPr>
      </w:pPr>
    </w:p>
    <w:p>
      <w:pPr>
        <w:jc w:val="both"/>
        <w:ind w:left="1300" w:firstLine="4"/>
        <w:spacing w:after="0" w:line="259" w:lineRule="auto"/>
        <w:tabs>
          <w:tab w:leader="none" w:pos="155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such notes that have not been delivered to the trustee for cancellation have become due and payable by reason of the distribution of a notice of redemption or otherwise or will become due and payable within one year and Clearway Operating LLC or any Guarantor has irrevocably deposited or caused to be deposited with the trustee as trust funds in trust solely for the benefit of the holders of notes, cash in U.S. dollars, non-callable Government Securities, or a combination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179" w:name="page180"/>
    <w:bookmarkEnd w:id="179"/>
    <w:p>
      <w:pPr>
        <w:jc w:val="both"/>
        <w:ind w:left="1300"/>
        <w:spacing w:after="0" w:line="263" w:lineRule="auto"/>
        <w:rPr>
          <w:sz w:val="20"/>
          <w:szCs w:val="20"/>
          <w:color w:val="auto"/>
        </w:rPr>
      </w:pPr>
      <w:r>
        <w:rPr>
          <w:rFonts w:ascii="Arial" w:cs="Arial" w:eastAsia="Arial" w:hAnsi="Arial"/>
          <w:sz w:val="18"/>
          <w:szCs w:val="18"/>
          <w:color w:val="auto"/>
        </w:rPr>
        <w:t>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84" w:lineRule="exact"/>
        <w:rPr>
          <w:sz w:val="20"/>
          <w:szCs w:val="20"/>
          <w:color w:val="auto"/>
        </w:rPr>
      </w:pPr>
    </w:p>
    <w:p>
      <w:pPr>
        <w:jc w:val="both"/>
        <w:ind w:left="660" w:hanging="4"/>
        <w:spacing w:after="0" w:line="259" w:lineRule="auto"/>
        <w:tabs>
          <w:tab w:leader="none" w:pos="9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respect of subclause (b) of clause (1) above, 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Clearway Operating LLC or any Guarantor is a party or by which Clearway Operating LLC or any Guarantor is bound;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Clearway Operating LLC or any Guarantor has paid or caused to be paid all sums payable by it under the indenture;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Clearway Operating LLC has delivered irrevocable instructions to the trustee under the indenture to apply the deposited money toward the payment of the notes at maturity or the redemption date, as the case may be.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Clearway Operating LLC must deliver an officers’ certificate and an opinion of counsel to the trustee stating that all conditions precedent to satisfaction and discharge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the trustee becomes a creditor of Clearway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8"/>
          <w:szCs w:val="18"/>
          <w:i w:val="1"/>
          <w:iCs w:val="1"/>
          <w:color w:val="auto"/>
        </w:rPr>
        <w:t>provided that</w:t>
      </w:r>
      <w:r>
        <w:rPr>
          <w:rFonts w:ascii="Arial" w:cs="Arial" w:eastAsia="Arial" w:hAnsi="Arial"/>
          <w:sz w:val="18"/>
          <w:szCs w:val="18"/>
          <w:color w:val="auto"/>
        </w:rPr>
        <w:t>, if it acquires any conflicting interest it must eliminate such conflict within 90 days, apply to the Commission for permission to continue (if the indenture has been qualified under the Trust Indenture Act) or resign.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LTM CAFD</w:t>
      </w:r>
      <w:r>
        <w:rPr>
          <w:rFonts w:ascii="Arial" w:cs="Arial" w:eastAsia="Arial" w:hAnsi="Arial"/>
          <w:sz w:val="18"/>
          <w:szCs w:val="18"/>
          <w:color w:val="auto"/>
        </w:rPr>
        <w:t>” means, as of any date of determination (for purposes of this definition, the “</w:t>
      </w:r>
      <w:r>
        <w:rPr>
          <w:rFonts w:ascii="Arial" w:cs="Arial" w:eastAsia="Arial" w:hAnsi="Arial"/>
          <w:sz w:val="18"/>
          <w:szCs w:val="18"/>
          <w:i w:val="1"/>
          <w:iCs w:val="1"/>
          <w:color w:val="auto"/>
        </w:rPr>
        <w:t>Calculation Date</w:t>
      </w:r>
      <w:r>
        <w:rPr>
          <w:rFonts w:ascii="Arial" w:cs="Arial" w:eastAsia="Arial" w:hAnsi="Arial"/>
          <w:sz w:val="18"/>
          <w:szCs w:val="18"/>
          <w:color w:val="auto"/>
        </w:rPr>
        <w:t>”), the net income of Clearway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4" w:lineRule="exact"/>
        <w:rPr>
          <w:sz w:val="20"/>
          <w:szCs w:val="20"/>
          <w:color w:val="auto"/>
        </w:rPr>
      </w:pPr>
    </w:p>
    <w:p>
      <w:pPr>
        <w:ind w:left="920" w:hanging="264"/>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1" w:right="339" w:bottom="1440" w:gutter="0" w:footer="0" w:header="0"/>
        </w:sectPr>
      </w:pPr>
    </w:p>
    <w:bookmarkStart w:id="180" w:name="page181"/>
    <w:bookmarkEnd w:id="180"/>
    <w:p>
      <w:pPr>
        <w:ind w:left="740" w:hanging="264"/>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pacing w:after="0" w:line="225" w:lineRule="exact"/>
        <w:rPr>
          <w:rFonts w:ascii="Arial" w:cs="Arial" w:eastAsia="Arial" w:hAnsi="Arial"/>
          <w:sz w:val="18"/>
          <w:szCs w:val="18"/>
          <w:color w:val="auto"/>
        </w:rPr>
      </w:pPr>
    </w:p>
    <w:p>
      <w:pPr>
        <w:ind w:left="740" w:hanging="264"/>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740" w:hanging="264"/>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25" w:lineRule="exact"/>
        <w:rPr>
          <w:rFonts w:ascii="Arial" w:cs="Arial" w:eastAsia="Arial" w:hAnsi="Arial"/>
          <w:sz w:val="18"/>
          <w:szCs w:val="18"/>
          <w:color w:val="auto"/>
        </w:rPr>
      </w:pPr>
    </w:p>
    <w:p>
      <w:pPr>
        <w:ind w:left="480" w:hanging="4"/>
        <w:spacing w:after="0" w:line="277" w:lineRule="auto"/>
        <w:tabs>
          <w:tab w:leader="none" w:pos="75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Clearway Operating LLC that were added back to net income pursuant to clause (1) above;</w:t>
      </w:r>
    </w:p>
    <w:p>
      <w:pPr>
        <w:spacing w:after="0" w:line="170" w:lineRule="exact"/>
        <w:rPr>
          <w:rFonts w:ascii="Arial" w:cs="Arial" w:eastAsia="Arial" w:hAnsi="Arial"/>
          <w:sz w:val="18"/>
          <w:szCs w:val="18"/>
          <w:color w:val="auto"/>
        </w:rPr>
      </w:pPr>
    </w:p>
    <w:p>
      <w:pPr>
        <w:ind w:left="740" w:hanging="264"/>
        <w:spacing w:after="0"/>
        <w:tabs>
          <w:tab w:leader="none" w:pos="7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minus cash income tax payments made by Clearway Operating LLC and its Subsidiaries that were added back to net income pursuant to clause</w:t>
      </w:r>
    </w:p>
    <w:p>
      <w:pPr>
        <w:spacing w:after="0" w:line="46" w:lineRule="exact"/>
        <w:rPr>
          <w:rFonts w:ascii="Arial" w:cs="Arial" w:eastAsia="Arial" w:hAnsi="Arial"/>
          <w:sz w:val="16"/>
          <w:szCs w:val="16"/>
          <w:color w:val="auto"/>
        </w:rPr>
      </w:pPr>
    </w:p>
    <w:p>
      <w:pPr>
        <w:ind w:left="740" w:hanging="264"/>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left="480" w:right="20" w:hanging="4"/>
        <w:spacing w:after="0" w:line="277" w:lineRule="auto"/>
        <w:tabs>
          <w:tab w:leader="none" w:pos="7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Clearway Operating LLC’s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left="740" w:hanging="264"/>
        <w:spacing w:after="0"/>
        <w:tabs>
          <w:tab w:leader="none" w:pos="7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plus, any decrease or minus any increase in amounts attributable to contract amortization and any recurring changes in other assets;</w:t>
      </w:r>
    </w:p>
    <w:p>
      <w:pPr>
        <w:spacing w:after="0" w:line="236" w:lineRule="exact"/>
        <w:rPr>
          <w:rFonts w:ascii="Arial" w:cs="Arial" w:eastAsia="Arial" w:hAnsi="Arial"/>
          <w:sz w:val="17"/>
          <w:szCs w:val="17"/>
          <w:color w:val="auto"/>
        </w:rPr>
      </w:pPr>
    </w:p>
    <w:p>
      <w:pPr>
        <w:ind w:left="820" w:hanging="344"/>
        <w:spacing w:after="0"/>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480" w:hanging="4"/>
        <w:spacing w:after="0" w:line="311" w:lineRule="auto"/>
        <w:tabs>
          <w:tab w:leader="none" w:pos="81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48" w:lineRule="exact"/>
        <w:rPr>
          <w:rFonts w:ascii="Arial" w:cs="Arial" w:eastAsia="Arial" w:hAnsi="Arial"/>
          <w:sz w:val="16"/>
          <w:szCs w:val="16"/>
          <w:color w:val="auto"/>
        </w:rPr>
      </w:pPr>
    </w:p>
    <w:p>
      <w:pPr>
        <w:ind w:left="480" w:right="20" w:hanging="4"/>
        <w:spacing w:after="0" w:line="308" w:lineRule="auto"/>
        <w:tabs>
          <w:tab w:leader="none" w:pos="82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480" w:hanging="4"/>
        <w:spacing w:after="0" w:line="275" w:lineRule="auto"/>
        <w:tabs>
          <w:tab w:leader="none" w:pos="76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Clearway Operating LLC or any of its Subsidiaries, including through mergers or consolidations, or any Person or any of its Subsidiaries acquired by Clearway Operating LLC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6" w:lineRule="exact"/>
        <w:rPr>
          <w:rFonts w:ascii="Arial" w:cs="Arial" w:eastAsia="Arial" w:hAnsi="Arial"/>
          <w:sz w:val="17"/>
          <w:szCs w:val="17"/>
          <w:color w:val="auto"/>
        </w:rPr>
      </w:pPr>
    </w:p>
    <w:p>
      <w:pPr>
        <w:ind w:left="480" w:hanging="4"/>
        <w:spacing w:after="0" w:line="277" w:lineRule="auto"/>
        <w:tabs>
          <w:tab w:leader="none" w:pos="74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740" w:hanging="264"/>
        <w:spacing w:after="0"/>
        <w:tabs>
          <w:tab w:leader="none" w:pos="7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w:t>
      </w:r>
    </w:p>
    <w:p>
      <w:pPr>
        <w:spacing w:after="0" w:line="46"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480" w:right="20" w:hanging="4"/>
        <w:spacing w:after="0" w:line="277" w:lineRule="auto"/>
        <w:tabs>
          <w:tab w:leader="none" w:pos="73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500" w:top="1421" w:right="339" w:bottom="1440" w:gutter="0" w:footer="0" w:header="0"/>
        </w:sectPr>
      </w:pPr>
    </w:p>
    <w:bookmarkStart w:id="181" w:name="page182"/>
    <w:bookmarkEnd w:id="181"/>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Laws</w:t>
      </w:r>
      <w:r>
        <w:rPr>
          <w:rFonts w:ascii="Arial" w:cs="Arial" w:eastAsia="Arial" w:hAnsi="Arial"/>
          <w:sz w:val="17"/>
          <w:szCs w:val="17"/>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920" w:hanging="264"/>
        <w:spacing w:after="0"/>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firstLine="4"/>
        <w:spacing w:after="0" w:line="259" w:lineRule="auto"/>
        <w:tabs>
          <w:tab w:leader="none" w:pos="155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October 15, 2021 (such redemption price being set forth in the table appearing above under the caption “—Optional Redemption”)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October 15, 2021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w:t>
      </w:r>
    </w:p>
    <w:p>
      <w:pPr>
        <w:spacing w:after="0" w:line="225" w:lineRule="exact"/>
        <w:rPr>
          <w:sz w:val="20"/>
          <w:szCs w:val="20"/>
          <w:color w:val="auto"/>
        </w:rPr>
      </w:pPr>
    </w:p>
    <w:p>
      <w:pPr>
        <w:ind w:left="920" w:hanging="264"/>
        <w:spacing w:after="0"/>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920" w:hanging="264"/>
        <w:spacing w:after="0"/>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Stock” means:</w:t>
      </w:r>
    </w:p>
    <w:p>
      <w:pPr>
        <w:spacing w:after="0" w:line="225" w:lineRule="exact"/>
        <w:rPr>
          <w:sz w:val="20"/>
          <w:szCs w:val="20"/>
          <w:color w:val="auto"/>
        </w:rPr>
      </w:pPr>
    </w:p>
    <w:p>
      <w:pPr>
        <w:ind w:left="920" w:hanging="264"/>
        <w:spacing w:after="0"/>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hanging="4"/>
        <w:spacing w:after="0" w:line="277" w:lineRule="auto"/>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182" w:name="page183"/>
    <w:bookmarkEnd w:id="182"/>
    <w:p>
      <w:pPr>
        <w:ind w:left="920" w:hanging="264"/>
        <w:spacing w:after="0"/>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236" w:lineRule="exact"/>
        <w:rPr>
          <w:rFonts w:ascii="Arial" w:cs="Arial" w:eastAsia="Arial" w:hAnsi="Arial"/>
          <w:sz w:val="17"/>
          <w:szCs w:val="17"/>
          <w:color w:val="auto"/>
        </w:rPr>
      </w:pPr>
    </w:p>
    <w:p>
      <w:pPr>
        <w:jc w:val="both"/>
        <w:ind w:left="660" w:hanging="4"/>
        <w:spacing w:after="0" w:line="263" w:lineRule="auto"/>
        <w:tabs>
          <w:tab w:leader="none" w:pos="92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jc w:val="both"/>
        <w:ind w:left="660" w:hanging="4"/>
        <w:spacing w:after="0" w:line="279" w:lineRule="auto"/>
        <w:tabs>
          <w:tab w:leader="none" w:pos="91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Clearway Operating LLC and its Subsidiaries taken as a whole to any “person” (as that term is used in Section 13(d) of the Exchange Act, but excluding any employee benefit plan of Clearway Operating LLC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Clearway Inc., the Parent Guarantor or Clearway Operating LLC;</w:t>
      </w:r>
    </w:p>
    <w:p>
      <w:pPr>
        <w:spacing w:after="0" w:line="225" w:lineRule="exact"/>
        <w:rPr>
          <w:rFonts w:ascii="Arial" w:cs="Arial" w:eastAsia="Arial" w:hAnsi="Arial"/>
          <w:sz w:val="18"/>
          <w:szCs w:val="18"/>
          <w:color w:val="auto"/>
        </w:rPr>
      </w:pPr>
    </w:p>
    <w:p>
      <w:pPr>
        <w:jc w:val="both"/>
        <w:ind w:left="660" w:hanging="4"/>
        <w:spacing w:after="0" w:line="279" w:lineRule="auto"/>
        <w:tabs>
          <w:tab w:leader="none" w:pos="92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(as defined above), other than (i) the Sponsor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 or</w:t>
      </w:r>
    </w:p>
    <w:p>
      <w:pPr>
        <w:spacing w:after="0" w:line="171" w:lineRule="exact"/>
        <w:rPr>
          <w:rFonts w:ascii="Arial" w:cs="Arial" w:eastAsia="Arial" w:hAnsi="Arial"/>
          <w:sz w:val="17"/>
          <w:szCs w:val="17"/>
          <w:color w:val="auto"/>
        </w:rPr>
      </w:pPr>
    </w:p>
    <w:p>
      <w:pPr>
        <w:ind w:left="660" w:hanging="4"/>
        <w:spacing w:after="0" w:line="277" w:lineRule="auto"/>
        <w:tabs>
          <w:tab w:leader="none" w:pos="91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first day on which either (i) Clearway Inc. ceases to be the sole managing member of the Parent Guarantor or (ii) Clearway Operating LLC ceases to be a Wholly Owned Subsidiary of the Parent Guarantor.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it in the indenture governing the notes.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Triggering Event</w:t>
      </w:r>
      <w:r>
        <w:rPr>
          <w:rFonts w:ascii="Arial" w:cs="Arial" w:eastAsia="Arial" w:hAnsi="Arial"/>
          <w:sz w:val="17"/>
          <w:szCs w:val="17"/>
          <w:color w:val="auto"/>
        </w:rPr>
        <w:t xml:space="preserve">” means (1) a Change of Control has occurred and (2) the notes are downgraded by both S&amp;P and Moody’s on any date within the 60-day period (which 60-day period will be extended so long as the rating of the notes is under publicly announced consideration for a possible downgrade by either S&amp;P or Moody’s) after the earlier of (a) the occurrence of a Change of Control and (b) public disclosure by Clearway Operating LLC of the occurrence of a Change of Control or Clearway Operating LLC’s intention to effect a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Clearway Operating LLC’s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April 25, 2014, among Clearway Operating LLC, the Parent Guarantor, each other guarantor from time to time party thereto, each lender from time to time party thereto, JPMorgan Chase Bank, N.A., as the administrative agent, and JPMorgan Chase Bank, N.A., Royal Bank of Canada, Bank of America, N.A. and Barclays Bank PLC, as letter of credit issuers , as the same may be amended, restated, modified, renewed, refunded, replaced or refinanced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183" w:name="page184"/>
    <w:bookmarkEnd w:id="183"/>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CapEx Debt</w:t>
      </w:r>
      <w:r>
        <w:rPr>
          <w:rFonts w:ascii="Arial" w:cs="Arial" w:eastAsia="Arial" w:hAnsi="Arial"/>
          <w:sz w:val="18"/>
          <w:szCs w:val="18"/>
          <w:color w:val="auto"/>
        </w:rPr>
        <w:t>” means Indebtedness of Clearway Operating LLC or any of its Subsidiaries incurred for the purpose of financing capital expenditures to the extent deemed reasonably necessary, as determined by Clearway Operating LLC or any of its Subsidiaries, as applicable, in good faith and pursuant to prudent judgment, to comply with applicable Environmental Laws.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Offerings</w:t>
      </w:r>
      <w:r>
        <w:rPr>
          <w:rFonts w:ascii="Arial" w:cs="Arial" w:eastAsia="Arial" w:hAnsi="Arial"/>
          <w:sz w:val="18"/>
          <w:szCs w:val="18"/>
          <w:color w:val="auto"/>
        </w:rPr>
        <w:t>” means any public or private sale after the issue date of Capital Stock of the Parent Guarantor or Clearway Inc., the proceeds of which have been contributed to Clearway Operating LLC as common equity, other than:</w:t>
      </w:r>
    </w:p>
    <w:p>
      <w:pPr>
        <w:spacing w:after="0" w:line="170" w:lineRule="exact"/>
        <w:rPr>
          <w:sz w:val="20"/>
          <w:szCs w:val="20"/>
          <w:color w:val="auto"/>
        </w:rPr>
      </w:pPr>
    </w:p>
    <w:p>
      <w:pPr>
        <w:ind w:left="920" w:hanging="264"/>
        <w:spacing w:after="0"/>
        <w:tabs>
          <w:tab w:leader="none" w:pos="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public offerings with respect to Clearway Inc.’s common stock registered on Form S-4 or Form S-8;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issuances to any Subsidiary of Clearway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Agreement</w:t>
      </w:r>
      <w:r>
        <w:rPr>
          <w:rFonts w:ascii="Arial" w:cs="Arial" w:eastAsia="Arial" w:hAnsi="Arial"/>
          <w:sz w:val="18"/>
          <w:szCs w:val="18"/>
          <w:color w:val="auto"/>
        </w:rPr>
        <w:t>” means the Amended and Restated Exchange Agreement, dated as of May 14, 2015 by and among Global Infrastructure Investors III, LLC (as successor in interest to NRG Energy, Inc. pursuant to that certain Assignment and Assumption Agreement, dated as of August 31, 2018), Clearway Inc. and the Parent Guarantor and each of the other parties thereto from time to time, as amended, supplemented or otherwise modified from time to time.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Liens</w:t>
      </w:r>
      <w:r>
        <w:rPr>
          <w:rFonts w:ascii="Arial" w:cs="Arial" w:eastAsia="Arial" w:hAnsi="Arial"/>
          <w:sz w:val="18"/>
          <w:szCs w:val="18"/>
          <w:color w:val="auto"/>
        </w:rPr>
        <w:t>” means Liens on the property or assets of Clearway Operating LLC and/or any of its Subsidiaries existing on the date of the indenture securing Indebtedness of Clearway Operating LLC or any of its Subsidiaries (other than Liens incurred pursuant to clause (1) of the covenant described above under the caption “—Liens”).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operating lease would be re-characterized as a capital lease due to changes in the accounting treatment of such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under GAAP since the issue date, then solely with respect to the accounting treatment of any such lease, GAAP shall be interpreted as it was in effect on the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184" w:name="page185"/>
    <w:bookmarkEnd w:id="18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920" w:hanging="264"/>
        <w:spacing w:after="0"/>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660" w:right="2700" w:hanging="4"/>
        <w:spacing w:after="0" w:line="563" w:lineRule="auto"/>
        <w:tabs>
          <w:tab w:leader="none" w:pos="91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Subsidiary Guarantors, until such time as they are released pursuant to the provisions of the indenture. “</w:t>
      </w:r>
      <w:r>
        <w:rPr>
          <w:rFonts w:ascii="Arial" w:cs="Arial" w:eastAsia="Arial" w:hAnsi="Arial"/>
          <w:sz w:val="16"/>
          <w:szCs w:val="16"/>
          <w:i w:val="1"/>
          <w:iCs w:val="1"/>
          <w:color w:val="auto"/>
        </w:rPr>
        <w:t>Hedging Obligations</w:t>
      </w:r>
      <w:r>
        <w:rPr>
          <w:rFonts w:ascii="Arial" w:cs="Arial" w:eastAsia="Arial" w:hAnsi="Arial"/>
          <w:sz w:val="16"/>
          <w:szCs w:val="16"/>
          <w:color w:val="auto"/>
        </w:rPr>
        <w:t>” means, with respect to any specified Person, the obligations of such Person under:</w:t>
      </w:r>
    </w:p>
    <w:p>
      <w:pPr>
        <w:spacing w:after="0" w:line="1" w:lineRule="exact"/>
        <w:rPr>
          <w:sz w:val="20"/>
          <w:szCs w:val="20"/>
          <w:color w:val="auto"/>
        </w:rPr>
      </w:pPr>
    </w:p>
    <w:p>
      <w:pPr>
        <w:ind w:left="660" w:hanging="4"/>
        <w:spacing w:after="0" w:line="277" w:lineRule="auto"/>
        <w:tabs>
          <w:tab w:leader="none" w:pos="92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92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except as provided in clause (5) below, and surety bonds), whether or not contingent:</w:t>
      </w:r>
    </w:p>
    <w:p>
      <w:pPr>
        <w:spacing w:after="0" w:line="170" w:lineRule="exact"/>
        <w:rPr>
          <w:sz w:val="20"/>
          <w:szCs w:val="20"/>
          <w:color w:val="auto"/>
        </w:rPr>
      </w:pPr>
    </w:p>
    <w:p>
      <w:pPr>
        <w:ind w:left="920" w:hanging="264"/>
        <w:spacing w:after="0"/>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2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ind w:left="660" w:hanging="4"/>
        <w:spacing w:after="0" w:line="308" w:lineRule="auto"/>
        <w:tabs>
          <w:tab w:leader="none" w:pos="92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21" w:right="339" w:bottom="1440" w:gutter="0" w:footer="0" w:header="0"/>
        </w:sectPr>
      </w:pPr>
    </w:p>
    <w:bookmarkStart w:id="185" w:name="page186"/>
    <w:bookmarkEnd w:id="185"/>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October 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w:t>
      </w:r>
    </w:p>
    <w:p>
      <w:pPr>
        <w:spacing w:after="0" w:line="225" w:lineRule="exact"/>
        <w:rPr>
          <w:sz w:val="20"/>
          <w:szCs w:val="20"/>
          <w:color w:val="auto"/>
        </w:rPr>
      </w:pPr>
    </w:p>
    <w:p>
      <w:pPr>
        <w:ind w:left="660" w:hanging="4"/>
        <w:spacing w:after="0" w:line="277" w:lineRule="auto"/>
        <w:tabs>
          <w:tab w:leader="none" w:pos="9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hanging="4"/>
        <w:spacing w:after="0" w:line="277" w:lineRule="auto"/>
        <w:tabs>
          <w:tab w:leader="none" w:pos="9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hanging="4"/>
        <w:spacing w:after="0" w:line="277" w:lineRule="auto"/>
        <w:tabs>
          <w:tab w:leader="none" w:pos="91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as of any date, any series of Indebtedness with an aggregate principal amount outstanding in excess of the greater of (i) 1.5% of Total Assets, as of such date, and (ii) $100.0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Necessary CapEx Debt</w:t>
      </w:r>
      <w:r>
        <w:rPr>
          <w:rFonts w:ascii="Arial" w:cs="Arial" w:eastAsia="Arial" w:hAnsi="Arial"/>
          <w:sz w:val="18"/>
          <w:szCs w:val="18"/>
          <w:color w:val="auto"/>
        </w:rPr>
        <w:t>” means Indebtedness of Clearway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the Parent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Clearway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building, structure or other facility, and all related property, plant or equipment or other long-term assets used or useful in the ownership, development, construction or operation of such building, structure or other facility owned or leased by Clearway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Clearway Operating LLC and its consolidated Subsidiaries, taken as a whole.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Cost Savings</w:t>
      </w:r>
      <w:r>
        <w:rPr>
          <w:rFonts w:ascii="Arial" w:cs="Arial" w:eastAsia="Arial" w:hAnsi="Arial"/>
          <w:sz w:val="16"/>
          <w:szCs w:val="16"/>
          <w:color w:val="auto"/>
        </w:rPr>
        <w:t>” means, without duplication, with respect to any period, reductions in costs and related adjustments that have been actually realized or are projected by Clearway Operating LLC’s Chief Financial Officer in good faith to result from reasonably identifiable and factually supportable actions or events, but only to the extent such reductions in costs and related adjustments are so projected by Clearway Operating LLC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realized prior to the end of the consecutive four-quarter period commencing after the transaction giving rise to such calculation.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Debt</w:t>
      </w:r>
      <w:r>
        <w:rPr>
          <w:rFonts w:ascii="Arial" w:cs="Arial" w:eastAsia="Arial" w:hAnsi="Arial"/>
          <w:sz w:val="18"/>
          <w:szCs w:val="18"/>
          <w:color w:val="auto"/>
        </w:rPr>
        <w:t xml:space="preserve">” means Indebtedness of one or more Project Subsidiaries incurred for the purpose of holding, leasing, developing, constructing or 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Clearway Operating LLC is not liable with respect to such Indebtedness except to the extent of a non-recourse pledge of equity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Project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Subsidiary</w:t>
      </w:r>
      <w:r>
        <w:rPr>
          <w:rFonts w:ascii="Arial" w:cs="Arial" w:eastAsia="Arial" w:hAnsi="Arial"/>
          <w:sz w:val="18"/>
          <w:szCs w:val="18"/>
          <w:color w:val="auto"/>
        </w:rPr>
        <w:t xml:space="preserve">” means any Subsidiary of Clearway Operating LLC held for the purpose of holding, leasing, developing, constructing or acquiring energy generating, transmission or distribution assets, or assets related thereto, or any other power or energy facility or any assets related thereto, and any Subsidiary of Clearway Operating LLC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Clearway Operating LLC other than obligations of Clearway Operating LLC related to Project Debt of one or more Project Subsidiaries.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 Liens</w:t>
      </w:r>
      <w:r>
        <w:rPr>
          <w:rFonts w:ascii="Arial" w:cs="Arial" w:eastAsia="Arial" w:hAnsi="Arial"/>
          <w:sz w:val="17"/>
          <w:szCs w:val="17"/>
          <w:color w:val="auto"/>
        </w:rPr>
        <w:t xml:space="preserve">” means Liens granted in connection with amending, extending, modifying, renewing, replacing, refunding or refinancing in whole or in part any Indebtedness secured by Liens described in clauses (2) through (10) of the covenant described above under the caption “—Liens;”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Refinancing Liens do not (a) extend to property or assets other than property or assets of the type that were subject to the original Lien or (b)</w:t>
      </w:r>
      <w:r>
        <w:rPr>
          <w:rFonts w:ascii="Arial" w:cs="Arial" w:eastAsia="Arial" w:hAnsi="Arial"/>
          <w:sz w:val="17"/>
          <w:szCs w:val="17"/>
          <w:i w:val="1"/>
          <w:iCs w:val="1"/>
          <w:color w:val="auto"/>
        </w:rPr>
        <w:t xml:space="preserve"> </w:t>
      </w:r>
      <w:r>
        <w:rPr>
          <w:rFonts w:ascii="Arial" w:cs="Arial" w:eastAsia="Arial" w:hAnsi="Arial"/>
          <w:sz w:val="17"/>
          <w:szCs w:val="17"/>
          <w:color w:val="auto"/>
        </w:rPr>
        <w:t>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Affiliate</w:t>
      </w:r>
      <w:r>
        <w:rPr>
          <w:rFonts w:ascii="Arial" w:cs="Arial" w:eastAsia="Arial" w:hAnsi="Arial"/>
          <w:sz w:val="18"/>
          <w:szCs w:val="18"/>
          <w:color w:val="auto"/>
        </w:rPr>
        <w:t>” means any Affiliate of the Sponsor that is not a portfolio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 the documentation governing such Indebtedness as of the date of the first date it was incurred in compliance with the indenture,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jc w:val="both"/>
        <w:ind w:left="660" w:hanging="4"/>
        <w:spacing w:after="0" w:line="257" w:lineRule="auto"/>
        <w:tabs>
          <w:tab w:leader="none" w:pos="93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18"/>
          <w:szCs w:val="18"/>
          <w:color w:val="auto"/>
        </w:rPr>
      </w:pPr>
    </w:p>
    <w:p>
      <w:pPr>
        <w:ind w:left="660" w:hanging="4"/>
        <w:spacing w:after="0" w:line="308" w:lineRule="auto"/>
        <w:tabs>
          <w:tab w:leader="none" w:pos="92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187" w:name="page188"/>
    <w:bookmarkEnd w:id="187"/>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Subsidiary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“Subsidiary Guarantors” means:</w:t>
      </w:r>
    </w:p>
    <w:p>
      <w:pPr>
        <w:spacing w:after="0" w:line="225" w:lineRule="exact"/>
        <w:rPr>
          <w:sz w:val="20"/>
          <w:szCs w:val="20"/>
          <w:color w:val="auto"/>
        </w:rPr>
      </w:pPr>
    </w:p>
    <w:p>
      <w:pPr>
        <w:ind w:left="660" w:right="20" w:hanging="4"/>
        <w:spacing w:after="0" w:line="277" w:lineRule="auto"/>
        <w:tabs>
          <w:tab w:leader="none" w:pos="92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of Clearway Operating LLC’s Wholly Owned Subsidiaries that Guarantees the notes on the date of the indenture, until such time as it is released pursuant to the provisions of the indenture; and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Equity Financing</w:t>
      </w:r>
      <w:r>
        <w:rPr>
          <w:rFonts w:ascii="Arial" w:cs="Arial" w:eastAsia="Arial" w:hAnsi="Arial"/>
          <w:sz w:val="16"/>
          <w:szCs w:val="16"/>
          <w:color w:val="auto"/>
        </w:rPr>
        <w:t>” means a tax equity financing entered into solely in connection with the acquisition, expansion, upgrade or refurbishment (or 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as of any date of determination, the total consolidated assets of Clearway Operating LLC and its Subsidiaries, determined on a consolidated basis in accordance with GAAP, as shown on the most recent publicly available balance sheet of Clearway Operating LLC as of such date.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October 15, 2021;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October 15, 2021 is less than one year, the weekly average yield on actually traded United States Treasury securities adjusted to a constant maturity of one year will be used.</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21" w:right="339" w:bottom="1440" w:gutter="0" w:footer="0" w:header="0"/>
        </w:sectPr>
      </w:pPr>
    </w:p>
    <w:bookmarkStart w:id="188" w:name="page189"/>
    <w:bookmarkEnd w:id="188"/>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Clearway Operating LLC’s 5.000% Senior Notes due 2026</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Clearway Operating LLC’s 5.00%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 as of December 31, 2019. In this description, “Clearway Operating LLC” refers only to Clearway Energy Operating LLC and not to any of its subsidiaries or parent entities.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the notes under an indenture among Clearway Operating LLC, the Guarantors named therein and Delaware Trust Company (as successor in interest to Law Debenture Trust Company of New York), as trustee.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w:t>
      </w:r>
      <w:r>
        <w:rPr>
          <w:rFonts w:ascii="Arial" w:cs="Arial" w:eastAsia="Arial" w:hAnsi="Arial"/>
          <w:sz w:val="16"/>
          <w:szCs w:val="16"/>
          <w:i w:val="1"/>
          <w:iCs w:val="1"/>
          <w:color w:val="auto"/>
        </w:rPr>
        <w:t>Trust Indenture</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The definitions of certain capitalized terms used in the following summary are set forth under the caption “—Certain Definitions.” Terms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“Description of Clearway Operating LLC’s 5.000% Senior Notes due 2026” section are defined only for the purpose of this section. Certain defined terms used in this description but not defined below under “—Certain Definitions” have the meanings assigned to them in the indenture. The indenture is an exhibit to this Annual Report on Form 10-K and is incorporated by reference herein. In addition, copies of the indenture are available upon request from Clearway Inc. References in this section to any subsections are references only to subsections of this section.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holder of a note is treated as the owner of it for all purposes. Only registered holders of notes have rights under the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900" w:hanging="244"/>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are general unsecured obligations of Clearway Operating LLC;</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90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Clearway Operating LLC, including Clearway Operating LLC’s Indebtedness under the Credit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are senior in right of payment to any future subordinated Indebtedness of Clearway Operating LLC;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are unconditionally guaranteed on a joint and several basis by the Guarantors.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However, the notes are effectively subordinated to all borrowings under the Credit Agreement, which is secured by substantially all of the assets of Clearway Operating LLC and the Guarantors, and any other secured Indebtedness (including any secured Hedging Obligations) of Clearway Operating LLC or the Guarantors, in each case to the extent of the value of the assets that secure the Credit Agreement or such other secured Indebtedness.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 Guarantor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guaranteed by Clearway LLC (the “</w:t>
      </w:r>
      <w:r>
        <w:rPr>
          <w:rFonts w:ascii="Arial" w:cs="Arial" w:eastAsia="Arial" w:hAnsi="Arial"/>
          <w:sz w:val="18"/>
          <w:szCs w:val="18"/>
          <w:i w:val="1"/>
          <w:iCs w:val="1"/>
          <w:color w:val="auto"/>
        </w:rPr>
        <w:t>Parent Guarantor</w:t>
      </w:r>
      <w:r>
        <w:rPr>
          <w:rFonts w:ascii="Arial" w:cs="Arial" w:eastAsia="Arial" w:hAnsi="Arial"/>
          <w:sz w:val="18"/>
          <w:szCs w:val="18"/>
          <w:color w:val="auto"/>
        </w:rPr>
        <w:t>”). The Parent Guarantee of the notes:</w:t>
      </w:r>
    </w:p>
    <w:p>
      <w:pPr>
        <w:spacing w:after="0" w:line="225" w:lineRule="exact"/>
        <w:rPr>
          <w:sz w:val="20"/>
          <w:szCs w:val="20"/>
          <w:color w:val="auto"/>
        </w:rPr>
      </w:pPr>
    </w:p>
    <w:p>
      <w:pPr>
        <w:ind w:left="900" w:hanging="244"/>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is a general unsecured obligation of the Parent Guarantor;</w:t>
      </w:r>
    </w:p>
    <w:p>
      <w:pPr>
        <w:spacing w:after="0" w:line="225" w:lineRule="exact"/>
        <w:rPr>
          <w:rFonts w:ascii="Arial" w:cs="Arial" w:eastAsia="Arial" w:hAnsi="Arial"/>
          <w:sz w:val="18"/>
          <w:szCs w:val="18"/>
          <w:color w:val="auto"/>
        </w:rPr>
      </w:pPr>
    </w:p>
    <w:p>
      <w:pPr>
        <w:ind w:left="1300" w:hanging="644"/>
        <w:spacing w:after="0" w:line="277" w:lineRule="auto"/>
        <w:tabs>
          <w:tab w:leader="none" w:pos="9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the Parent Guarantor, including the Parent Guarantor’s guarantee under the Credit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189" w:name="page190"/>
    <w:bookmarkEnd w:id="189"/>
    <w:p>
      <w:pPr>
        <w:ind w:left="900" w:hanging="244"/>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the Parent Guarantor.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the Parent Guarantor’s guarantee of the notes is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Subsidiary Guarantors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to the Parent Guarantee, the notes are guaranteed by each Wholly Owned Subsidiary of Clearway Operating LLC that guarantees any obligations of Clearway Operating LLC under the Credit Agreement of Clearway Operating LLC. Each Subsidiary Guarantee of the notes:</w:t>
      </w:r>
    </w:p>
    <w:p>
      <w:pPr>
        <w:spacing w:after="0" w:line="124" w:lineRule="exact"/>
        <w:rPr>
          <w:sz w:val="20"/>
          <w:szCs w:val="20"/>
          <w:color w:val="auto"/>
        </w:rPr>
      </w:pPr>
    </w:p>
    <w:p>
      <w:pPr>
        <w:ind w:left="900" w:hanging="244"/>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 a general unsecured obligation of the Subsidiary Guarantor;</w:t>
      </w:r>
    </w:p>
    <w:p>
      <w:pPr>
        <w:spacing w:after="0" w:line="225" w:lineRule="exact"/>
        <w:rPr>
          <w:rFonts w:ascii="Arial" w:cs="Arial" w:eastAsia="Arial" w:hAnsi="Arial"/>
          <w:sz w:val="18"/>
          <w:szCs w:val="18"/>
          <w:color w:val="auto"/>
        </w:rPr>
      </w:pPr>
    </w:p>
    <w:p>
      <w:pPr>
        <w:ind w:left="1300" w:hanging="644"/>
        <w:spacing w:after="0" w:line="277" w:lineRule="auto"/>
        <w:tabs>
          <w:tab w:leader="none" w:pos="9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that Subsidiary Guarantor, including such Subsidiary Guarantor’s guarantee under the Credit Agreement;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that Subsidiary Guarantor.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each Subsidiary Guarantor’s guarantee of the notes is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operations of Clearway Operating LLC are primarily conducted through its subsidiaries and, therefore, Clearway Operating LLC depends on the cash flow of its subsidiaries to meet its obligations, including its obligations under the notes. Not all of Clearway Operating LLC’s subsidiaries guarantee the notes. The notes are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Clearway Operating LLC to receive assets of any of its subsidiaries upon the subsidiary’s liquidation or reorganization (and the consequent right of the holders of notes to participate in those assets) is effectively subordinated to the claims of that subsidiary’s creditors, except to the extent that Clearway Operating LLC is itself recognized as a creditor of the subsidiary, in which case its claims would still be subordinate in right of payment to any security in the assets of the subsidiary and any indebtedness of the subsidiary senior to that held by Clearway Operating LLC.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Operating LLC issued $350 million aggregate principal amount of notes on the issue date. Clearway Operating LLC may issue additional notes of the same series under the indenture from time to time after the issue date. Any issuance of additional notes is subject to all of the covenants in the indenture. The notes and any additional notes of the same series subsequently issued under the indenture are treated as a single class for all purposes under the indenture, including, without limitation, waivers, amendments, redemptions and offers to purchase.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notes in denominations of $2,000 and integral multiples of $1,000 in excess thereof. The notes will mature on September 15, 2026.</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Interest accrues at the rate of 5.000% per annum and is payable semi-annually in arrears on March 15 and September 15 of each year. Clearway Operating LLC makes each interest payment to the holders of record on the immediately preceding March 1 and September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21" w:right="339" w:bottom="1440" w:gutter="0" w:footer="0" w:header="0"/>
        </w:sectPr>
      </w:pPr>
    </w:p>
    <w:bookmarkStart w:id="190" w:name="page191"/>
    <w:bookmarkEnd w:id="190"/>
    <w:p>
      <w:pPr>
        <w:jc w:val="both"/>
        <w:ind w:firstLine="648"/>
        <w:spacing w:after="0" w:line="277" w:lineRule="auto"/>
        <w:rPr>
          <w:sz w:val="20"/>
          <w:szCs w:val="20"/>
          <w:color w:val="auto"/>
        </w:rPr>
      </w:pPr>
      <w:r>
        <w:rPr>
          <w:rFonts w:ascii="Arial" w:cs="Arial" w:eastAsia="Arial" w:hAnsi="Arial"/>
          <w:sz w:val="18"/>
          <w:szCs w:val="18"/>
          <w:color w:val="auto"/>
        </w:rPr>
        <w:t>Interest on the notes accrues from the date of original issuance or, if interest has already been paid, from the date it was most recently paid. Interest is computed on the basis of a 360-day year comprised of twelve 30-day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holder of notes has given wire transfer instructions to Clearway Operating LLC, Clearway Operating LLC pays or causes to be paid all principal, interest and premium on that holder’s notes in accordance with those instructions. All other payments on notes are made at the office or agency of the paying agent and registrar within the City and State of New York unless Clearway Operating LLC elects to make interest payments by check mailed to the holders of the notes at their address set forth in the register of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trustee acts as paying agent and registrar. Clearway Operating LLC may change the paying agent or registrar without prior notice to the holders of the notes and Clearway Operating LLC or any of its Subsidiaries or parent entities may act as paying agent or registrar.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 to pay all taxes due on transfer. Clearway Operating LLC is not required to transfer or exchange any note selected for redemption. Also, Clearway Operating LLC is not required to transfer or exchange any note for a period of 15 days before a selection of notes to be redeemed.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Guarantee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Clearway Operating LLC’s payment obligations under the notes are guaranteed on a full and unconditional basis by the Parent Guarantor. The obligations of the Parent Guarantor under the Parent Guarantee are limited as necessary to prevent the Parent Guarantee from constituting a fraudulent conveyance under Applicable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Clearway Operating LLC’s payment obligations under the notes are guaranteed on a full and unconditional basis by each of the Subsidiary Guarantors. These Subsidiary Guarantees are joint and several obligations of the Subsidiary Guarantors. The obligations of each Subsidiary Guarantor under its Subsidiary Guarantee are limited as necessary to prevent that Subsidiary Guarantee from constituting a fraudulent conveyance under Applicable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Subsidiary Guarantee of a Subsidiary Guarantor will be released automatically:</w:t>
      </w:r>
    </w:p>
    <w:p>
      <w:pPr>
        <w:spacing w:after="0" w:line="225" w:lineRule="exact"/>
        <w:rPr>
          <w:sz w:val="20"/>
          <w:szCs w:val="20"/>
          <w:color w:val="auto"/>
        </w:rPr>
      </w:pPr>
    </w:p>
    <w:p>
      <w:pPr>
        <w:jc w:val="both"/>
        <w:ind w:left="660" w:hanging="4"/>
        <w:spacing w:after="0" w:line="263" w:lineRule="auto"/>
        <w:tabs>
          <w:tab w:leader="none" w:pos="93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Clearway Operating LLC or a Subsidiary of Clearway Operating LLC;</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3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Clearway Operating LLC or a Subsidiary of Clearway Operating LLC, if following such sale or other disposition, that Subsidiary Guarantor is no longer a direct or indirect Subsidiary of Clearway Operating LLC;</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21" w:right="339" w:bottom="1440" w:gutter="0" w:footer="0" w:header="0"/>
        </w:sectPr>
      </w:pPr>
    </w:p>
    <w:bookmarkStart w:id="191" w:name="page192"/>
    <w:bookmarkEnd w:id="191"/>
    <w:p>
      <w:pPr>
        <w:ind w:left="660" w:hanging="4"/>
        <w:spacing w:after="0" w:line="277" w:lineRule="auto"/>
        <w:tabs>
          <w:tab w:leader="none" w:pos="9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notes as provided below under the captions “—Legal Defeasance and Covenant Defeasance” and “—Satisfaction and Discharge;”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the indenture;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upon the prior consent of holders of at least a majority in aggregate principal amount of the notes then outstanding;</w:t>
      </w:r>
    </w:p>
    <w:p>
      <w:pPr>
        <w:spacing w:after="0" w:line="225" w:lineRule="exact"/>
        <w:rPr>
          <w:rFonts w:ascii="Arial" w:cs="Arial" w:eastAsia="Arial" w:hAnsi="Arial"/>
          <w:sz w:val="18"/>
          <w:szCs w:val="18"/>
          <w:color w:val="auto"/>
        </w:rPr>
      </w:pPr>
    </w:p>
    <w:p>
      <w:pPr>
        <w:jc w:val="both"/>
        <w:ind w:left="1300" w:firstLine="4"/>
        <w:spacing w:after="0" w:line="273" w:lineRule="auto"/>
        <w:tabs>
          <w:tab w:leader="none" w:pos="1564"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if Clearway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Clearway Operating LLC outstanding under the Credit Agreement at that time, upon the requisite consent of the holders of all other Material Indebtedness of Clearway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77" w:lineRule="exact"/>
        <w:rPr>
          <w:rFonts w:ascii="Arial" w:cs="Arial" w:eastAsia="Arial" w:hAnsi="Arial"/>
          <w:sz w:val="17"/>
          <w:szCs w:val="17"/>
          <w:color w:val="auto"/>
        </w:rPr>
      </w:pPr>
    </w:p>
    <w:p>
      <w:pPr>
        <w:jc w:val="both"/>
        <w:ind w:left="1300" w:firstLine="4"/>
        <w:spacing w:after="0" w:line="257" w:lineRule="auto"/>
        <w:tabs>
          <w:tab w:leader="none" w:pos="158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Clearway Operating LLC has Indebtedness outstanding under the Credit Agreement at that time, upon the release of such Subsidiary Guarantor’s Guarantee of all Obligations of Clearway Operating LLC under the Credit Agreement, or, if there is no Indebtedness of Clearway Operating LLC outstanding under the Credit Agreement at that time, upon the release of such Subsidiary Guarantor’s Guarantee of all Obligations with respect to all other Material Indebtedness of Clearway Operating LLC at that time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prior to September 15, 2021, Clearway Operating LLC may on any one or more occasions redeem all or a part of the notes, upon not less than 30 nor more than 60 days’ prior notice, at a redemption price equal to 100% of the principal amount of notes redeemed plus the Applicable Premium as of, and accrued and unpaid interest (including Special Interest), if any, to, the redemption date, subject to the rights of holders of notes on the relevant record date to receive interest due on the relevant interest payment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pursuant to the preceding paragraphs, the notes will not be redeemable at Clearway Operating LLC’s option prior to September 15, 2021.</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or after September 15, 2021, Clearway Operating LLC may on any one or more occasions redeem all or a part of the notes upon not less than 30 nor more than 60 days’ prior notice, at the redemption prices (expressed as percentages of principal amount) set forth below plus accrued and unpaid interest (including Special Interest), if any, on the notes redeemed, to the applicable redemption date, if redeemed during the 12-month period beginning on September 15 of the years indicated below, subject to the rights of holders of notes on the relevant record date to receive interest on the relevant interest payment date.</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Percentage</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340" w:type="dxa"/>
            <w:vAlign w:val="bottom"/>
            <w:gridSpan w:val="3"/>
            <w:shd w:val="clear" w:color="auto" w:fill="B6DDE8"/>
          </w:tcPr>
          <w:p>
            <w:pPr>
              <w:jc w:val="right"/>
              <w:ind w:right="1500"/>
              <w:spacing w:after="0"/>
              <w:rPr>
                <w:sz w:val="20"/>
                <w:szCs w:val="20"/>
                <w:color w:val="auto"/>
              </w:rPr>
            </w:pPr>
            <w:r>
              <w:rPr>
                <w:rFonts w:ascii="Arial" w:cs="Arial" w:eastAsia="Arial" w:hAnsi="Arial"/>
                <w:sz w:val="18"/>
                <w:szCs w:val="18"/>
                <w:color w:val="auto"/>
              </w:rPr>
              <w:t>2021</w:t>
            </w:r>
          </w:p>
        </w:tc>
        <w:tc>
          <w:tcPr>
            <w:tcW w:w="2360" w:type="dxa"/>
            <w:vAlign w:val="bottom"/>
            <w:gridSpan w:val="3"/>
            <w:shd w:val="clear" w:color="auto" w:fill="B6DDE8"/>
          </w:tcPr>
          <w:p>
            <w:pPr>
              <w:jc w:val="right"/>
              <w:ind w:right="20"/>
              <w:spacing w:after="0"/>
              <w:rPr>
                <w:sz w:val="20"/>
                <w:szCs w:val="20"/>
                <w:color w:val="auto"/>
              </w:rPr>
            </w:pPr>
            <w:r>
              <w:rPr>
                <w:rFonts w:ascii="Arial" w:cs="Arial" w:eastAsia="Arial" w:hAnsi="Arial"/>
                <w:sz w:val="18"/>
                <w:szCs w:val="18"/>
                <w:color w:val="auto"/>
              </w:rPr>
              <w:t>102.500 %</w:t>
            </w:r>
          </w:p>
        </w:tc>
      </w:tr>
      <w:tr>
        <w:trPr>
          <w:trHeight w:val="230"/>
        </w:trPr>
        <w:tc>
          <w:tcPr>
            <w:tcW w:w="5340" w:type="dxa"/>
            <w:vAlign w:val="bottom"/>
            <w:gridSpan w:val="3"/>
          </w:tcPr>
          <w:p>
            <w:pPr>
              <w:jc w:val="right"/>
              <w:ind w:right="1500"/>
              <w:spacing w:after="0"/>
              <w:rPr>
                <w:sz w:val="20"/>
                <w:szCs w:val="20"/>
                <w:color w:val="auto"/>
              </w:rPr>
            </w:pPr>
            <w:r>
              <w:rPr>
                <w:rFonts w:ascii="Arial" w:cs="Arial" w:eastAsia="Arial" w:hAnsi="Arial"/>
                <w:sz w:val="18"/>
                <w:szCs w:val="18"/>
                <w:color w:val="auto"/>
              </w:rPr>
              <w:t>2022</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101.667 %</w:t>
            </w:r>
          </w:p>
        </w:tc>
      </w:tr>
      <w:tr>
        <w:trPr>
          <w:trHeight w:val="230"/>
        </w:trPr>
        <w:tc>
          <w:tcPr>
            <w:tcW w:w="5340" w:type="dxa"/>
            <w:vAlign w:val="bottom"/>
            <w:gridSpan w:val="3"/>
            <w:shd w:val="clear" w:color="auto" w:fill="B6DDE8"/>
          </w:tcPr>
          <w:p>
            <w:pPr>
              <w:jc w:val="right"/>
              <w:ind w:right="1500"/>
              <w:spacing w:after="0"/>
              <w:rPr>
                <w:sz w:val="20"/>
                <w:szCs w:val="20"/>
                <w:color w:val="auto"/>
              </w:rPr>
            </w:pPr>
            <w:r>
              <w:rPr>
                <w:rFonts w:ascii="Arial" w:cs="Arial" w:eastAsia="Arial" w:hAnsi="Arial"/>
                <w:sz w:val="18"/>
                <w:szCs w:val="18"/>
                <w:color w:val="auto"/>
              </w:rPr>
              <w:t>2023</w:t>
            </w:r>
          </w:p>
        </w:tc>
        <w:tc>
          <w:tcPr>
            <w:tcW w:w="2360" w:type="dxa"/>
            <w:vAlign w:val="bottom"/>
            <w:gridSpan w:val="3"/>
            <w:shd w:val="clear" w:color="auto" w:fill="B6DDE8"/>
          </w:tcPr>
          <w:p>
            <w:pPr>
              <w:jc w:val="right"/>
              <w:ind w:right="20"/>
              <w:spacing w:after="0"/>
              <w:rPr>
                <w:sz w:val="20"/>
                <w:szCs w:val="20"/>
                <w:color w:val="auto"/>
              </w:rPr>
            </w:pPr>
            <w:r>
              <w:rPr>
                <w:rFonts w:ascii="Arial" w:cs="Arial" w:eastAsia="Arial" w:hAnsi="Arial"/>
                <w:sz w:val="18"/>
                <w:szCs w:val="18"/>
                <w:color w:val="auto"/>
              </w:rPr>
              <w:t>100.833 %</w:t>
            </w:r>
          </w:p>
        </w:tc>
      </w:tr>
      <w:tr>
        <w:trPr>
          <w:trHeight w:val="230"/>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100.000 %</w:t>
            </w:r>
          </w:p>
        </w:tc>
      </w:tr>
    </w:tbl>
    <w:p>
      <w:pPr>
        <w:spacing w:after="0" w:line="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Clearway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1"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Operating LLC is not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Change of Control Triggering Event occurs, each holder of notes will have the right to require Clearway Operating LLC to repurchase all or any part (equal to $2,000 or an integral multiple of $1,000 in excess thereof) of that holder’s notes pursuant to a Change of Control Offer on the terms set forth in the indenture.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Change of Control Offer, Clearway Operating LLC will offer a Change of Control Payment in cash equal to 101% of the aggregate principal amount of the notes, plus accrued and unpaid interest (including Special Interest), if any, on the notes to the date of purchase, subject to the rights of holders of the notes on the relevant record date to receive interest due on the relevant interest payment date. Within 30 days following any Change of Control Triggering Event, Clearway Operating LLC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Clearway Operating LLC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Clearway Operating LLC will comply with the applicable securities laws and regulations and will not be deemed to have breached its obligations under the Change of Control provisions of the indenture by virtue of such compliance.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Clearway Operating LLC will, to the extent lawful:</w:t>
      </w:r>
    </w:p>
    <w:p>
      <w:pPr>
        <w:spacing w:after="0" w:line="225" w:lineRule="exact"/>
        <w:rPr>
          <w:sz w:val="20"/>
          <w:szCs w:val="20"/>
          <w:color w:val="auto"/>
        </w:rPr>
      </w:pPr>
    </w:p>
    <w:p>
      <w:pPr>
        <w:ind w:left="920" w:hanging="264"/>
        <w:spacing w:after="0"/>
        <w:tabs>
          <w:tab w:leader="none" w:pos="9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1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hanging="4"/>
        <w:spacing w:after="0" w:line="277" w:lineRule="auto"/>
        <w:tabs>
          <w:tab w:leader="none" w:pos="9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Clearway Operating LLC.</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will promptly mail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of $2,000 or an integral multiple of $1,000 in excess thereof. Clearway Operating LLC will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described above that require Clearway Operating LLC to make a Change of Control Offer following a Change of Control Triggering Event are applicable whether or not any other provisions of the indenture are applicable.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Except as described above with respect to a Change of Control Triggering Event, the indenture does not contain provisions that permit the holders of the notes to require that Clearway Operating LLC repurchase or redeem the notes in the event of a takeover, recapitalization or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17" w:right="339" w:bottom="1440" w:gutter="0" w:footer="0" w:header="0"/>
        </w:sectPr>
      </w:pPr>
    </w:p>
    <w:bookmarkStart w:id="193" w:name="page194"/>
    <w:bookmarkEnd w:id="193"/>
    <w:p>
      <w:pPr>
        <w:jc w:val="both"/>
        <w:ind w:firstLine="648"/>
        <w:spacing w:after="0" w:line="272" w:lineRule="auto"/>
        <w:rPr>
          <w:sz w:val="20"/>
          <w:szCs w:val="20"/>
          <w:color w:val="auto"/>
        </w:rPr>
      </w:pPr>
      <w:r>
        <w:rPr>
          <w:rFonts w:ascii="Arial" w:cs="Arial" w:eastAsia="Arial" w:hAnsi="Arial"/>
          <w:sz w:val="17"/>
          <w:szCs w:val="17"/>
          <w:color w:val="auto"/>
        </w:rPr>
        <w:t>Clearway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Clearway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Clearway Operating LLC and its Subsidiaries taken as a whole. There is a limited body of case law interpreting the phrase “substantially all,” and there is no precise established definition of the phrase under Applicable Law. Accordingly, the ability of a holder of notes to require Clearway Operating LLC to repurchase its notes as a result of a sale, lease, transfer, conveyance or other disposition of less than all of the assets of Clearway Operating LLC and its Subsidiaries taken as a whole to another Person or group may be uncertain.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less than all of the notes are to be redeemed at any time, the trustee for the notes will select notes for redemption on a pro rata basis unless otherwise required by law or applicable stock exchange requirements.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 notes of $2,000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Any redemption notice may, in Clearway Operating LLC’s discretion, be subject to the satisfaction of one or more conditions precedent. If a redemption notice is subject to satisfaction of one or more conditions precedent, such notice will state that, at Clearway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Clearway Operating LLC has deposited with the paying agent funds sufficient to pay the principal of, plus accrued and unpaid interest and premium, if any, on, the notes to be redeemed.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Clearway Operating LLC will not, and will not permit any Subsidiary Guarantor, to create or permit to exist any Lien upon any Principal Property owned by Clearway Operating LLC or any Subsidiary Guarantor or upon any Equity Interests issued by, or Indebtedness of, any direct or indirect Subsidiary of Clearway Operating LLC to secure any Indebtedness of Clearway Operating LLC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restriction will not apply to, or prevent the creation or existence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1" w:right="339" w:bottom="1440" w:gutter="0" w:footer="0" w:header="0"/>
        </w:sectPr>
      </w:pPr>
    </w:p>
    <w:bookmarkStart w:id="194" w:name="page195"/>
    <w:bookmarkEnd w:id="194"/>
    <w:p>
      <w:pPr>
        <w:jc w:val="both"/>
        <w:ind w:left="480" w:hanging="4"/>
        <w:spacing w:after="0" w:line="286" w:lineRule="auto"/>
        <w:tabs>
          <w:tab w:leader="none" w:pos="7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Liens securing Indebtedness of Clearway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740" w:hanging="264"/>
        <w:spacing w:after="0"/>
        <w:tabs>
          <w:tab w:leader="none" w:pos="7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jc w:val="both"/>
        <w:ind w:left="480" w:hanging="4"/>
        <w:spacing w:after="0" w:line="254" w:lineRule="auto"/>
        <w:tabs>
          <w:tab w:leader="none" w:pos="75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Liens securing Indebtedness of any Person that (a) is acquired by Clearway Operating LLC or any of its Subsidiaries after the date of the indenture, (b) is merged or amalgamated with or into Clearway Operating LLC or any of its Subsidiaries after the date of the indenture or (c) becomes consolidated in the financial statements of Clearway Operating LLC or any of its Subsidiaries after the date of the indenture in accordance with GAAP;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Clearway Operating LLC or any of its Subsidiaries;</w:t>
      </w:r>
    </w:p>
    <w:p>
      <w:pPr>
        <w:spacing w:after="0" w:line="194" w:lineRule="exact"/>
        <w:rPr>
          <w:rFonts w:ascii="Arial" w:cs="Arial" w:eastAsia="Arial" w:hAnsi="Arial"/>
          <w:sz w:val="18"/>
          <w:szCs w:val="18"/>
          <w:color w:val="auto"/>
        </w:rPr>
      </w:pPr>
    </w:p>
    <w:p>
      <w:pPr>
        <w:jc w:val="both"/>
        <w:ind w:left="480" w:hanging="4"/>
        <w:spacing w:after="0" w:line="279" w:lineRule="auto"/>
        <w:tabs>
          <w:tab w:leader="none" w:pos="73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Liens securing Indebtedness of Clearway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Indebtedness is only secured by Liens on the Equity Interests and assets acquired, constructed or improved in such financing;</w:t>
      </w:r>
    </w:p>
    <w:p>
      <w:pPr>
        <w:spacing w:after="0" w:line="171" w:lineRule="exact"/>
        <w:rPr>
          <w:rFonts w:ascii="Arial" w:cs="Arial" w:eastAsia="Arial" w:hAnsi="Arial"/>
          <w:sz w:val="17"/>
          <w:szCs w:val="17"/>
          <w:color w:val="auto"/>
        </w:rPr>
      </w:pPr>
    </w:p>
    <w:p>
      <w:pPr>
        <w:ind w:left="740" w:hanging="264"/>
        <w:spacing w:after="0"/>
        <w:tabs>
          <w:tab w:leader="none" w:pos="7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in favor of Clearway Operating LLC or any of its Subsidiaries;</w:t>
      </w:r>
    </w:p>
    <w:p>
      <w:pPr>
        <w:spacing w:after="0" w:line="225" w:lineRule="exact"/>
        <w:rPr>
          <w:rFonts w:ascii="Arial" w:cs="Arial" w:eastAsia="Arial" w:hAnsi="Arial"/>
          <w:sz w:val="18"/>
          <w:szCs w:val="18"/>
          <w:color w:val="auto"/>
        </w:rPr>
      </w:pPr>
    </w:p>
    <w:p>
      <w:pPr>
        <w:ind w:left="480" w:hanging="4"/>
        <w:spacing w:after="0" w:line="277" w:lineRule="auto"/>
        <w:tabs>
          <w:tab w:leader="none" w:pos="7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Clearway Operating LLC in its reasonable discretion acting in good faith);</w:t>
      </w:r>
    </w:p>
    <w:p>
      <w:pPr>
        <w:spacing w:after="0" w:line="170" w:lineRule="exact"/>
        <w:rPr>
          <w:rFonts w:ascii="Arial" w:cs="Arial" w:eastAsia="Arial" w:hAnsi="Arial"/>
          <w:sz w:val="18"/>
          <w:szCs w:val="18"/>
          <w:color w:val="auto"/>
        </w:rPr>
      </w:pPr>
    </w:p>
    <w:p>
      <w:pPr>
        <w:ind w:left="740" w:hanging="264"/>
        <w:spacing w:after="0"/>
        <w:tabs>
          <w:tab w:leader="none" w:pos="7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Clearway Operating LLC or any Subsidiary Guarantor;</w:t>
      </w:r>
    </w:p>
    <w:p>
      <w:pPr>
        <w:spacing w:after="0" w:line="236" w:lineRule="exact"/>
        <w:rPr>
          <w:rFonts w:ascii="Arial" w:cs="Arial" w:eastAsia="Arial" w:hAnsi="Arial"/>
          <w:sz w:val="17"/>
          <w:szCs w:val="17"/>
          <w:color w:val="auto"/>
        </w:rPr>
      </w:pPr>
    </w:p>
    <w:p>
      <w:pPr>
        <w:ind w:left="480" w:hanging="4"/>
        <w:spacing w:after="0" w:line="277" w:lineRule="auto"/>
        <w:tabs>
          <w:tab w:leader="none" w:pos="73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480" w:hanging="4"/>
        <w:spacing w:after="0" w:line="277" w:lineRule="auto"/>
        <w:tabs>
          <w:tab w:leader="none" w:pos="7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Clearway Operating LLC or any Guarantor, including rights of offset and set-off;</w:t>
      </w:r>
    </w:p>
    <w:p>
      <w:pPr>
        <w:spacing w:after="0" w:line="170" w:lineRule="exact"/>
        <w:rPr>
          <w:rFonts w:ascii="Arial" w:cs="Arial" w:eastAsia="Arial" w:hAnsi="Arial"/>
          <w:sz w:val="18"/>
          <w:szCs w:val="18"/>
          <w:color w:val="auto"/>
        </w:rPr>
      </w:pPr>
    </w:p>
    <w:p>
      <w:pPr>
        <w:ind w:left="820" w:hanging="344"/>
        <w:spacing w:after="0"/>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820" w:hanging="344"/>
        <w:spacing w:after="0"/>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on the stock or assets of Project Subsidiaries securing Project Debt of one or more Project Subsidiaries;</w:t>
      </w:r>
    </w:p>
    <w:p>
      <w:pPr>
        <w:spacing w:after="0" w:line="225" w:lineRule="exact"/>
        <w:rPr>
          <w:rFonts w:ascii="Arial" w:cs="Arial" w:eastAsia="Arial" w:hAnsi="Arial"/>
          <w:sz w:val="18"/>
          <w:szCs w:val="18"/>
          <w:color w:val="auto"/>
        </w:rPr>
      </w:pPr>
    </w:p>
    <w:p>
      <w:pPr>
        <w:jc w:val="both"/>
        <w:ind w:left="480" w:right="20" w:hanging="4"/>
        <w:spacing w:after="0" w:line="301" w:lineRule="auto"/>
        <w:tabs>
          <w:tab w:leader="none" w:pos="83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(or a 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57" w:lineRule="exact"/>
        <w:rPr>
          <w:rFonts w:ascii="Arial" w:cs="Arial" w:eastAsia="Arial" w:hAnsi="Arial"/>
          <w:sz w:val="16"/>
          <w:szCs w:val="16"/>
          <w:color w:val="auto"/>
        </w:rPr>
      </w:pPr>
    </w:p>
    <w:p>
      <w:pPr>
        <w:ind w:left="480" w:right="20" w:hanging="4"/>
        <w:spacing w:after="0" w:line="277" w:lineRule="auto"/>
        <w:tabs>
          <w:tab w:leader="none" w:pos="8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Clearway Operating LLC or any Subsidiary Guarantor having an aggregate principal amount, measured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500" w:top="1421" w:right="339" w:bottom="1440" w:gutter="0" w:footer="0" w:header="0"/>
        </w:sectPr>
      </w:pPr>
    </w:p>
    <w:bookmarkStart w:id="195" w:name="page196"/>
    <w:bookmarkEnd w:id="195"/>
    <w:p>
      <w:pPr>
        <w:ind w:left="660" w:right="20"/>
        <w:spacing w:after="0" w:line="277" w:lineRule="auto"/>
        <w:rPr>
          <w:sz w:val="20"/>
          <w:szCs w:val="20"/>
          <w:color w:val="auto"/>
        </w:rPr>
      </w:pPr>
      <w:r>
        <w:rPr>
          <w:rFonts w:ascii="Arial" w:cs="Arial" w:eastAsia="Arial" w:hAnsi="Arial"/>
          <w:sz w:val="18"/>
          <w:szCs w:val="18"/>
          <w:color w:val="auto"/>
        </w:rPr>
        <w:t>of the date of creation of any such Lien and the date of incurrence of any such Indebtedness, not to exceed the greater of (i) 2.0% of Total Assets and (ii) $100.0 million.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Clearway Operating LLC will be permitted to classify such Lien on the date of its incurrence, or later reclassify all or a portion of such Lien, in any manner that complies with this covenant.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Clearway Operating LLC or any Subsidiary Guarantor proposes to create or permit to exist any Lien upon any Principal Property owned by Clearway Operating LLC or any Subsidiary Guarantor or upon any Equity Interests or Indebtedness of any direct or indirect Subsidiary of Clearway Operating LLC to secure any Indebtedness, other than as permitted by clauses (1) through (13) of the previous paragraph, Clearway Operating LLC will give prior written notice thereof to the trustee, who will give notice to the holders of notes, and Clearway Operating LLC will further agree, prior to or simultaneously with the creation of such Lien, effectively to secure all the notes equally and ratably with (or prior to) such other Indebtedness, for so long as such other Indebtedness is so secured.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the Parent Guarantor nor Clearway Operating LLC will, directly or indirectly: (1) consolidate or merge with or into another Person (whether or not the Parent Guarantor or Clearway Operating LLC is the surviving Person); or (2) sell, assign, transfer, convey or otherwise dispose of all or substantially all of the properties or assets of the Parent Guarantor or the Parent Guarantor and its Subsidiaries taken as a whole or Clearway Operating LLC or Clearway Operating LLC and its Subsidiaries taken as a whole, in one or more related transactions, to another Person; unless:</w:t>
      </w:r>
    </w:p>
    <w:p>
      <w:pPr>
        <w:spacing w:after="0" w:line="171" w:lineRule="exact"/>
        <w:rPr>
          <w:sz w:val="20"/>
          <w:szCs w:val="20"/>
          <w:color w:val="auto"/>
        </w:rPr>
      </w:pPr>
    </w:p>
    <w:p>
      <w:pPr>
        <w:jc w:val="both"/>
        <w:ind w:left="660" w:hanging="4"/>
        <w:spacing w:after="0" w:line="272" w:lineRule="auto"/>
        <w:tabs>
          <w:tab w:leader="none" w:pos="93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either: (a) the Parent Guarantor or Clearway Operating LLC, as the case may be, is the surviving Person; or (b) the Person formed by or surviving any such consolidation or merger (if other than the Parent Guarantor or Clearway Operating LLC,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77" w:lineRule="exact"/>
        <w:rPr>
          <w:rFonts w:ascii="Arial" w:cs="Arial" w:eastAsia="Arial" w:hAnsi="Arial"/>
          <w:sz w:val="17"/>
          <w:szCs w:val="17"/>
          <w:color w:val="auto"/>
        </w:rPr>
      </w:pPr>
    </w:p>
    <w:p>
      <w:pPr>
        <w:jc w:val="both"/>
        <w:ind w:left="660" w:hanging="4"/>
        <w:spacing w:after="0" w:line="259" w:lineRule="auto"/>
        <w:tabs>
          <w:tab w:leader="none" w:pos="92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Clearway Operating LLC, as the case may be) or the Person to which such sale, assignment, transfer, conveyance or other disposition has been made assumes all the obligations of the Parent Guarantor or Clearway Operating LLC, as the case may be, under the notes and the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neither the Parent Guarantor nor Clearway Operating LLC may, directly or indirectly, lease all or substantially all of its and its respective Subsidiaries’ properties or assets, in one or more related transactions, to any other Person.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“Merger, Consolidation or Sale of Assets” covenant will not apply to (1) a merger of the Parent Guarantor or Clearway Operating LLC, as the case solely for the purpose of reforming the Parent Guarantor or Clearway Operating LLC, as the case may be, in another jurisdiction or forming a direct or indirect holding company of Clearway Operating LLC that is a Wholly Owned Subsidiary of the Parent Guarantor; and (2) any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196" w:name="page197"/>
    <w:bookmarkEnd w:id="196"/>
    <w:p>
      <w:pPr>
        <w:spacing w:after="0" w:line="277" w:lineRule="auto"/>
        <w:rPr>
          <w:sz w:val="20"/>
          <w:szCs w:val="20"/>
          <w:color w:val="auto"/>
        </w:rPr>
      </w:pPr>
      <w:r>
        <w:rPr>
          <w:rFonts w:ascii="Arial" w:cs="Arial" w:eastAsia="Arial" w:hAnsi="Arial"/>
          <w:sz w:val="18"/>
          <w:szCs w:val="18"/>
          <w:color w:val="auto"/>
        </w:rPr>
        <w:t>transfer, assignment, conveyance, lease or other disposition of assets between or among the Parent Guarantor, Clearway Operating LLC and their respective Subsidiaries, including by way of merger or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hanging="4"/>
        <w:spacing w:after="0" w:line="277" w:lineRule="auto"/>
        <w:tabs>
          <w:tab w:leader="none" w:pos="91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Clearway Operating LLC or any of its Subsidiaries acquires or creates another Wholly Owned Subsidiary after the issue date and such Wholly Owned Subsidiary Guarantees any Obligations of Clearway Operating LLC under the Credit Agreement, or</w:t>
      </w:r>
    </w:p>
    <w:p>
      <w:pPr>
        <w:spacing w:after="0" w:line="170" w:lineRule="exact"/>
        <w:rPr>
          <w:rFonts w:ascii="Arial" w:cs="Arial" w:eastAsia="Arial" w:hAnsi="Arial"/>
          <w:sz w:val="18"/>
          <w:szCs w:val="18"/>
          <w:color w:val="auto"/>
        </w:rPr>
      </w:pPr>
    </w:p>
    <w:p>
      <w:pPr>
        <w:ind w:left="660" w:hanging="4"/>
        <w:spacing w:after="0" w:line="308" w:lineRule="auto"/>
        <w:tabs>
          <w:tab w:leader="none" w:pos="9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Wholly Owned Subsidiary of Clearway Operating LLC that does not currently Guarantee any Obligations of Clearway Operating LLC under the Credit Agreement subsequently Guarantees any Obligations of Clearway Operating LLC under the Credit Agreement, or</w:t>
      </w:r>
    </w:p>
    <w:p>
      <w:pPr>
        <w:spacing w:after="0" w:line="146" w:lineRule="exact"/>
        <w:rPr>
          <w:rFonts w:ascii="Arial" w:cs="Arial" w:eastAsia="Arial" w:hAnsi="Arial"/>
          <w:sz w:val="17"/>
          <w:szCs w:val="17"/>
          <w:color w:val="auto"/>
        </w:rPr>
      </w:pPr>
    </w:p>
    <w:p>
      <w:pPr>
        <w:jc w:val="both"/>
        <w:ind w:left="660" w:hanging="4"/>
        <w:spacing w:after="0" w:line="272" w:lineRule="auto"/>
        <w:tabs>
          <w:tab w:leader="none" w:pos="91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there is no Indebtedness of Clearway Operating LLC outstanding under the Credit Agreement at that time, any Wholly Owned Subsidiary of Clearway Operating LLC (including any newly acquired or created Wholly Owned Subsidiary) Guarantees any Obligations with respect to any other Material Indebtedness of Clearway Operating LLC, then such newly acquired or created Wholly Owned Subsidiary or Wholly Owned Subsidiary that subsequently fully and unconditionally Guarantees obligations under the Credit Agreement or other Material Indebtedness of Clearway Operating LLC, as the case may be, will become a Guarantor of the notes and execute a supplemental indenture and deliver an opinion of counsel satisfactory to the trustee within 30 business days of the date on which it was acquired or created or guaranteed other Material Indebtedness of Clearway Operating LLC, as the case may be.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Whether or not required by the Commission’s rules and regulations, so long as any notes are outstanding, Clearway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84" w:lineRule="exact"/>
        <w:rPr>
          <w:sz w:val="20"/>
          <w:szCs w:val="20"/>
          <w:color w:val="auto"/>
        </w:rPr>
      </w:pPr>
    </w:p>
    <w:p>
      <w:pPr>
        <w:ind w:left="660" w:hanging="4"/>
        <w:spacing w:after="0" w:line="277" w:lineRule="auto"/>
        <w:tabs>
          <w:tab w:leader="none" w:pos="92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Clearway Operating LLC were required to file such reports; and</w:t>
      </w:r>
    </w:p>
    <w:p>
      <w:pPr>
        <w:spacing w:after="0" w:line="170" w:lineRule="exact"/>
        <w:rPr>
          <w:rFonts w:ascii="Arial" w:cs="Arial" w:eastAsia="Arial" w:hAnsi="Arial"/>
          <w:sz w:val="18"/>
          <w:szCs w:val="18"/>
          <w:color w:val="auto"/>
        </w:rPr>
      </w:pPr>
    </w:p>
    <w:p>
      <w:pPr>
        <w:ind w:left="660" w:hanging="4"/>
        <w:spacing w:after="0" w:line="277" w:lineRule="auto"/>
        <w:tabs>
          <w:tab w:leader="none" w:pos="91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Clearway Operating LLC were required to file such reports.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Clearway Operating LLC’s consolidated financial statements by Clearway Operating LLC’s independent registered public accounting firm. Clearway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Clearway Operating LLC is no longer subject to the periodic reporting requirements of the Exchange Act for any reason, Clearway Operating LLC will nevertheless continue filing the reports specified in the preceding paragraph with the Commission within the time periods specified above unless the Commission will not accept such a filing. Clearway Operating LLC agrees that it will not take any action for the purpose of causing the Commission not to accept any such filings. If, notwithstanding the foregoing, the Commission will not accept Clearway Operating LLC’s filings for any reason, Clearway Operating LLC will post the reports referred to in the preceding paragraph on Clearway Inc.’s website within the time periods that would apply if Clearway Operating LLC were required to file those reports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21" w:right="339" w:bottom="1440" w:gutter="0" w:footer="0" w:header="0"/>
        </w:sectPr>
      </w:pPr>
    </w:p>
    <w:bookmarkStart w:id="197" w:name="page198"/>
    <w:bookmarkEnd w:id="197"/>
    <w:p>
      <w:pPr>
        <w:jc w:val="both"/>
        <w:ind w:firstLine="648"/>
        <w:spacing w:after="0" w:line="259" w:lineRule="auto"/>
        <w:rPr>
          <w:sz w:val="20"/>
          <w:szCs w:val="20"/>
          <w:color w:val="auto"/>
        </w:rPr>
      </w:pPr>
      <w:r>
        <w:rPr>
          <w:rFonts w:ascii="Arial" w:cs="Arial" w:eastAsia="Arial" w:hAnsi="Arial"/>
          <w:sz w:val="18"/>
          <w:szCs w:val="18"/>
          <w:color w:val="auto"/>
        </w:rPr>
        <w:t>So long as the Parent Guarantor continues to own, directly or indirectly, all of the Equity Interests of Clearway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Clearway Operating LLC under this reporting covenant.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Clearway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920" w:hanging="264"/>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ownership of debt or equity interests in Clearway Operating LLC;</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660" w:hanging="4"/>
        <w:spacing w:after="0" w:line="277" w:lineRule="auto"/>
        <w:tabs>
          <w:tab w:leader="none" w:pos="9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activities as the parent of a consolidated group of companies, including Clearway Operating LLC;</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making distributions to holders of its debt or equity interests or to Clearway Operating LLC or any Subsidiary of Clearway Operating LLC;</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9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Inc., Clearway Operating LLC or any Subsidiary of Clearway Operating LLC and the execution and delivery of any agreements related to the foregoing, including credit agreements, indentures, security agreements, notes and registration rights agreements;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920" w:hanging="264"/>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failure by Clearway Operating LLC or any Guarantor for 45 days after written notice given by the trustee or holders, to comply with any of the other agreements in the indenture;</w:t>
      </w:r>
    </w:p>
    <w:p>
      <w:pPr>
        <w:spacing w:after="0" w:line="170" w:lineRule="exact"/>
        <w:rPr>
          <w:rFonts w:ascii="Arial" w:cs="Arial" w:eastAsia="Arial" w:hAnsi="Arial"/>
          <w:sz w:val="18"/>
          <w:szCs w:val="18"/>
          <w:color w:val="auto"/>
        </w:rPr>
      </w:pPr>
    </w:p>
    <w:p>
      <w:pPr>
        <w:jc w:val="both"/>
        <w:ind w:left="660" w:hanging="4"/>
        <w:spacing w:after="0" w:line="286" w:lineRule="auto"/>
        <w:tabs>
          <w:tab w:leader="none" w:pos="93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Clearway Operating LLC or any Guarantor (or the payment of which is guaranteed by Clearway Operating LLC or any Guarantor) whether such Indebtedness or guarantee now exists, or is created after the issue date, if that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198" w:name="page199"/>
    <w:bookmarkEnd w:id="198"/>
    <w:p>
      <w:pPr>
        <w:ind w:left="1300" w:firstLine="4"/>
        <w:spacing w:after="0" w:line="277" w:lineRule="auto"/>
        <w:tabs>
          <w:tab w:leader="none" w:pos="15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left="1300" w:firstLine="4"/>
        <w:spacing w:after="0" w:line="286" w:lineRule="auto"/>
        <w:tabs>
          <w:tab w:leader="none" w:pos="157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(i) 1.5% of Total Assets and (ii) $75.0 million;</w:t>
      </w:r>
    </w:p>
    <w:p>
      <w:pPr>
        <w:spacing w:after="0" w:line="16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(4) shall not apply to secured Indebtedness that becomes due as a result of the voluntary sale or transfer of the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such Indebtedness to a Person that is not an Affiliate of Clearway Operating LLC;</w:t>
      </w:r>
    </w:p>
    <w:p>
      <w:pPr>
        <w:spacing w:after="0" w:line="170" w:lineRule="exact"/>
        <w:rPr>
          <w:sz w:val="20"/>
          <w:szCs w:val="20"/>
          <w:color w:val="auto"/>
        </w:rPr>
      </w:pPr>
    </w:p>
    <w:p>
      <w:pPr>
        <w:jc w:val="both"/>
        <w:ind w:left="660" w:hanging="4"/>
        <w:spacing w:after="0" w:line="259" w:lineRule="auto"/>
        <w:tabs>
          <w:tab w:leader="none" w:pos="92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the greater of (i) 1.5% of Total Assets and (ii) $75.0 million (excluding therefrom any amount reasonably expected to be covered by insurance) shall be rendered against Clearway Operating LLC or any Guarantor or Guarantors or any combination thereof and the same shall not have been paid, discharged or stayed for a period of 60 days after such judgment became final and non-appealable;</w:t>
      </w:r>
    </w:p>
    <w:p>
      <w:pPr>
        <w:spacing w:after="0" w:line="186" w:lineRule="exact"/>
        <w:rPr>
          <w:rFonts w:ascii="Arial" w:cs="Arial" w:eastAsia="Arial" w:hAnsi="Arial"/>
          <w:sz w:val="18"/>
          <w:szCs w:val="18"/>
          <w:color w:val="auto"/>
        </w:rPr>
      </w:pPr>
    </w:p>
    <w:p>
      <w:pPr>
        <w:jc w:val="both"/>
        <w:ind w:left="660" w:hanging="4"/>
        <w:spacing w:after="0" w:line="257" w:lineRule="auto"/>
        <w:tabs>
          <w:tab w:leader="none" w:pos="9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be held in any final and non-appealable judicial proceeding to be unenforceable or invalid or shall cease for any reason to be in full force and effect or any Guarantor (or any group of Guarantors) that, if Subsidiaries of Clearway Operating LLC, would constitute a Significant Subsidiary, or any Person acting on behalf of any Guarantor (or any group of Guarantors) that, if Subsidiaries of Clearway Operating LLC, would constitute a Significant Subsidiary, shall deny or disaffirm its or their obligations under its or their Guarantee(s); and</w:t>
      </w:r>
    </w:p>
    <w:p>
      <w:pPr>
        <w:spacing w:after="0" w:line="187" w:lineRule="exact"/>
        <w:rPr>
          <w:rFonts w:ascii="Arial" w:cs="Arial" w:eastAsia="Arial" w:hAnsi="Arial"/>
          <w:sz w:val="18"/>
          <w:szCs w:val="18"/>
          <w:color w:val="auto"/>
        </w:rPr>
      </w:pPr>
    </w:p>
    <w:p>
      <w:pPr>
        <w:jc w:val="both"/>
        <w:ind w:left="660" w:hanging="4"/>
        <w:spacing w:after="0" w:line="263" w:lineRule="auto"/>
        <w:tabs>
          <w:tab w:leader="none" w:pos="9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Clearway Operating LLC or any Guarantor that, if a Subsidiary of Clearway Operating LLC, would constitute a Significant Subsidiary or any group of Guarantors that, if Subsidiaries of Clearway Operating LLC, taken together, would constitute a Significant Subsidiary.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case of an Event of Default with respect to the notes arising from certain events of bankruptcy or insolvency with respect to Clearway Operating LLC, any Guarantor or any group of Guarantors that, if subsidiaries of Clearway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principal amount of such notes that are outstanding may declare all the notes to be due and payable immediately.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57" w:lineRule="exact"/>
        <w:rPr>
          <w:sz w:val="20"/>
          <w:szCs w:val="20"/>
          <w:color w:val="auto"/>
        </w:rPr>
      </w:pPr>
    </w:p>
    <w:p>
      <w:pPr>
        <w:ind w:left="920" w:hanging="264"/>
        <w:spacing w:after="0"/>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notes that are then outstanding have requested the trustee to pursue the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21" w:right="339" w:bottom="1440" w:gutter="0" w:footer="0" w:header="0"/>
        </w:sectPr>
      </w:pPr>
    </w:p>
    <w:bookmarkStart w:id="199" w:name="page200"/>
    <w:bookmarkEnd w:id="199"/>
    <w:p>
      <w:pPr>
        <w:ind w:left="920" w:hanging="264"/>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225" w:lineRule="exact"/>
        <w:rPr>
          <w:rFonts w:ascii="Arial" w:cs="Arial" w:eastAsia="Arial" w:hAnsi="Arial"/>
          <w:sz w:val="18"/>
          <w:szCs w:val="18"/>
          <w:color w:val="auto"/>
        </w:rPr>
      </w:pPr>
    </w:p>
    <w:p>
      <w:pPr>
        <w:ind w:left="660" w:hanging="4"/>
        <w:spacing w:after="0" w:line="277" w:lineRule="auto"/>
        <w:tabs>
          <w:tab w:leader="none" w:pos="9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that are then outstanding have not given the trustee a direction inconsistent with such request within such 60-day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the notes, rescind an acceleration or waive any existing Default or Event of Default and its consequences under the indenture except a continuing Default or Event of Default in the payment of interest on, or the principal of, such notes.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Clearway Operating LLC is required to deliver to the trustee annually a statement regarding compliance with the indenture. Upon becoming aware of any Default or Event of Default, Clearway Operating LLC is required to deliver to the trustee a statement specifying such Default or Event of Default.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director, officer, employee, incorporator, stockholder, member or unitholder of Clearway Operating LLC or any Guarantor, as such, has any liability for any obligations of Clearway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Clearway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7"/>
          <w:szCs w:val="17"/>
          <w:i w:val="1"/>
          <w:iCs w:val="1"/>
          <w:color w:val="auto"/>
        </w:rPr>
        <w:t>Legal Defeasance</w:t>
      </w:r>
      <w:r>
        <w:rPr>
          <w:rFonts w:ascii="Arial" w:cs="Arial" w:eastAsia="Arial" w:hAnsi="Arial"/>
          <w:sz w:val="17"/>
          <w:szCs w:val="17"/>
          <w:color w:val="auto"/>
        </w:rPr>
        <w:t>”), except for:</w:t>
      </w:r>
    </w:p>
    <w:p>
      <w:pPr>
        <w:spacing w:after="0" w:line="146" w:lineRule="exact"/>
        <w:rPr>
          <w:sz w:val="20"/>
          <w:szCs w:val="20"/>
          <w:color w:val="auto"/>
        </w:rPr>
      </w:pPr>
    </w:p>
    <w:p>
      <w:pPr>
        <w:ind w:left="660" w:hanging="4"/>
        <w:spacing w:after="0" w:line="277" w:lineRule="auto"/>
        <w:tabs>
          <w:tab w:leader="none" w:pos="92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rights of holders of the notes that are then outstanding to receive payments in respect of the principal of, or interest or premium on such notes when such payments are due from the trust referred to below;</w:t>
      </w:r>
    </w:p>
    <w:p>
      <w:pPr>
        <w:spacing w:after="0" w:line="170" w:lineRule="exact"/>
        <w:rPr>
          <w:rFonts w:ascii="Arial" w:cs="Arial" w:eastAsia="Arial" w:hAnsi="Arial"/>
          <w:sz w:val="18"/>
          <w:szCs w:val="18"/>
          <w:color w:val="auto"/>
        </w:rPr>
      </w:pPr>
    </w:p>
    <w:p>
      <w:pPr>
        <w:ind w:left="660" w:right="20" w:hanging="4"/>
        <w:spacing w:after="0" w:line="308" w:lineRule="auto"/>
        <w:tabs>
          <w:tab w:leader="none" w:pos="9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Clearway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46" w:lineRule="exact"/>
        <w:rPr>
          <w:rFonts w:ascii="Arial" w:cs="Arial" w:eastAsia="Arial" w:hAnsi="Arial"/>
          <w:sz w:val="17"/>
          <w:szCs w:val="17"/>
          <w:color w:val="auto"/>
        </w:rPr>
      </w:pPr>
    </w:p>
    <w:p>
      <w:pPr>
        <w:ind w:left="660" w:hanging="4"/>
        <w:spacing w:after="0" w:line="277" w:lineRule="auto"/>
        <w:tabs>
          <w:tab w:leader="none" w:pos="9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notes, and Clearway Operating LLC’s and the Guarantors’ obligations in connection therewith;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Legal Defeasance provisions of the indenture governing such notes.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Clearway Operating LLC may, at its option and at any time, elect to have the obligations of Clearway Operating LLC and the Guarantors released with respect to certain covenants (including its obligation to make Change of Control Offers) that are described in the indenture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200" w:name="page201"/>
    <w:bookmarkEnd w:id="200"/>
    <w:p>
      <w:pPr>
        <w:jc w:val="both"/>
        <w:ind w:left="660" w:hanging="4"/>
        <w:spacing w:after="0" w:line="296" w:lineRule="auto"/>
        <w:tabs>
          <w:tab w:leader="none" w:pos="92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Clearway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Clearway Operating LLC must specify whether such notes are being defeased to maturity or to a particular redemption date;</w:t>
      </w:r>
    </w:p>
    <w:p>
      <w:pPr>
        <w:spacing w:after="0" w:line="161" w:lineRule="exact"/>
        <w:rPr>
          <w:rFonts w:ascii="Arial" w:cs="Arial" w:eastAsia="Arial" w:hAnsi="Arial"/>
          <w:sz w:val="16"/>
          <w:szCs w:val="16"/>
          <w:color w:val="auto"/>
        </w:rPr>
      </w:pPr>
    </w:p>
    <w:p>
      <w:pPr>
        <w:jc w:val="both"/>
        <w:ind w:left="660" w:hanging="4"/>
        <w:spacing w:after="0" w:line="291" w:lineRule="auto"/>
        <w:tabs>
          <w:tab w:leader="none" w:pos="9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the case of Legal Defeasance, Clearway Operating LLC has delivered to the trustee an opinion of counsel reasonably acceptable to the trustee confirming that (a) Clearway Operating LLC has received from, or there has been published by, the Internal Revenue Service a ruling or</w:t>
      </w:r>
    </w:p>
    <w:p>
      <w:pPr>
        <w:jc w:val="both"/>
        <w:ind w:left="660"/>
        <w:spacing w:after="0" w:line="273" w:lineRule="auto"/>
        <w:rPr>
          <w:rFonts w:ascii="Arial" w:cs="Arial" w:eastAsia="Arial" w:hAnsi="Arial"/>
          <w:sz w:val="16"/>
          <w:szCs w:val="16"/>
          <w:color w:val="auto"/>
        </w:rPr>
      </w:pPr>
      <w:r>
        <w:rPr>
          <w:rFonts w:ascii="Arial" w:cs="Arial" w:eastAsia="Arial" w:hAnsi="Arial"/>
          <w:sz w:val="17"/>
          <w:szCs w:val="17"/>
          <w:color w:val="auto"/>
        </w:rPr>
        <w:t>(b) 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6" w:lineRule="exact"/>
        <w:rPr>
          <w:rFonts w:ascii="Arial" w:cs="Arial" w:eastAsia="Arial" w:hAnsi="Arial"/>
          <w:sz w:val="16"/>
          <w:szCs w:val="16"/>
          <w:color w:val="auto"/>
        </w:rPr>
      </w:pPr>
    </w:p>
    <w:p>
      <w:pPr>
        <w:jc w:val="both"/>
        <w:ind w:left="660" w:hanging="4"/>
        <w:spacing w:after="0" w:line="259" w:lineRule="auto"/>
        <w:tabs>
          <w:tab w:leader="none" w:pos="92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Covenant Defeasance, Clearway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660" w:hanging="4"/>
        <w:spacing w:after="0" w:line="277" w:lineRule="auto"/>
        <w:tabs>
          <w:tab w:leader="none" w:pos="92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on the date of such deposit (other than a Default or Event of Default resulting from the borrowing of funds to be applied to such deposit);</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91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Clearway Operating LLC or any of its Subsidiaries or the Parent Guarantor is a party or by which Clearway Operating LLC or any of its Subsidiaries or the Parent Guarantor is bound;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2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stating that the deposit was not made by Clearway Operating LLC with the intent of preferring the holders of the notes over the other creditors of Clearway Operating LLC with the intent of defeating, hindering, delaying or defrauding creditors of Clearway Operating LLC or others; and</w:t>
      </w:r>
    </w:p>
    <w:p>
      <w:pPr>
        <w:spacing w:after="0" w:line="183" w:lineRule="exact"/>
        <w:rPr>
          <w:rFonts w:ascii="Arial" w:cs="Arial" w:eastAsia="Arial" w:hAnsi="Arial"/>
          <w:sz w:val="18"/>
          <w:szCs w:val="18"/>
          <w:color w:val="auto"/>
        </w:rPr>
      </w:pPr>
    </w:p>
    <w:p>
      <w:pPr>
        <w:ind w:left="660" w:hanging="4"/>
        <w:spacing w:after="0" w:line="277" w:lineRule="auto"/>
        <w:tabs>
          <w:tab w:leader="none" w:pos="9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and an opinion of counsel, each stating that all conditions precedent relating to the Legal Defeasance or the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Except as provided in the next two succeeding paragraphs, the indenture or the notes outstanding thereunder may be amended or supplemented with the consent of the holders of at least a majority in principal amount of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Without the consent of each holder of notes affected, an amendment or waiver may not (with respect to any such notes held by a non-consenting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201" w:name="page202"/>
    <w:bookmarkEnd w:id="201"/>
    <w:p>
      <w:pPr>
        <w:ind w:left="920" w:hanging="264"/>
        <w:spacing w:after="0"/>
        <w:tabs>
          <w:tab w:leader="none" w:pos="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91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91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notes;</w:t>
      </w:r>
    </w:p>
    <w:p>
      <w:pPr>
        <w:spacing w:after="0" w:line="225" w:lineRule="exact"/>
        <w:rPr>
          <w:rFonts w:ascii="Arial" w:cs="Arial" w:eastAsia="Arial" w:hAnsi="Arial"/>
          <w:sz w:val="18"/>
          <w:szCs w:val="18"/>
          <w:color w:val="auto"/>
        </w:rPr>
      </w:pPr>
    </w:p>
    <w:p>
      <w:pPr>
        <w:ind w:left="660" w:hanging="4"/>
        <w:spacing w:after="0" w:line="277" w:lineRule="auto"/>
        <w:tabs>
          <w:tab w:leader="none" w:pos="94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such notes to receive payments of principal of, or interest or premium on such notes;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waive a redemption payment with respect to any such note (other than a payment required by one of the covenants described above under the caption “—Repurchase at the Option of Holders”);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Clearway Operating LLC, the Guarantors and the trustee may amend or supplement the indenture or the notes:</w:t>
      </w:r>
    </w:p>
    <w:p>
      <w:pPr>
        <w:spacing w:after="0" w:line="170" w:lineRule="exact"/>
        <w:rPr>
          <w:sz w:val="20"/>
          <w:szCs w:val="20"/>
          <w:color w:val="auto"/>
        </w:rPr>
      </w:pPr>
    </w:p>
    <w:p>
      <w:pPr>
        <w:ind w:left="920" w:hanging="264"/>
        <w:spacing w:after="0"/>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660" w:hanging="4"/>
        <w:spacing w:after="0" w:line="277" w:lineRule="auto"/>
        <w:tabs>
          <w:tab w:leader="none" w:pos="92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provide for the assumption of Clearway Operating LLC’s obligations to holders of notes in the case of a merger or consolidation or sale of all or substantially all of Clearway Operating LLC’s assets;</w:t>
      </w:r>
    </w:p>
    <w:p>
      <w:pPr>
        <w:spacing w:after="0" w:line="170" w:lineRule="exact"/>
        <w:rPr>
          <w:rFonts w:ascii="Arial" w:cs="Arial" w:eastAsia="Arial" w:hAnsi="Arial"/>
          <w:sz w:val="18"/>
          <w:szCs w:val="18"/>
          <w:color w:val="auto"/>
        </w:rPr>
      </w:pPr>
    </w:p>
    <w:p>
      <w:pPr>
        <w:ind w:left="660" w:hanging="4"/>
        <w:spacing w:after="0" w:line="277" w:lineRule="auto"/>
        <w:tabs>
          <w:tab w:leader="none" w:pos="91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any indenture of any such holder;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pacing w:after="0" w:line="248" w:lineRule="exact"/>
        <w:rPr>
          <w:rFonts w:ascii="Arial" w:cs="Arial" w:eastAsia="Arial" w:hAnsi="Arial"/>
          <w:sz w:val="16"/>
          <w:szCs w:val="16"/>
          <w:color w:val="auto"/>
        </w:rPr>
      </w:pPr>
    </w:p>
    <w:p>
      <w:pPr>
        <w:ind w:left="660" w:right="20" w:hanging="4"/>
        <w:spacing w:after="0" w:line="277" w:lineRule="auto"/>
        <w:tabs>
          <w:tab w:leader="none" w:pos="92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the Notes” in the offering memorandum of Clearway Operating LLC dated August 15, 2016;</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date hereof;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202" w:name="page203"/>
    <w:bookmarkEnd w:id="202"/>
    <w:p>
      <w:pPr>
        <w:ind w:left="6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225" w:lineRule="exact"/>
        <w:rPr>
          <w:sz w:val="20"/>
          <w:szCs w:val="20"/>
          <w:color w:val="auto"/>
        </w:rPr>
      </w:pPr>
    </w:p>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1300" w:firstLine="4"/>
        <w:spacing w:after="0" w:line="263" w:lineRule="auto"/>
        <w:tabs>
          <w:tab w:leader="none" w:pos="154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been deposited in trust and thereafter repaid to Clearway Operating LLC, have been delivered to the trustee for such notes for cancellation; or</w:t>
      </w:r>
    </w:p>
    <w:p>
      <w:pPr>
        <w:spacing w:after="0" w:line="183" w:lineRule="exact"/>
        <w:rPr>
          <w:rFonts w:ascii="Arial" w:cs="Arial" w:eastAsia="Arial" w:hAnsi="Arial"/>
          <w:sz w:val="18"/>
          <w:szCs w:val="18"/>
          <w:color w:val="auto"/>
        </w:rPr>
      </w:pPr>
    </w:p>
    <w:p>
      <w:pPr>
        <w:jc w:val="both"/>
        <w:ind w:left="1300" w:firstLine="4"/>
        <w:spacing w:after="0" w:line="293" w:lineRule="auto"/>
        <w:tabs>
          <w:tab w:leader="none" w:pos="156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all such notes that have not been delivered to the trustee for cancellation have become due and payable by reason of the mailing of a notice of redemption or otherwise or will become due and payable within one year and Clearway Operating LLC or any Guarantor has irrevocably deposited or caused to be deposited with the trustee as trust funds in trust solely for the benefit of the holders of notes,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1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Clearway Operating LLC or any Guarantor is a party or by which Clearway Operating LLC or any Guarantor is bound;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Clearway Operating LLC or any Guarantor has paid or caused to be paid all sums payable by it under the indenture;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Clearway Operating LLC has delivered irrevocable instructions to the trustee under the indenture to apply the deposited money toward the payment of the notes at maturity or the redemption date, as the case may be.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Clearway Operating LLC must deliver an officers’ certificate and an opinion of counsel to the trustee stating that all conditions precedent to satisfaction and discharge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the trustee becomes a creditor of Clearway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8"/>
          <w:szCs w:val="18"/>
          <w:i w:val="1"/>
          <w:iCs w:val="1"/>
          <w:color w:val="auto"/>
        </w:rPr>
        <w:t>however</w:t>
      </w:r>
      <w:r>
        <w:rPr>
          <w:rFonts w:ascii="Arial" w:cs="Arial" w:eastAsia="Arial" w:hAnsi="Arial"/>
          <w:sz w:val="18"/>
          <w:szCs w:val="18"/>
          <w:color w:val="auto"/>
        </w:rPr>
        <w:t>, if it acquires any conflicting interest it must eliminate such conflict within 90 days, apply to the Commission for permission to continue (if such indenture has been qualified under the Trust Indenture Act) or resign.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203" w:name="page204"/>
    <w:bookmarkEnd w:id="203"/>
    <w:p>
      <w:pPr>
        <w:jc w:val="both"/>
        <w:ind w:firstLine="648"/>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LTM CAFD</w:t>
      </w:r>
      <w:r>
        <w:rPr>
          <w:rFonts w:ascii="Arial" w:cs="Arial" w:eastAsia="Arial" w:hAnsi="Arial"/>
          <w:sz w:val="18"/>
          <w:szCs w:val="18"/>
          <w:color w:val="auto"/>
        </w:rPr>
        <w:t>” means, as of any date of determination (for purposes of this definition, the “</w:t>
      </w:r>
      <w:r>
        <w:rPr>
          <w:rFonts w:ascii="Arial" w:cs="Arial" w:eastAsia="Arial" w:hAnsi="Arial"/>
          <w:sz w:val="18"/>
          <w:szCs w:val="18"/>
          <w:i w:val="1"/>
          <w:iCs w:val="1"/>
          <w:color w:val="auto"/>
        </w:rPr>
        <w:t>Calculation Date</w:t>
      </w:r>
      <w:r>
        <w:rPr>
          <w:rFonts w:ascii="Arial" w:cs="Arial" w:eastAsia="Arial" w:hAnsi="Arial"/>
          <w:sz w:val="18"/>
          <w:szCs w:val="18"/>
          <w:color w:val="auto"/>
        </w:rPr>
        <w:t>”), the net income of Clearway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4" w:lineRule="exact"/>
        <w:rPr>
          <w:sz w:val="20"/>
          <w:szCs w:val="20"/>
          <w:color w:val="auto"/>
        </w:rPr>
      </w:pPr>
    </w:p>
    <w:p>
      <w:pPr>
        <w:ind w:left="920" w:hanging="264"/>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 period;</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25" w:lineRule="exact"/>
        <w:rPr>
          <w:rFonts w:ascii="Arial" w:cs="Arial" w:eastAsia="Arial" w:hAnsi="Arial"/>
          <w:sz w:val="18"/>
          <w:szCs w:val="18"/>
          <w:color w:val="auto"/>
        </w:rPr>
      </w:pPr>
    </w:p>
    <w:p>
      <w:pPr>
        <w:ind w:left="660" w:hanging="4"/>
        <w:spacing w:after="0" w:line="277" w:lineRule="auto"/>
        <w:tabs>
          <w:tab w:leader="none" w:pos="93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Clearway Operating LLC that were added back to net income pursuant to clause (1) above;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minus cash income tax payments made by Clearway Operating LLC and its Subsidiaries that were added back to net income pursuant to clause</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left="660" w:right="20" w:hanging="4"/>
        <w:spacing w:after="0" w:line="277" w:lineRule="auto"/>
        <w:tabs>
          <w:tab w:leader="none" w:pos="93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Clearway Operating LLC’s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plus, any decrease or minus any increase in amounts attributable to contract amortization and any recurring changes in other assets;</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660" w:hanging="4"/>
        <w:spacing w:after="0" w:line="311" w:lineRule="auto"/>
        <w:tabs>
          <w:tab w:leader="none" w:pos="99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48" w:lineRule="exact"/>
        <w:rPr>
          <w:rFonts w:ascii="Arial" w:cs="Arial" w:eastAsia="Arial" w:hAnsi="Arial"/>
          <w:sz w:val="16"/>
          <w:szCs w:val="16"/>
          <w:color w:val="auto"/>
        </w:rPr>
      </w:pPr>
    </w:p>
    <w:p>
      <w:pPr>
        <w:ind w:left="660" w:right="20" w:hanging="4"/>
        <w:spacing w:after="0" w:line="308" w:lineRule="auto"/>
        <w:tabs>
          <w:tab w:leader="none" w:pos="100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660" w:hanging="4"/>
        <w:spacing w:after="0" w:line="311" w:lineRule="auto"/>
        <w:tabs>
          <w:tab w:leader="none" w:pos="94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investments and acquisitions that have been made by Clearway Operating LLC or any of its Subsidiaries, including through mergers or consolidations, or any Person or any of its Subsidiaries acquired by Clearway Operating LLC or any of its Subsidiaries, and including any related financing transactions and including increases in ownership of Subsidiaries, during the four-quarter reference period or subsequent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21" w:right="339" w:bottom="1440" w:gutter="0" w:footer="0" w:header="0"/>
        </w:sectPr>
      </w:pPr>
    </w:p>
    <w:bookmarkStart w:id="204" w:name="page205"/>
    <w:bookmarkEnd w:id="204"/>
    <w:p>
      <w:pPr>
        <w:ind w:left="660" w:right="20"/>
        <w:spacing w:after="0" w:line="308" w:lineRule="auto"/>
        <w:rPr>
          <w:sz w:val="20"/>
          <w:szCs w:val="20"/>
          <w:color w:val="auto"/>
        </w:rPr>
      </w:pPr>
      <w:r>
        <w:rPr>
          <w:rFonts w:ascii="Arial" w:cs="Arial" w:eastAsia="Arial" w:hAnsi="Arial"/>
          <w:sz w:val="17"/>
          <w:szCs w:val="17"/>
          <w:color w:val="auto"/>
        </w:rPr>
        <w:t>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46" w:lineRule="exact"/>
        <w:rPr>
          <w:sz w:val="20"/>
          <w:szCs w:val="20"/>
          <w:color w:val="auto"/>
        </w:rPr>
      </w:pPr>
    </w:p>
    <w:p>
      <w:pPr>
        <w:ind w:left="660" w:hanging="4"/>
        <w:spacing w:after="0" w:line="277" w:lineRule="auto"/>
        <w:tabs>
          <w:tab w:leader="none" w:pos="92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20" w:hanging="4"/>
        <w:spacing w:after="0" w:line="277" w:lineRule="auto"/>
        <w:tabs>
          <w:tab w:leader="none" w:pos="91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Laws</w:t>
      </w:r>
      <w:r>
        <w:rPr>
          <w:rFonts w:ascii="Arial" w:cs="Arial" w:eastAsia="Arial" w:hAnsi="Arial"/>
          <w:sz w:val="17"/>
          <w:szCs w:val="17"/>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920" w:hanging="264"/>
        <w:spacing w:after="0"/>
        <w:tabs>
          <w:tab w:leader="none" w:pos="9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firstLine="4"/>
        <w:spacing w:after="0" w:line="279" w:lineRule="auto"/>
        <w:tabs>
          <w:tab w:leader="none" w:pos="1546"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the present value at such redemption date of (i) the redemption price of such note at September 15, 2021 (such redemption price being set forth in the table appearing above under the caption “—Optional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all required interest payments due on the note through September 15, 2021 (excluding accrued but unpaid interest to the redemption date), computed using a discount rate equal to the Treasury Rate as of such redemption date plus 50 basis points; over</w:t>
      </w:r>
    </w:p>
    <w:p>
      <w:pPr>
        <w:spacing w:after="0" w:line="171" w:lineRule="exact"/>
        <w:rPr>
          <w:rFonts w:ascii="Arial" w:cs="Arial" w:eastAsia="Arial" w:hAnsi="Arial"/>
          <w:sz w:val="17"/>
          <w:szCs w:val="17"/>
          <w:color w:val="auto"/>
        </w:rPr>
      </w:pPr>
    </w:p>
    <w:p>
      <w:pPr>
        <w:ind w:left="1560" w:hanging="256"/>
        <w:spacing w:after="0"/>
        <w:tabs>
          <w:tab w:leader="none" w:pos="15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w:t>
      </w:r>
    </w:p>
    <w:p>
      <w:pPr>
        <w:spacing w:after="0" w:line="225" w:lineRule="exact"/>
        <w:rPr>
          <w:sz w:val="20"/>
          <w:szCs w:val="20"/>
          <w:color w:val="auto"/>
        </w:rPr>
      </w:pPr>
    </w:p>
    <w:p>
      <w:pPr>
        <w:ind w:left="920" w:hanging="264"/>
        <w:spacing w:after="0"/>
        <w:tabs>
          <w:tab w:leader="none" w:pos="9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205" w:name="page206"/>
    <w:bookmarkEnd w:id="205"/>
    <w:p>
      <w:pPr>
        <w:ind w:left="660"/>
        <w:spacing w:after="0"/>
        <w:rPr>
          <w:sz w:val="20"/>
          <w:szCs w:val="20"/>
          <w:color w:val="auto"/>
        </w:rPr>
      </w:pPr>
      <w:r>
        <w:rPr>
          <w:rFonts w:ascii="Arial" w:cs="Arial" w:eastAsia="Arial" w:hAnsi="Arial"/>
          <w:sz w:val="18"/>
          <w:szCs w:val="18"/>
          <w:color w:val="auto"/>
        </w:rPr>
        <w:t>(4) with respect to any other Person, the board or committee of such Person serving a similar function.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920" w:hanging="264"/>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hanging="4"/>
        <w:spacing w:after="0" w:line="277" w:lineRule="auto"/>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236" w:lineRule="exact"/>
        <w:rPr>
          <w:rFonts w:ascii="Arial" w:cs="Arial" w:eastAsia="Arial" w:hAnsi="Arial"/>
          <w:sz w:val="17"/>
          <w:szCs w:val="17"/>
          <w:color w:val="auto"/>
        </w:rPr>
      </w:pPr>
    </w:p>
    <w:p>
      <w:pPr>
        <w:jc w:val="both"/>
        <w:ind w:left="660" w:hanging="4"/>
        <w:spacing w:after="0" w:line="263" w:lineRule="auto"/>
        <w:tabs>
          <w:tab w:leader="none" w:pos="92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jc w:val="both"/>
        <w:ind w:left="660" w:hanging="4"/>
        <w:spacing w:after="0" w:line="279" w:lineRule="auto"/>
        <w:tabs>
          <w:tab w:leader="none" w:pos="91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Clearway Operating LLC and its Subsidiaries taken as a whole to any “person” (as that term is used in Section 13(d) of the Exchange Act, but excluding any employee benefit plan of Clearway Operating LLC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Clearway Inc., the Parent Guarantor or Clearway Operating LLC;</w:t>
      </w:r>
    </w:p>
    <w:p>
      <w:pPr>
        <w:spacing w:after="0" w:line="225" w:lineRule="exact"/>
        <w:rPr>
          <w:rFonts w:ascii="Arial" w:cs="Arial" w:eastAsia="Arial" w:hAnsi="Arial"/>
          <w:sz w:val="18"/>
          <w:szCs w:val="18"/>
          <w:color w:val="auto"/>
        </w:rPr>
      </w:pPr>
    </w:p>
    <w:p>
      <w:pPr>
        <w:jc w:val="both"/>
        <w:ind w:left="660" w:hanging="4"/>
        <w:spacing w:after="0" w:line="279" w:lineRule="auto"/>
        <w:tabs>
          <w:tab w:leader="none" w:pos="92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(as defined above), other than (i) Clearway Inc.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 or</w:t>
      </w:r>
    </w:p>
    <w:p>
      <w:pPr>
        <w:spacing w:after="0" w:line="171" w:lineRule="exact"/>
        <w:rPr>
          <w:rFonts w:ascii="Arial" w:cs="Arial" w:eastAsia="Arial" w:hAnsi="Arial"/>
          <w:sz w:val="17"/>
          <w:szCs w:val="17"/>
          <w:color w:val="auto"/>
        </w:rPr>
      </w:pPr>
    </w:p>
    <w:p>
      <w:pPr>
        <w:ind w:left="660" w:hanging="4"/>
        <w:spacing w:after="0" w:line="277" w:lineRule="auto"/>
        <w:tabs>
          <w:tab w:leader="none" w:pos="9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first day on which either (i) Clearway Inc. ceases to be the sole managing member of the Parent Guarantor or (ii) Clearway Operating LLC ceases to be a Wholly Owned Subsidiary of the Parent Guarantor.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it in the indenture governing the notes.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(i) a Change of Control has occurred and (ii) the notes are downgraded by both S&amp;P and Moody’s on any date during the period commencing 60 days prior to the consummation of such Change of Control and ending 60 days following consummation of such Change of Control.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April 25, 2014, among Clearway Operating LLC, the Parent Guarantor, each other guarantor from time to time party thereto,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206" w:name="page207"/>
    <w:bookmarkEnd w:id="206"/>
    <w:p>
      <w:pPr>
        <w:jc w:val="both"/>
        <w:spacing w:after="0" w:line="263" w:lineRule="auto"/>
        <w:rPr>
          <w:sz w:val="20"/>
          <w:szCs w:val="20"/>
          <w:color w:val="auto"/>
        </w:rPr>
      </w:pPr>
      <w:r>
        <w:rPr>
          <w:rFonts w:ascii="Arial" w:cs="Arial" w:eastAsia="Arial" w:hAnsi="Arial"/>
          <w:sz w:val="18"/>
          <w:szCs w:val="18"/>
          <w:color w:val="auto"/>
        </w:rPr>
        <w:t>from time to time party thereto, JPMorgan Chase Bank, N.A., as the administrative agent, and JPMorgan Chase Bank, N.A., Royal Bank of Canada, Bank of America, N.A. and Barclays Bank PLC, as letter of credit issuers , as the same may be amended, restated, modified, renewed, refunded, replaced or refinanced from time to time.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CapEx Debt</w:t>
      </w:r>
      <w:r>
        <w:rPr>
          <w:rFonts w:ascii="Arial" w:cs="Arial" w:eastAsia="Arial" w:hAnsi="Arial"/>
          <w:sz w:val="18"/>
          <w:szCs w:val="18"/>
          <w:color w:val="auto"/>
        </w:rPr>
        <w:t>” means Indebtedness of Clearway Operating LLC or any of its Subsidiaries incurred for the purpose of financing capital expenditures to the extent deemed reasonably necessary, as determined by Clearway Operating LLC or any of its Subsidiaries, as applicable, in good faith and pursuant to prudent judgment, to comply with applicable Environmental Laws.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Offerings</w:t>
      </w:r>
      <w:r>
        <w:rPr>
          <w:rFonts w:ascii="Arial" w:cs="Arial" w:eastAsia="Arial" w:hAnsi="Arial"/>
          <w:sz w:val="18"/>
          <w:szCs w:val="18"/>
          <w:color w:val="auto"/>
        </w:rPr>
        <w:t>” means any public or private sale after the issue date of Capital Stock of the Parent Guarantor or Clearway Inc., the proceeds of which have been contributed to Clearway Operating LLC as common equity, other than:</w:t>
      </w:r>
    </w:p>
    <w:p>
      <w:pPr>
        <w:spacing w:after="0" w:line="170" w:lineRule="exact"/>
        <w:rPr>
          <w:sz w:val="20"/>
          <w:szCs w:val="20"/>
          <w:color w:val="auto"/>
        </w:rPr>
      </w:pPr>
    </w:p>
    <w:p>
      <w:pPr>
        <w:ind w:left="920" w:hanging="264"/>
        <w:spacing w:after="0"/>
        <w:tabs>
          <w:tab w:leader="none" w:pos="9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public offerings with respect to Clearway Inc.’s common stock registered on Form S-4 or Form S-8;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issuances to any Subsidiary of Clearway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Agreement</w:t>
      </w:r>
      <w:r>
        <w:rPr>
          <w:rFonts w:ascii="Arial" w:cs="Arial" w:eastAsia="Arial" w:hAnsi="Arial"/>
          <w:sz w:val="18"/>
          <w:szCs w:val="18"/>
          <w:color w:val="auto"/>
        </w:rPr>
        <w:t>” means the Amended and Restated Exchange Agreement, dated as of May 14, 2015 by and among Global Infrastructure Investors III, LLC (as successor in interest to NRG Energy, Inc. pursuant to that certain Assignment and Assumption Agreement, dated as of August 31, 2018), Clearway Inc. and the Parent Guarantor and each of the other parties thereto from time to time, as amended, supplemented or otherwise modified from time to time.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Liens</w:t>
      </w:r>
      <w:r>
        <w:rPr>
          <w:rFonts w:ascii="Arial" w:cs="Arial" w:eastAsia="Arial" w:hAnsi="Arial"/>
          <w:sz w:val="18"/>
          <w:szCs w:val="18"/>
          <w:color w:val="auto"/>
        </w:rPr>
        <w:t>” means Liens on the property or assets of Clearway Operating LLC and/or any of its Subsidiaries existing on the date of the indenture securing Indebtedness of Clearway Operating LLC or any of its Subsidiaries (other than Liens incurred pursuant to clause (1) of the covenant described above under the caption “—Liens”).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21" w:right="339" w:bottom="1440" w:gutter="0" w:footer="0" w:header="0"/>
        </w:sectPr>
      </w:pPr>
    </w:p>
    <w:bookmarkStart w:id="207" w:name="page208"/>
    <w:bookmarkEnd w:id="207"/>
    <w:p>
      <w:pPr>
        <w:jc w:val="both"/>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operating lease would be re-characterized as a capital lease due to changes in the accounting treatment of such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under GAAP since the issue date, then solely with respect to the accounting treatment of any such lease, GAAP shall be interpreted as it was in effect on the issue date.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920" w:hanging="264"/>
        <w:spacing w:after="0"/>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Parent Guarantor;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the provisions of the indenture; and</w:t>
      </w:r>
    </w:p>
    <w:p>
      <w:pPr>
        <w:spacing w:after="0" w:line="225" w:lineRule="exact"/>
        <w:rPr>
          <w:rFonts w:ascii="Arial" w:cs="Arial" w:eastAsia="Arial" w:hAnsi="Arial"/>
          <w:sz w:val="18"/>
          <w:szCs w:val="18"/>
          <w:color w:val="auto"/>
        </w:rPr>
      </w:pPr>
    </w:p>
    <w:p>
      <w:pPr>
        <w:ind w:left="660" w:right="360" w:hanging="4"/>
        <w:spacing w:after="0" w:line="530" w:lineRule="auto"/>
        <w:tabs>
          <w:tab w:leader="none" w:pos="91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other Person that executes a Guarantee in accordance with the provisions of the indenture, and their respective successors and assigns. “</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1" w:lineRule="exact"/>
        <w:rPr>
          <w:sz w:val="20"/>
          <w:szCs w:val="20"/>
          <w:color w:val="auto"/>
        </w:rPr>
      </w:pPr>
    </w:p>
    <w:p>
      <w:pPr>
        <w:ind w:left="660" w:hanging="4"/>
        <w:spacing w:after="0" w:line="277" w:lineRule="auto"/>
        <w:tabs>
          <w:tab w:leader="none" w:pos="92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92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except as provided in clause (5) below), whether or not contingent:</w:t>
      </w:r>
    </w:p>
    <w:p>
      <w:pPr>
        <w:spacing w:after="0" w:line="170" w:lineRule="exact"/>
        <w:rPr>
          <w:sz w:val="20"/>
          <w:szCs w:val="20"/>
          <w:color w:val="auto"/>
        </w:rPr>
      </w:pPr>
    </w:p>
    <w:p>
      <w:pPr>
        <w:ind w:left="920" w:hanging="264"/>
        <w:spacing w:after="0"/>
        <w:tabs>
          <w:tab w:leader="none" w:pos="9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2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21" w:right="339" w:bottom="1440" w:gutter="0" w:footer="0" w:header="0"/>
        </w:sectPr>
      </w:pPr>
    </w:p>
    <w:bookmarkStart w:id="208" w:name="page209"/>
    <w:bookmarkEnd w:id="208"/>
    <w:p>
      <w:pPr>
        <w:ind w:left="660" w:hanging="4"/>
        <w:spacing w:after="0" w:line="308" w:lineRule="auto"/>
        <w:tabs>
          <w:tab w:leader="none" w:pos="92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August 18,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w:t>
      </w:r>
    </w:p>
    <w:p>
      <w:pPr>
        <w:spacing w:after="0" w:line="225" w:lineRule="exact"/>
        <w:rPr>
          <w:sz w:val="20"/>
          <w:szCs w:val="20"/>
          <w:color w:val="auto"/>
        </w:rPr>
      </w:pPr>
    </w:p>
    <w:p>
      <w:pPr>
        <w:ind w:left="660" w:hanging="4"/>
        <w:spacing w:after="0" w:line="277" w:lineRule="auto"/>
        <w:tabs>
          <w:tab w:leader="none" w:pos="94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hanging="4"/>
        <w:spacing w:after="0" w:line="277" w:lineRule="auto"/>
        <w:tabs>
          <w:tab w:leader="none" w:pos="9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hanging="4"/>
        <w:spacing w:after="0" w:line="277" w:lineRule="auto"/>
        <w:tabs>
          <w:tab w:leader="none" w:pos="91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as of any date, any series of Indebtedness with an aggregate principal amount outstanding in excess of the greater of (i) 1.5% of Total Assets, as of such date, and (ii) $75.0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Necessary CapEx Debt</w:t>
      </w:r>
      <w:r>
        <w:rPr>
          <w:rFonts w:ascii="Arial" w:cs="Arial" w:eastAsia="Arial" w:hAnsi="Arial"/>
          <w:sz w:val="18"/>
          <w:szCs w:val="18"/>
          <w:color w:val="auto"/>
        </w:rPr>
        <w:t>” means Indebtedness of Clearway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the Parent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Clearway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building, structure or other facility, and all related property, plant or equipment or other long-term assets used or useful in the ownership, development, construction or operation of such building, structure or other facility owned or leased by Clearway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Clearway Operating LLC and its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21" w:right="339" w:bottom="1440" w:gutter="0" w:footer="0" w:header="0"/>
        </w:sectPr>
      </w:pPr>
    </w:p>
    <w:bookmarkStart w:id="209" w:name="page210"/>
    <w:bookmarkEnd w:id="209"/>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Cost Savings</w:t>
      </w:r>
      <w:r>
        <w:rPr>
          <w:rFonts w:ascii="Arial" w:cs="Arial" w:eastAsia="Arial" w:hAnsi="Arial"/>
          <w:sz w:val="17"/>
          <w:szCs w:val="17"/>
          <w:color w:val="auto"/>
        </w:rPr>
        <w:t>” means, without duplication, with respect to any period, reductions in costs and related adjustments that have been actually realized or are projected by Clearway Operating LLC’s Chief Financial Officer in good faith to result from reasonably identifiable and factually supportable actions or events, but only to the extent such reductions in costs and related adjustments are so projected by Clearway Operating LLC to be realized prior to the end of the consecutive four-quarter period commencing after the transaction giving rise to such calculation.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Debt</w:t>
      </w:r>
      <w:r>
        <w:rPr>
          <w:rFonts w:ascii="Arial" w:cs="Arial" w:eastAsia="Arial" w:hAnsi="Arial"/>
          <w:sz w:val="18"/>
          <w:szCs w:val="18"/>
          <w:color w:val="auto"/>
        </w:rPr>
        <w:t xml:space="preserve">” means Indebtedness of one or more Project Subsidiaries incurred for the purpose of holding, constructing or acquiring power generation facilities or related or ancillary assets or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Clearway Operating LLC is not liable with respect to such Indebtedness except to the extent of a non-recourse pledge of equity interests in one or more Project Subsidiaries.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 Subsidiary</w:t>
      </w:r>
      <w:r>
        <w:rPr>
          <w:rFonts w:ascii="Arial" w:cs="Arial" w:eastAsia="Arial" w:hAnsi="Arial"/>
          <w:sz w:val="16"/>
          <w:szCs w:val="16"/>
          <w:color w:val="auto"/>
        </w:rPr>
        <w:t xml:space="preserve">” means any Subsidiary of Clearway Operating LLC held for the purpose of holding, constructing or acquiring power generation facilities or related or ancillary assets or properties and any Subsidiary of Clearway Operating LLC whose assets consist primarily of equity interests in one or more other Project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Subsidiary will cease to be a Project Subsidiary if it Guarantees any Indebtedness of Clearway Operating LLC other than obligations of Clearway Operating LLC related to Project Debt of one or more Project Subsidiaries.</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 Liens</w:t>
      </w:r>
      <w:r>
        <w:rPr>
          <w:rFonts w:ascii="Arial" w:cs="Arial" w:eastAsia="Arial" w:hAnsi="Arial"/>
          <w:sz w:val="17"/>
          <w:szCs w:val="17"/>
          <w:color w:val="auto"/>
        </w:rPr>
        <w:t xml:space="preserve">” means Liens granted in connection with amending, extending, modifying, renewing, replacing, refunding or refinancing in whole or in part any Indebtedness secured by Liens described in clauses (2) through (10) of the covenant described above under the caption “Liens;”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Refinancing Liens do not (a) extend to property or assets other than property or assets of the type that were subject to the original Lien or (b)</w:t>
      </w:r>
      <w:r>
        <w:rPr>
          <w:rFonts w:ascii="Arial" w:cs="Arial" w:eastAsia="Arial" w:hAnsi="Arial"/>
          <w:sz w:val="17"/>
          <w:szCs w:val="17"/>
          <w:i w:val="1"/>
          <w:iCs w:val="1"/>
          <w:color w:val="auto"/>
        </w:rPr>
        <w:t xml:space="preserve"> </w:t>
      </w:r>
      <w:r>
        <w:rPr>
          <w:rFonts w:ascii="Arial" w:cs="Arial" w:eastAsia="Arial" w:hAnsi="Arial"/>
          <w:sz w:val="17"/>
          <w:szCs w:val="17"/>
          <w:color w:val="auto"/>
        </w:rPr>
        <w:t>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jc w:val="both"/>
        <w:ind w:left="660" w:hanging="4"/>
        <w:spacing w:after="0" w:line="257" w:lineRule="auto"/>
        <w:tabs>
          <w:tab w:leader="none" w:pos="93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18"/>
          <w:szCs w:val="18"/>
          <w:color w:val="auto"/>
        </w:rPr>
      </w:pPr>
    </w:p>
    <w:p>
      <w:pPr>
        <w:ind w:left="660" w:hanging="4"/>
        <w:spacing w:after="0" w:line="308" w:lineRule="auto"/>
        <w:tabs>
          <w:tab w:leader="none" w:pos="922"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Subsidiary Guarantor of Clearway Operating LLC’s obligations under the indenture and on the notes, executed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21" w:right="339" w:bottom="1440" w:gutter="0" w:footer="0" w:header="0"/>
        </w:sectPr>
      </w:pPr>
    </w:p>
    <w:bookmarkStart w:id="210" w:name="page211"/>
    <w:bookmarkEnd w:id="2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w:t>
      </w:r>
    </w:p>
    <w:p>
      <w:pPr>
        <w:spacing w:after="0" w:line="225" w:lineRule="exact"/>
        <w:rPr>
          <w:sz w:val="20"/>
          <w:szCs w:val="20"/>
          <w:color w:val="auto"/>
        </w:rPr>
      </w:pPr>
    </w:p>
    <w:p>
      <w:pPr>
        <w:ind w:left="660" w:right="20" w:hanging="4"/>
        <w:spacing w:after="0" w:line="277" w:lineRule="auto"/>
        <w:tabs>
          <w:tab w:leader="none" w:pos="92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of Clearway Operating LLC’s Wholly Owned Subsidiaries that Guarantees the notes on the date of the indenture, until such time as it is released pursuant to the provisions of the indenture; and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as of any date of determination, the total consolidated assets of Clearway Operating LLC and its Subsidiaries, determined on a consolidated basis in accordance with GAAP, as shown on the most recent publicly available balance sheet of Clearway Operating LLC as of such date.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Secured Debt</w:t>
      </w:r>
      <w:r>
        <w:rPr>
          <w:rFonts w:ascii="Arial" w:cs="Arial" w:eastAsia="Arial" w:hAnsi="Arial"/>
          <w:sz w:val="17"/>
          <w:szCs w:val="17"/>
          <w:color w:val="auto"/>
        </w:rPr>
        <w:t xml:space="preserve">” means, as of any date of determination, the aggregate principal amount of Indebtedness of Clearway Operating LLC and the Guarantors outstanding on such date that is secured by a Lien on any property or assets of Clearway Operating LLC or any of the Guarantors (including Capital Stock of Subsidiaries of Clearway Operating LLC or Indebtedness of Subsidiaries of Clearway Operating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Total Secured Debt will include only the amount of payments that Clearway Operating LLC or any of the Guarantors would be required to make, on the date Total Secured Debt is being determined, in the event of any early termination or similar event on such date of determination and (ii) for the avoidance of doubt, Total Secured Debt will not include the undrawn amount of any outstanding letters of credit.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September 15, 2021;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September 15, 2021 is less than one year, the weekly average yield on actually traded United States Treasury securities adjusted to a constant maturity of one year will be used.</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21"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Change-in-Control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General Severance Plan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(Amended and Restated as of January 1, 2021)</w:t>
      </w:r>
    </w:p>
    <w:p>
      <w:pPr>
        <w:sectPr>
          <w:pgSz w:w="11900" w:h="16838" w:orient="portrait"/>
          <w:cols w:equalWidth="0" w:num="1">
            <w:col w:w="11240"/>
          </w:cols>
          <w:pgMar w:left="320" w:top="949" w:right="3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698627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3">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160" w:type="dxa"/>
            <w:vAlign w:val="bottom"/>
            <w:gridSpan w:val="2"/>
          </w:tcPr>
          <w:p>
            <w:pPr>
              <w:spacing w:after="0"/>
              <w:rPr>
                <w:sz w:val="20"/>
                <w:szCs w:val="20"/>
                <w:color w:val="auto"/>
              </w:rPr>
            </w:pPr>
            <w:r>
              <w:rPr>
                <w:rFonts w:ascii="Arial" w:cs="Arial" w:eastAsia="Arial" w:hAnsi="Arial"/>
                <w:sz w:val="22"/>
                <w:szCs w:val="22"/>
                <w:color w:val="010000"/>
              </w:rPr>
              <w:t xml:space="preserve">Article 1.  </w:t>
            </w:r>
            <w:r>
              <w:rPr>
                <w:rFonts w:ascii="Arial" w:cs="Arial" w:eastAsia="Arial" w:hAnsi="Arial"/>
                <w:sz w:val="22"/>
                <w:szCs w:val="22"/>
                <w:color w:val="000000"/>
              </w:rPr>
              <w:t>Establishment and Term of the Plan</w:t>
            </w:r>
          </w:p>
        </w:tc>
        <w:tc>
          <w:tcPr>
            <w:tcW w:w="3180" w:type="dxa"/>
            <w:vAlign w:val="bottom"/>
          </w:tcPr>
          <w:p>
            <w:pPr>
              <w:ind w:left="2960"/>
              <w:spacing w:after="0"/>
              <w:rPr>
                <w:rFonts w:ascii="Arial" w:cs="Arial" w:eastAsia="Arial" w:hAnsi="Arial"/>
                <w:sz w:val="22"/>
                <w:szCs w:val="22"/>
                <w:u w:val="single" w:color="auto"/>
                <w:color w:val="auto"/>
              </w:rPr>
            </w:pPr>
            <w:hyperlink w:anchor="page213">
              <w:r>
                <w:rPr>
                  <w:rFonts w:ascii="Arial" w:cs="Arial" w:eastAsia="Arial" w:hAnsi="Arial"/>
                  <w:sz w:val="22"/>
                  <w:szCs w:val="22"/>
                  <w:u w:val="single" w:color="auto"/>
                  <w:color w:val="auto"/>
                </w:rPr>
                <w:t>1</w:t>
              </w:r>
            </w:hyperlink>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010000"/>
              </w:rPr>
              <w:t>Article 2.</w:t>
            </w:r>
          </w:p>
        </w:tc>
        <w:tc>
          <w:tcPr>
            <w:tcW w:w="622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3180" w:type="dxa"/>
            <w:vAlign w:val="bottom"/>
          </w:tcPr>
          <w:p>
            <w:pPr>
              <w:ind w:left="2960"/>
              <w:spacing w:after="0"/>
              <w:rPr>
                <w:rFonts w:ascii="Arial" w:cs="Arial" w:eastAsia="Arial" w:hAnsi="Arial"/>
                <w:sz w:val="22"/>
                <w:szCs w:val="22"/>
                <w:u w:val="single" w:color="auto"/>
                <w:color w:val="auto"/>
              </w:rPr>
            </w:pPr>
            <w:hyperlink w:anchor="page213">
              <w:r>
                <w:rPr>
                  <w:rFonts w:ascii="Arial" w:cs="Arial" w:eastAsia="Arial" w:hAnsi="Arial"/>
                  <w:sz w:val="22"/>
                  <w:szCs w:val="22"/>
                  <w:u w:val="single" w:color="auto"/>
                  <w:color w:val="auto"/>
                </w:rPr>
                <w:t>2</w:t>
              </w:r>
            </w:hyperlink>
          </w:p>
        </w:tc>
      </w:tr>
      <w:tr>
        <w:trPr>
          <w:trHeight w:val="310"/>
        </w:trPr>
        <w:tc>
          <w:tcPr>
            <w:tcW w:w="940" w:type="dxa"/>
            <w:vAlign w:val="bottom"/>
          </w:tcPr>
          <w:p>
            <w:pPr>
              <w:spacing w:after="0"/>
              <w:rPr>
                <w:sz w:val="20"/>
                <w:szCs w:val="20"/>
                <w:color w:val="auto"/>
              </w:rPr>
            </w:pPr>
            <w:r>
              <w:rPr>
                <w:rFonts w:ascii="Arial" w:cs="Arial" w:eastAsia="Arial" w:hAnsi="Arial"/>
                <w:sz w:val="22"/>
                <w:szCs w:val="22"/>
                <w:color w:val="010000"/>
              </w:rPr>
              <w:t>Article 3.</w:t>
            </w:r>
          </w:p>
        </w:tc>
        <w:tc>
          <w:tcPr>
            <w:tcW w:w="6220" w:type="dxa"/>
            <w:vAlign w:val="bottom"/>
          </w:tcPr>
          <w:p>
            <w:pPr>
              <w:ind w:left="100"/>
              <w:spacing w:after="0"/>
              <w:rPr>
                <w:sz w:val="20"/>
                <w:szCs w:val="20"/>
                <w:color w:val="auto"/>
              </w:rPr>
            </w:pPr>
            <w:r>
              <w:rPr>
                <w:rFonts w:ascii="Arial" w:cs="Arial" w:eastAsia="Arial" w:hAnsi="Arial"/>
                <w:sz w:val="22"/>
                <w:szCs w:val="22"/>
                <w:color w:val="auto"/>
              </w:rPr>
              <w:t>Severance Benefits</w:t>
            </w:r>
          </w:p>
        </w:tc>
        <w:tc>
          <w:tcPr>
            <w:tcW w:w="3180" w:type="dxa"/>
            <w:vAlign w:val="bottom"/>
          </w:tcPr>
          <w:p>
            <w:pPr>
              <w:ind w:left="2960"/>
              <w:spacing w:after="0"/>
              <w:rPr>
                <w:rFonts w:ascii="Arial" w:cs="Arial" w:eastAsia="Arial" w:hAnsi="Arial"/>
                <w:sz w:val="22"/>
                <w:szCs w:val="22"/>
                <w:u w:val="single" w:color="auto"/>
                <w:color w:val="auto"/>
              </w:rPr>
            </w:pPr>
            <w:hyperlink w:anchor="page213">
              <w:r>
                <w:rPr>
                  <w:rFonts w:ascii="Arial" w:cs="Arial" w:eastAsia="Arial" w:hAnsi="Arial"/>
                  <w:sz w:val="22"/>
                  <w:szCs w:val="22"/>
                  <w:u w:val="single" w:color="auto"/>
                  <w:color w:val="auto"/>
                </w:rPr>
                <w:t>7</w:t>
              </w:r>
            </w:hyperlink>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010000"/>
              </w:rPr>
              <w:t>Article 4.</w:t>
            </w:r>
          </w:p>
        </w:tc>
        <w:tc>
          <w:tcPr>
            <w:tcW w:w="6220" w:type="dxa"/>
            <w:vAlign w:val="bottom"/>
          </w:tcPr>
          <w:p>
            <w:pPr>
              <w:ind w:left="100"/>
              <w:spacing w:after="0"/>
              <w:rPr>
                <w:sz w:val="20"/>
                <w:szCs w:val="20"/>
                <w:color w:val="auto"/>
              </w:rPr>
            </w:pPr>
            <w:r>
              <w:rPr>
                <w:rFonts w:ascii="Arial" w:cs="Arial" w:eastAsia="Arial" w:hAnsi="Arial"/>
                <w:sz w:val="22"/>
                <w:szCs w:val="22"/>
                <w:color w:val="auto"/>
              </w:rPr>
              <w:t>Ineligibility</w:t>
            </w:r>
          </w:p>
        </w:tc>
        <w:tc>
          <w:tcPr>
            <w:tcW w:w="3180" w:type="dxa"/>
            <w:vAlign w:val="bottom"/>
          </w:tcPr>
          <w:p>
            <w:pPr>
              <w:ind w:left="2960"/>
              <w:spacing w:after="0"/>
              <w:rPr>
                <w:rFonts w:ascii="Arial" w:cs="Arial" w:eastAsia="Arial" w:hAnsi="Arial"/>
                <w:sz w:val="22"/>
                <w:szCs w:val="22"/>
                <w:u w:val="single" w:color="auto"/>
                <w:color w:val="auto"/>
                <w:w w:val="81"/>
              </w:rPr>
            </w:pPr>
            <w:hyperlink w:anchor="page213">
              <w:r>
                <w:rPr>
                  <w:rFonts w:ascii="Arial" w:cs="Arial" w:eastAsia="Arial" w:hAnsi="Arial"/>
                  <w:sz w:val="22"/>
                  <w:szCs w:val="22"/>
                  <w:u w:val="single" w:color="auto"/>
                  <w:color w:val="auto"/>
                  <w:w w:val="81"/>
                </w:rPr>
                <w:t>11</w:t>
              </w:r>
            </w:hyperlink>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010000"/>
              </w:rPr>
              <w:t>Article 5.</w:t>
            </w:r>
          </w:p>
        </w:tc>
        <w:tc>
          <w:tcPr>
            <w:tcW w:w="6220" w:type="dxa"/>
            <w:vAlign w:val="bottom"/>
          </w:tcPr>
          <w:p>
            <w:pPr>
              <w:ind w:left="100"/>
              <w:spacing w:after="0"/>
              <w:rPr>
                <w:sz w:val="20"/>
                <w:szCs w:val="20"/>
                <w:color w:val="auto"/>
              </w:rPr>
            </w:pPr>
            <w:r>
              <w:rPr>
                <w:rFonts w:ascii="Arial" w:cs="Arial" w:eastAsia="Arial" w:hAnsi="Arial"/>
                <w:sz w:val="22"/>
                <w:szCs w:val="22"/>
                <w:color w:val="auto"/>
              </w:rPr>
              <w:t>Restrictive Covenants</w:t>
            </w:r>
          </w:p>
        </w:tc>
        <w:tc>
          <w:tcPr>
            <w:tcW w:w="3180" w:type="dxa"/>
            <w:vAlign w:val="bottom"/>
          </w:tcPr>
          <w:p>
            <w:pPr>
              <w:ind w:left="2960"/>
              <w:spacing w:after="0"/>
              <w:rPr>
                <w:rFonts w:ascii="Arial" w:cs="Arial" w:eastAsia="Arial" w:hAnsi="Arial"/>
                <w:sz w:val="22"/>
                <w:szCs w:val="22"/>
                <w:u w:val="single" w:color="auto"/>
                <w:color w:val="auto"/>
                <w:w w:val="81"/>
              </w:rPr>
            </w:pPr>
            <w:hyperlink w:anchor="page213">
              <w:r>
                <w:rPr>
                  <w:rFonts w:ascii="Arial" w:cs="Arial" w:eastAsia="Arial" w:hAnsi="Arial"/>
                  <w:sz w:val="22"/>
                  <w:szCs w:val="22"/>
                  <w:u w:val="single" w:color="auto"/>
                  <w:color w:val="auto"/>
                  <w:w w:val="81"/>
                </w:rPr>
                <w:t>11</w:t>
              </w:r>
            </w:hyperlink>
          </w:p>
        </w:tc>
      </w:tr>
      <w:tr>
        <w:trPr>
          <w:trHeight w:val="310"/>
        </w:trPr>
        <w:tc>
          <w:tcPr>
            <w:tcW w:w="7160" w:type="dxa"/>
            <w:vAlign w:val="bottom"/>
            <w:gridSpan w:val="2"/>
          </w:tcPr>
          <w:p>
            <w:pPr>
              <w:spacing w:after="0"/>
              <w:rPr>
                <w:sz w:val="20"/>
                <w:szCs w:val="20"/>
                <w:color w:val="auto"/>
              </w:rPr>
            </w:pPr>
            <w:r>
              <w:rPr>
                <w:rFonts w:ascii="Arial" w:cs="Arial" w:eastAsia="Arial" w:hAnsi="Arial"/>
                <w:sz w:val="22"/>
                <w:szCs w:val="22"/>
                <w:color w:val="010000"/>
              </w:rPr>
              <w:t xml:space="preserve">Article 6.  </w:t>
            </w:r>
            <w:r>
              <w:rPr>
                <w:rFonts w:ascii="Arial" w:cs="Arial" w:eastAsia="Arial" w:hAnsi="Arial"/>
                <w:sz w:val="22"/>
                <w:szCs w:val="22"/>
                <w:color w:val="000000"/>
              </w:rPr>
              <w:t>Certain Change in Control Payments</w:t>
            </w:r>
          </w:p>
        </w:tc>
        <w:tc>
          <w:tcPr>
            <w:tcW w:w="3180" w:type="dxa"/>
            <w:vAlign w:val="bottom"/>
          </w:tcPr>
          <w:p>
            <w:pPr>
              <w:ind w:left="2960"/>
              <w:spacing w:after="0"/>
              <w:rPr>
                <w:rFonts w:ascii="Arial" w:cs="Arial" w:eastAsia="Arial" w:hAnsi="Arial"/>
                <w:sz w:val="22"/>
                <w:szCs w:val="22"/>
                <w:u w:val="single" w:color="auto"/>
                <w:color w:val="auto"/>
                <w:w w:val="81"/>
              </w:rPr>
            </w:pPr>
            <w:hyperlink w:anchor="page213">
              <w:r>
                <w:rPr>
                  <w:rFonts w:ascii="Arial" w:cs="Arial" w:eastAsia="Arial" w:hAnsi="Arial"/>
                  <w:sz w:val="22"/>
                  <w:szCs w:val="22"/>
                  <w:u w:val="single" w:color="auto"/>
                  <w:color w:val="auto"/>
                  <w:w w:val="81"/>
                </w:rPr>
                <w:t>14</w:t>
              </w:r>
            </w:hyperlink>
          </w:p>
        </w:tc>
      </w:tr>
      <w:tr>
        <w:trPr>
          <w:trHeight w:val="311"/>
        </w:trPr>
        <w:tc>
          <w:tcPr>
            <w:tcW w:w="7160" w:type="dxa"/>
            <w:vAlign w:val="bottom"/>
            <w:gridSpan w:val="2"/>
          </w:tcPr>
          <w:p>
            <w:pPr>
              <w:spacing w:after="0"/>
              <w:rPr>
                <w:sz w:val="20"/>
                <w:szCs w:val="20"/>
                <w:color w:val="auto"/>
              </w:rPr>
            </w:pPr>
            <w:r>
              <w:rPr>
                <w:rFonts w:ascii="Arial" w:cs="Arial" w:eastAsia="Arial" w:hAnsi="Arial"/>
                <w:sz w:val="22"/>
                <w:szCs w:val="22"/>
                <w:color w:val="010000"/>
              </w:rPr>
              <w:t xml:space="preserve">Article 7.  </w:t>
            </w:r>
            <w:r>
              <w:rPr>
                <w:rFonts w:ascii="Arial" w:cs="Arial" w:eastAsia="Arial" w:hAnsi="Arial"/>
                <w:sz w:val="22"/>
                <w:szCs w:val="22"/>
                <w:color w:val="000000"/>
              </w:rPr>
              <w:t>Legal Fees and Notice</w:t>
            </w:r>
          </w:p>
        </w:tc>
        <w:tc>
          <w:tcPr>
            <w:tcW w:w="3180" w:type="dxa"/>
            <w:vAlign w:val="bottom"/>
          </w:tcPr>
          <w:p>
            <w:pPr>
              <w:ind w:left="2960"/>
              <w:spacing w:after="0"/>
              <w:rPr>
                <w:rFonts w:ascii="Arial" w:cs="Arial" w:eastAsia="Arial" w:hAnsi="Arial"/>
                <w:sz w:val="22"/>
                <w:szCs w:val="22"/>
                <w:u w:val="single" w:color="auto"/>
                <w:color w:val="auto"/>
                <w:w w:val="81"/>
              </w:rPr>
            </w:pPr>
            <w:hyperlink w:anchor="page213">
              <w:r>
                <w:rPr>
                  <w:rFonts w:ascii="Arial" w:cs="Arial" w:eastAsia="Arial" w:hAnsi="Arial"/>
                  <w:sz w:val="22"/>
                  <w:szCs w:val="22"/>
                  <w:u w:val="single" w:color="auto"/>
                  <w:color w:val="auto"/>
                  <w:w w:val="81"/>
                </w:rPr>
                <w:t>15</w:t>
              </w:r>
            </w:hyperlink>
          </w:p>
        </w:tc>
      </w:tr>
      <w:tr>
        <w:trPr>
          <w:trHeight w:val="310"/>
        </w:trPr>
        <w:tc>
          <w:tcPr>
            <w:tcW w:w="7160" w:type="dxa"/>
            <w:vAlign w:val="bottom"/>
            <w:gridSpan w:val="2"/>
          </w:tcPr>
          <w:p>
            <w:pPr>
              <w:spacing w:after="0"/>
              <w:rPr>
                <w:sz w:val="20"/>
                <w:szCs w:val="20"/>
                <w:color w:val="auto"/>
              </w:rPr>
            </w:pPr>
            <w:r>
              <w:rPr>
                <w:rFonts w:ascii="Arial" w:cs="Arial" w:eastAsia="Arial" w:hAnsi="Arial"/>
                <w:sz w:val="22"/>
                <w:szCs w:val="22"/>
                <w:color w:val="010000"/>
              </w:rPr>
              <w:t xml:space="preserve">Article 8.  </w:t>
            </w:r>
            <w:r>
              <w:rPr>
                <w:rFonts w:ascii="Arial" w:cs="Arial" w:eastAsia="Arial" w:hAnsi="Arial"/>
                <w:sz w:val="22"/>
                <w:szCs w:val="22"/>
                <w:color w:val="000000"/>
              </w:rPr>
              <w:t>Successors and Assignment</w:t>
            </w:r>
          </w:p>
        </w:tc>
        <w:tc>
          <w:tcPr>
            <w:tcW w:w="3180" w:type="dxa"/>
            <w:vAlign w:val="bottom"/>
          </w:tcPr>
          <w:p>
            <w:pPr>
              <w:ind w:left="2960"/>
              <w:spacing w:after="0"/>
              <w:rPr>
                <w:rFonts w:ascii="Arial" w:cs="Arial" w:eastAsia="Arial" w:hAnsi="Arial"/>
                <w:sz w:val="22"/>
                <w:szCs w:val="22"/>
                <w:u w:val="single" w:color="auto"/>
                <w:color w:val="auto"/>
                <w:w w:val="81"/>
              </w:rPr>
            </w:pPr>
            <w:hyperlink w:anchor="page213">
              <w:r>
                <w:rPr>
                  <w:rFonts w:ascii="Arial" w:cs="Arial" w:eastAsia="Arial" w:hAnsi="Arial"/>
                  <w:sz w:val="22"/>
                  <w:szCs w:val="22"/>
                  <w:u w:val="single" w:color="auto"/>
                  <w:color w:val="auto"/>
                  <w:w w:val="81"/>
                </w:rPr>
                <w:t>15</w:t>
              </w:r>
            </w:hyperlink>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010000"/>
              </w:rPr>
              <w:t>Article 9.</w:t>
            </w:r>
          </w:p>
        </w:tc>
        <w:tc>
          <w:tcPr>
            <w:tcW w:w="6220" w:type="dxa"/>
            <w:vAlign w:val="bottom"/>
          </w:tcPr>
          <w:p>
            <w:pPr>
              <w:ind w:left="100"/>
              <w:spacing w:after="0"/>
              <w:rPr>
                <w:sz w:val="20"/>
                <w:szCs w:val="20"/>
                <w:color w:val="auto"/>
              </w:rPr>
            </w:pPr>
            <w:r>
              <w:rPr>
                <w:rFonts w:ascii="Arial" w:cs="Arial" w:eastAsia="Arial" w:hAnsi="Arial"/>
                <w:sz w:val="22"/>
                <w:szCs w:val="22"/>
                <w:color w:val="auto"/>
              </w:rPr>
              <w:t>Miscellaneous</w:t>
            </w:r>
          </w:p>
        </w:tc>
        <w:tc>
          <w:tcPr>
            <w:tcW w:w="3180" w:type="dxa"/>
            <w:vAlign w:val="bottom"/>
          </w:tcPr>
          <w:p>
            <w:pPr>
              <w:ind w:left="2960"/>
              <w:spacing w:after="0"/>
              <w:rPr>
                <w:rFonts w:ascii="Arial" w:cs="Arial" w:eastAsia="Arial" w:hAnsi="Arial"/>
                <w:sz w:val="22"/>
                <w:szCs w:val="22"/>
                <w:u w:val="single" w:color="auto"/>
                <w:color w:val="auto"/>
                <w:w w:val="81"/>
              </w:rPr>
            </w:pPr>
            <w:hyperlink w:anchor="page213">
              <w:r>
                <w:rPr>
                  <w:rFonts w:ascii="Arial" w:cs="Arial" w:eastAsia="Arial" w:hAnsi="Arial"/>
                  <w:sz w:val="22"/>
                  <w:szCs w:val="22"/>
                  <w:u w:val="single" w:color="auto"/>
                  <w:color w:val="auto"/>
                  <w:w w:val="81"/>
                </w:rPr>
                <w:t>16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320" w:top="1422" w:right="121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b w:val="1"/>
          <w:bCs w:val="1"/>
          <w:color w:val="auto"/>
        </w:rPr>
        <w:t>Clearway Energy,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Change-in-Control</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General Severance Plan</w:t>
      </w:r>
    </w:p>
    <w:p>
      <w:pPr>
        <w:spacing w:after="0" w:line="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1.</w:t>
      </w:r>
      <w:r>
        <w:rPr>
          <w:sz w:val="20"/>
          <w:szCs w:val="20"/>
          <w:color w:val="auto"/>
        </w:rPr>
        <w:tab/>
      </w:r>
      <w:r>
        <w:rPr>
          <w:rFonts w:ascii="Arial" w:cs="Arial" w:eastAsia="Arial" w:hAnsi="Arial"/>
          <w:sz w:val="19"/>
          <w:szCs w:val="19"/>
          <w:b w:val="1"/>
          <w:bCs w:val="1"/>
          <w:color w:val="auto"/>
        </w:rPr>
        <w:t>Establishment and Term of the Plan</w:t>
      </w:r>
    </w:p>
    <w:p>
      <w:pPr>
        <w:spacing w:after="0" w:line="196"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22"/>
          <w:szCs w:val="22"/>
          <w:b w:val="1"/>
          <w:bCs w:val="1"/>
          <w:color w:val="010000"/>
        </w:rPr>
      </w:pPr>
      <w:r>
        <w:rPr>
          <w:rFonts w:ascii="Arial" w:cs="Arial" w:eastAsia="Arial" w:hAnsi="Arial"/>
          <w:sz w:val="22"/>
          <w:szCs w:val="22"/>
          <w:b w:val="1"/>
          <w:bCs w:val="1"/>
          <w:color w:val="auto"/>
        </w:rPr>
        <w:t>Establishment of the Plan</w:t>
      </w:r>
    </w:p>
    <w:p>
      <w:pPr>
        <w:spacing w:after="0" w:line="226" w:lineRule="exact"/>
        <w:rPr>
          <w:sz w:val="20"/>
          <w:szCs w:val="20"/>
          <w:color w:val="auto"/>
        </w:rPr>
      </w:pPr>
    </w:p>
    <w:p>
      <w:pPr>
        <w:jc w:val="both"/>
        <w:ind w:firstLine="656"/>
        <w:spacing w:after="0" w:line="247" w:lineRule="auto"/>
        <w:tabs>
          <w:tab w:leader="none" w:pos="75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Clearway Energy, Inc. (hereinafter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originally adopted this plan known as the “Executive Change-in-Control and General Severance Plan” (the “</w:t>
      </w:r>
      <w:r>
        <w:rPr>
          <w:rFonts w:ascii="Arial" w:cs="Arial" w:eastAsia="Arial" w:hAnsi="Arial"/>
          <w:sz w:val="22"/>
          <w:szCs w:val="22"/>
          <w:u w:val="single" w:color="auto"/>
          <w:color w:val="auto"/>
        </w:rPr>
        <w:t>Plan</w:t>
      </w:r>
      <w:r>
        <w:rPr>
          <w:rFonts w:ascii="Arial" w:cs="Arial" w:eastAsia="Arial" w:hAnsi="Arial"/>
          <w:sz w:val="22"/>
          <w:szCs w:val="22"/>
          <w:color w:val="auto"/>
        </w:rPr>
        <w:t>”) effective January 1, 2017. The Plan was amended and restated by the Company as of January 1, 2018, again as of January 1, 2019 and February 18, 2020, and is hereby further amended and restated as of January 1, 2021. The Plan provides Severance Benefits to Senior Vice Presidents and Executive Vice Presidents of the Company (each an “</w:t>
      </w:r>
      <w:r>
        <w:rPr>
          <w:rFonts w:ascii="Arial" w:cs="Arial" w:eastAsia="Arial" w:hAnsi="Arial"/>
          <w:sz w:val="22"/>
          <w:szCs w:val="22"/>
          <w:u w:val="single" w:color="auto"/>
          <w:color w:val="auto"/>
        </w:rPr>
        <w:t>Executive</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Executives</w:t>
      </w:r>
      <w:r>
        <w:rPr>
          <w:rFonts w:ascii="Arial" w:cs="Arial" w:eastAsia="Arial" w:hAnsi="Arial"/>
          <w:sz w:val="22"/>
          <w:szCs w:val="22"/>
          <w:color w:val="auto"/>
        </w:rPr>
        <w:t>”) upon certain terminations of employment from the Company.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179"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22"/>
          <w:szCs w:val="22"/>
          <w:b w:val="1"/>
          <w:bCs w:val="1"/>
          <w:color w:val="010000"/>
        </w:rPr>
      </w:pPr>
      <w:r>
        <w:rPr>
          <w:rFonts w:ascii="Arial" w:cs="Arial" w:eastAsia="Arial" w:hAnsi="Arial"/>
          <w:sz w:val="22"/>
          <w:szCs w:val="22"/>
          <w:b w:val="1"/>
          <w:bCs w:val="1"/>
          <w:color w:val="auto"/>
        </w:rPr>
        <w:t>Initial Term</w:t>
      </w:r>
    </w:p>
    <w:p>
      <w:pPr>
        <w:spacing w:after="0" w:line="226" w:lineRule="exact"/>
        <w:rPr>
          <w:sz w:val="20"/>
          <w:szCs w:val="20"/>
          <w:color w:val="auto"/>
        </w:rPr>
      </w:pPr>
    </w:p>
    <w:p>
      <w:pPr>
        <w:ind w:firstLine="656"/>
        <w:spacing w:after="0" w:line="263" w:lineRule="auto"/>
        <w:tabs>
          <w:tab w:leader="none" w:pos="76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This Plan commenced on January 1, 2017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shall continue for a period of three (3) years (the “</w:t>
      </w:r>
      <w:r>
        <w:rPr>
          <w:rFonts w:ascii="Arial" w:cs="Arial" w:eastAsia="Arial" w:hAnsi="Arial"/>
          <w:sz w:val="22"/>
          <w:szCs w:val="22"/>
          <w:u w:val="single" w:color="auto"/>
          <w:color w:val="auto"/>
        </w:rPr>
        <w:t>Initial Term</w:t>
      </w:r>
      <w:r>
        <w:rPr>
          <w:rFonts w:ascii="Arial" w:cs="Arial" w:eastAsia="Arial" w:hAnsi="Arial"/>
          <w:sz w:val="22"/>
          <w:szCs w:val="22"/>
          <w:color w:val="auto"/>
        </w:rPr>
        <w:t>”).</w:t>
      </w:r>
    </w:p>
    <w:p>
      <w:pPr>
        <w:spacing w:after="0" w:line="169" w:lineRule="exact"/>
        <w:rPr>
          <w:sz w:val="20"/>
          <w:szCs w:val="20"/>
          <w:color w:val="auto"/>
        </w:rPr>
      </w:pPr>
    </w:p>
    <w:p>
      <w:pPr>
        <w:ind w:left="1080" w:hanging="424"/>
        <w:spacing w:after="0"/>
        <w:tabs>
          <w:tab w:leader="none" w:pos="1080" w:val="left"/>
        </w:tabs>
        <w:numPr>
          <w:ilvl w:val="0"/>
          <w:numId w:val="170"/>
        </w:numPr>
        <w:rPr>
          <w:rFonts w:ascii="Arial" w:cs="Arial" w:eastAsia="Arial" w:hAnsi="Arial"/>
          <w:sz w:val="22"/>
          <w:szCs w:val="22"/>
          <w:b w:val="1"/>
          <w:bCs w:val="1"/>
          <w:color w:val="010000"/>
        </w:rPr>
      </w:pPr>
      <w:r>
        <w:rPr>
          <w:rFonts w:ascii="Arial" w:cs="Arial" w:eastAsia="Arial" w:hAnsi="Arial"/>
          <w:sz w:val="22"/>
          <w:szCs w:val="22"/>
          <w:b w:val="1"/>
          <w:bCs w:val="1"/>
          <w:color w:val="auto"/>
        </w:rPr>
        <w:t>Successive Periods</w:t>
      </w:r>
    </w:p>
    <w:p>
      <w:pPr>
        <w:spacing w:after="0" w:line="226" w:lineRule="exact"/>
        <w:rPr>
          <w:sz w:val="20"/>
          <w:szCs w:val="20"/>
          <w:color w:val="auto"/>
        </w:rPr>
      </w:pPr>
    </w:p>
    <w:p>
      <w:pPr>
        <w:jc w:val="both"/>
        <w:ind w:firstLine="656"/>
        <w:spacing w:after="0" w:line="246" w:lineRule="auto"/>
        <w:tabs>
          <w:tab w:leader="none" w:pos="7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term of this Plan shall automatically be extended for one (1) additional year at the end of the Initial Term, and then again after each successive one (1) year period thereafter (each such one (1) year period following the Initial Term is referred to as a “</w:t>
      </w:r>
      <w:r>
        <w:rPr>
          <w:rFonts w:ascii="Arial" w:cs="Arial" w:eastAsia="Arial" w:hAnsi="Arial"/>
          <w:sz w:val="22"/>
          <w:szCs w:val="22"/>
          <w:u w:val="single" w:color="auto"/>
          <w:color w:val="auto"/>
        </w:rPr>
        <w:t>Successive Period</w:t>
      </w:r>
      <w:r>
        <w:rPr>
          <w:rFonts w:ascii="Arial" w:cs="Arial" w:eastAsia="Arial" w:hAnsi="Arial"/>
          <w:sz w:val="22"/>
          <w:szCs w:val="22"/>
          <w:color w:val="auto"/>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pacing w:after="0" w:line="190" w:lineRule="exact"/>
        <w:rPr>
          <w:sz w:val="20"/>
          <w:szCs w:val="20"/>
          <w:color w:val="auto"/>
        </w:rPr>
      </w:pPr>
    </w:p>
    <w:p>
      <w:pPr>
        <w:ind w:left="1080" w:hanging="424"/>
        <w:spacing w:after="0"/>
        <w:tabs>
          <w:tab w:leader="none" w:pos="1080" w:val="left"/>
        </w:tabs>
        <w:numPr>
          <w:ilvl w:val="0"/>
          <w:numId w:val="172"/>
        </w:numPr>
        <w:rPr>
          <w:rFonts w:ascii="Arial" w:cs="Arial" w:eastAsia="Arial" w:hAnsi="Arial"/>
          <w:sz w:val="22"/>
          <w:szCs w:val="22"/>
          <w:b w:val="1"/>
          <w:bCs w:val="1"/>
          <w:color w:val="010000"/>
        </w:rPr>
      </w:pPr>
      <w:r>
        <w:rPr>
          <w:rFonts w:ascii="Arial" w:cs="Arial" w:eastAsia="Arial" w:hAnsi="Arial"/>
          <w:sz w:val="22"/>
          <w:szCs w:val="22"/>
          <w:b w:val="1"/>
          <w:bCs w:val="1"/>
          <w:color w:val="auto"/>
        </w:rPr>
        <w:t>Change-in-Control Renewal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214" w:name="page215"/>
    <w:bookmarkEnd w:id="214"/>
    <w:p>
      <w:pPr>
        <w:jc w:val="both"/>
        <w:ind w:firstLine="656"/>
        <w:spacing w:after="0" w:line="294" w:lineRule="auto"/>
        <w:tabs>
          <w:tab w:leader="none" w:pos="783"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above, in the event that a Change in Control of the Company occurs during the Initial Term or any Successive Period, upon the effective date of 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herein. This Plan shall thereafter automatically terminate following such two (2) year Change-in-Control renewal period; provided that such termination shall not affect or diminish the rights of Executives who become entitled to benefits or payments under this Plan.</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2.</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Whenever used in this Plan, the following terms shall have the meanings set forth below and, when the meaning is intended, the initial letter of the word is capitalized.</w:t>
      </w:r>
    </w:p>
    <w:p>
      <w:pPr>
        <w:spacing w:after="0" w:line="169" w:lineRule="exact"/>
        <w:rPr>
          <w:sz w:val="20"/>
          <w:szCs w:val="20"/>
          <w:color w:val="auto"/>
        </w:rPr>
      </w:pPr>
    </w:p>
    <w:p>
      <w:pPr>
        <w:ind w:left="1300" w:hanging="644"/>
        <w:spacing w:after="0"/>
        <w:tabs>
          <w:tab w:leader="none" w:pos="1300"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Accountants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hanging="644"/>
        <w:spacing w:after="0" w:line="249" w:lineRule="auto"/>
        <w:tabs>
          <w:tab w:leader="none" w:pos="1300" w:val="left"/>
        </w:tabs>
        <w:numPr>
          <w:ilvl w:val="0"/>
          <w:numId w:val="174"/>
        </w:numPr>
        <w:rPr>
          <w:rFonts w:ascii="Arial" w:cs="Arial" w:eastAsia="Arial" w:hAnsi="Arial"/>
          <w:sz w:val="22"/>
          <w:szCs w:val="22"/>
          <w:color w:val="010000"/>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(i) any subsidiary corporation of the Company (or its successors), (ii) any corporation, trade or</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(including, without limitation, a partnership or limited liability company) which is directly or indirectly controlled fifty percent (50%) or more (whether by ownership of stock, assets or an equivalent ownership interest or voting interest) by the Company (or its successors), or (iii) any other entity (including its successors) which is designated as an Affiliate by the Board.</w:t>
      </w:r>
    </w:p>
    <w:p>
      <w:pPr>
        <w:spacing w:after="0" w:line="186" w:lineRule="exact"/>
        <w:rPr>
          <w:rFonts w:ascii="Arial" w:cs="Arial" w:eastAsia="Arial" w:hAnsi="Arial"/>
          <w:sz w:val="22"/>
          <w:szCs w:val="22"/>
          <w:color w:val="010000"/>
        </w:rPr>
      </w:pPr>
    </w:p>
    <w:p>
      <w:pPr>
        <w:ind w:left="1300" w:hanging="644"/>
        <w:spacing w:after="0" w:line="269" w:lineRule="auto"/>
        <w:tabs>
          <w:tab w:leader="none" w:pos="1381"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Base Salary</w:t>
      </w:r>
      <w:r>
        <w:rPr>
          <w:rFonts w:ascii="Arial" w:cs="Arial" w:eastAsia="Arial" w:hAnsi="Arial"/>
          <w:sz w:val="22"/>
          <w:szCs w:val="22"/>
          <w:color w:val="auto"/>
        </w:rPr>
        <w:t>” means the greater of the Executive’s annual rate of salary, whether or not deferred, at: (i) the Effective Date of Termination or (ii) at the date of the Change in Control.</w:t>
      </w:r>
    </w:p>
    <w:p>
      <w:pPr>
        <w:spacing w:after="0" w:line="161" w:lineRule="exact"/>
        <w:rPr>
          <w:rFonts w:ascii="Arial" w:cs="Arial" w:eastAsia="Arial" w:hAnsi="Arial"/>
          <w:sz w:val="22"/>
          <w:szCs w:val="22"/>
          <w:color w:val="010000"/>
        </w:rPr>
      </w:pPr>
    </w:p>
    <w:p>
      <w:pPr>
        <w:ind w:left="1300" w:right="20" w:hanging="644"/>
        <w:spacing w:after="0" w:line="269" w:lineRule="auto"/>
        <w:tabs>
          <w:tab w:leader="none" w:pos="1300"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xml:space="preserve">” means the persons or entities designated or deemed designated by the Executive pursuant to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herein.</w:t>
      </w:r>
    </w:p>
    <w:p>
      <w:pPr>
        <w:spacing w:after="0" w:line="161" w:lineRule="exact"/>
        <w:rPr>
          <w:rFonts w:ascii="Arial" w:cs="Arial" w:eastAsia="Arial" w:hAnsi="Arial"/>
          <w:sz w:val="22"/>
          <w:szCs w:val="22"/>
          <w:color w:val="010000"/>
        </w:rPr>
      </w:pPr>
    </w:p>
    <w:p>
      <w:pPr>
        <w:ind w:left="1300" w:hanging="644"/>
        <w:spacing w:after="0"/>
        <w:tabs>
          <w:tab w:leader="none" w:pos="1300"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010000"/>
        </w:rPr>
      </w:pPr>
    </w:p>
    <w:p>
      <w:pPr>
        <w:jc w:val="both"/>
        <w:ind w:left="1300" w:hanging="644"/>
        <w:spacing w:after="0" w:line="267" w:lineRule="auto"/>
        <w:tabs>
          <w:tab w:leader="none" w:pos="1300" w:val="left"/>
        </w:tabs>
        <w:numPr>
          <w:ilvl w:val="0"/>
          <w:numId w:val="17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as to any Executive (i) “Cause”, as defined in any employment, consulting or similar agreement between the Executive and the Company or an Affiliate in effect at the time of the Executive’s separation, or (ii) in the absence of any such employment, consulting or similar agreement (or the absence of any definition of “Cause” contained therein), the occurrence of any of the following:</w:t>
      </w:r>
    </w:p>
    <w:p>
      <w:pPr>
        <w:spacing w:after="0" w:line="173" w:lineRule="exact"/>
        <w:rPr>
          <w:rFonts w:ascii="Arial" w:cs="Arial" w:eastAsia="Arial" w:hAnsi="Arial"/>
          <w:sz w:val="21"/>
          <w:szCs w:val="21"/>
          <w:color w:val="010000"/>
        </w:rPr>
      </w:pPr>
    </w:p>
    <w:p>
      <w:pPr>
        <w:jc w:val="both"/>
        <w:ind w:left="1960" w:hanging="770"/>
        <w:spacing w:after="0" w:line="253" w:lineRule="auto"/>
        <w:tabs>
          <w:tab w:leader="none" w:pos="1960" w:val="left"/>
        </w:tabs>
        <w:numPr>
          <w:ilvl w:val="1"/>
          <w:numId w:val="174"/>
        </w:numPr>
        <w:rPr>
          <w:rFonts w:ascii="Arial" w:cs="Arial" w:eastAsia="Arial" w:hAnsi="Arial"/>
          <w:sz w:val="22"/>
          <w:szCs w:val="22"/>
          <w:color w:val="010000"/>
        </w:rPr>
      </w:pPr>
      <w:r>
        <w:rPr>
          <w:rFonts w:ascii="Arial" w:cs="Arial" w:eastAsia="Arial" w:hAnsi="Arial"/>
          <w:sz w:val="22"/>
          <w:szCs w:val="22"/>
          <w:color w:val="auto"/>
        </w:rPr>
        <w:t>the Executive’s willful misconduct or gross negligence in the performance of the Executive’s duties to the Company or an Affiliate that has or could reasonably be expected to have an adverse effect on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15" w:name="page216"/>
    <w:bookmarkEnd w:id="215"/>
    <w:p>
      <w:pPr>
        <w:ind w:left="1304" w:hanging="830"/>
        <w:spacing w:after="0" w:line="263" w:lineRule="auto"/>
        <w:tabs>
          <w:tab w:leader="none" w:pos="1304" w:val="left"/>
        </w:tabs>
        <w:numPr>
          <w:ilvl w:val="2"/>
          <w:numId w:val="175"/>
        </w:numPr>
        <w:rPr>
          <w:rFonts w:ascii="Arial" w:cs="Arial" w:eastAsia="Arial" w:hAnsi="Arial"/>
          <w:sz w:val="22"/>
          <w:szCs w:val="22"/>
          <w:color w:val="010000"/>
        </w:rPr>
      </w:pPr>
      <w:r>
        <w:rPr>
          <w:rFonts w:ascii="Arial" w:cs="Arial" w:eastAsia="Arial" w:hAnsi="Arial"/>
          <w:sz w:val="22"/>
          <w:szCs w:val="22"/>
          <w:color w:val="auto"/>
        </w:rPr>
        <w:t>the Executive’s willful failure to perform the Executive’s duties to the Company or an Affiliate (other than as a result of death or a physical or mental incapacity);</w:t>
      </w:r>
    </w:p>
    <w:p>
      <w:pPr>
        <w:spacing w:after="0" w:line="174" w:lineRule="exact"/>
        <w:rPr>
          <w:rFonts w:ascii="Arial" w:cs="Arial" w:eastAsia="Arial" w:hAnsi="Arial"/>
          <w:sz w:val="22"/>
          <w:szCs w:val="22"/>
          <w:color w:val="010000"/>
        </w:rPr>
      </w:pPr>
    </w:p>
    <w:p>
      <w:pPr>
        <w:ind w:left="1304" w:hanging="890"/>
        <w:spacing w:after="0" w:line="263" w:lineRule="auto"/>
        <w:tabs>
          <w:tab w:leader="none" w:pos="1304" w:val="left"/>
        </w:tabs>
        <w:numPr>
          <w:ilvl w:val="2"/>
          <w:numId w:val="175"/>
        </w:numPr>
        <w:rPr>
          <w:rFonts w:ascii="Arial" w:cs="Arial" w:eastAsia="Arial" w:hAnsi="Arial"/>
          <w:sz w:val="22"/>
          <w:szCs w:val="22"/>
          <w:color w:val="010000"/>
        </w:rPr>
      </w:pPr>
      <w:r>
        <w:rPr>
          <w:rFonts w:ascii="Arial" w:cs="Arial" w:eastAsia="Arial" w:hAnsi="Arial"/>
          <w:sz w:val="22"/>
          <w:szCs w:val="22"/>
          <w:color w:val="auto"/>
        </w:rPr>
        <w:t>indictment for, conviction of, or pleading of guilty or nolo contendere to, a felony or any crime involving moral turpitude;</w:t>
      </w:r>
    </w:p>
    <w:p>
      <w:pPr>
        <w:spacing w:after="0" w:line="174" w:lineRule="exact"/>
        <w:rPr>
          <w:rFonts w:ascii="Arial" w:cs="Arial" w:eastAsia="Arial" w:hAnsi="Arial"/>
          <w:sz w:val="22"/>
          <w:szCs w:val="22"/>
          <w:color w:val="010000"/>
        </w:rPr>
      </w:pPr>
    </w:p>
    <w:p>
      <w:pPr>
        <w:ind w:left="1304" w:hanging="878"/>
        <w:spacing w:after="0" w:line="263" w:lineRule="auto"/>
        <w:tabs>
          <w:tab w:leader="none" w:pos="1290" w:val="left"/>
        </w:tabs>
        <w:numPr>
          <w:ilvl w:val="1"/>
          <w:numId w:val="176"/>
        </w:numPr>
        <w:rPr>
          <w:rFonts w:ascii="Arial" w:cs="Arial" w:eastAsia="Arial" w:hAnsi="Arial"/>
          <w:sz w:val="22"/>
          <w:szCs w:val="22"/>
          <w:color w:val="010000"/>
        </w:rPr>
      </w:pPr>
      <w:r>
        <w:rPr>
          <w:rFonts w:ascii="Arial" w:cs="Arial" w:eastAsia="Arial" w:hAnsi="Arial"/>
          <w:sz w:val="22"/>
          <w:szCs w:val="22"/>
          <w:color w:val="auto"/>
        </w:rPr>
        <w:t>the Executive’s performance of any material act of theft, fraud, malfeasance or dishonesty in connection with the performance of the Executive’s duties to the Company or an Affiliate;</w:t>
      </w:r>
    </w:p>
    <w:p>
      <w:pPr>
        <w:spacing w:after="0" w:line="174" w:lineRule="exact"/>
        <w:rPr>
          <w:rFonts w:ascii="Arial" w:cs="Arial" w:eastAsia="Arial" w:hAnsi="Arial"/>
          <w:sz w:val="22"/>
          <w:szCs w:val="22"/>
          <w:color w:val="010000"/>
        </w:rPr>
      </w:pPr>
    </w:p>
    <w:p>
      <w:pPr>
        <w:ind w:left="1304" w:hanging="818"/>
        <w:spacing w:after="0" w:line="263" w:lineRule="auto"/>
        <w:tabs>
          <w:tab w:leader="none" w:pos="1290" w:val="left"/>
        </w:tabs>
        <w:numPr>
          <w:ilvl w:val="1"/>
          <w:numId w:val="176"/>
        </w:numPr>
        <w:rPr>
          <w:rFonts w:ascii="Arial" w:cs="Arial" w:eastAsia="Arial" w:hAnsi="Arial"/>
          <w:sz w:val="22"/>
          <w:szCs w:val="22"/>
          <w:color w:val="010000"/>
        </w:rPr>
      </w:pPr>
      <w:r>
        <w:rPr>
          <w:rFonts w:ascii="Arial" w:cs="Arial" w:eastAsia="Arial" w:hAnsi="Arial"/>
          <w:sz w:val="22"/>
          <w:szCs w:val="22"/>
          <w:color w:val="auto"/>
        </w:rPr>
        <w:t>breach of any written agreement between the Executive and the Company or an Affiliate, or a violation of the Company’s code of conduct or other written policy; or</w:t>
      </w:r>
    </w:p>
    <w:p>
      <w:pPr>
        <w:spacing w:after="0" w:line="174" w:lineRule="exact"/>
        <w:rPr>
          <w:rFonts w:ascii="Arial" w:cs="Arial" w:eastAsia="Arial" w:hAnsi="Arial"/>
          <w:sz w:val="22"/>
          <w:szCs w:val="22"/>
          <w:color w:val="010000"/>
        </w:rPr>
      </w:pPr>
    </w:p>
    <w:p>
      <w:pPr>
        <w:ind w:left="1304" w:hanging="878"/>
        <w:spacing w:after="0"/>
        <w:tabs>
          <w:tab w:leader="none" w:pos="1304" w:val="left"/>
        </w:tabs>
        <w:numPr>
          <w:ilvl w:val="2"/>
          <w:numId w:val="176"/>
        </w:numPr>
        <w:rPr>
          <w:rFonts w:ascii="Arial" w:cs="Arial" w:eastAsia="Arial" w:hAnsi="Arial"/>
          <w:sz w:val="22"/>
          <w:szCs w:val="22"/>
          <w:color w:val="010000"/>
        </w:rPr>
      </w:pPr>
      <w:r>
        <w:rPr>
          <w:rFonts w:ascii="Arial" w:cs="Arial" w:eastAsia="Arial" w:hAnsi="Arial"/>
          <w:sz w:val="22"/>
          <w:szCs w:val="22"/>
          <w:color w:val="auto"/>
        </w:rPr>
        <w:t xml:space="preserve">any other material breach of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of this Plan.</w:t>
      </w:r>
    </w:p>
    <w:p>
      <w:pPr>
        <w:spacing w:after="0" w:line="219" w:lineRule="exact"/>
        <w:rPr>
          <w:rFonts w:ascii="Arial" w:cs="Arial" w:eastAsia="Arial" w:hAnsi="Arial"/>
          <w:sz w:val="22"/>
          <w:szCs w:val="22"/>
          <w:color w:val="010000"/>
        </w:rPr>
      </w:pPr>
    </w:p>
    <w:p>
      <w:pPr>
        <w:jc w:val="both"/>
        <w:ind w:left="1304"/>
        <w:spacing w:after="0" w:line="261" w:lineRule="auto"/>
        <w:rPr>
          <w:rFonts w:ascii="Arial" w:cs="Arial" w:eastAsia="Arial" w:hAnsi="Arial"/>
          <w:sz w:val="22"/>
          <w:szCs w:val="22"/>
          <w:color w:val="010000"/>
        </w:rPr>
      </w:pPr>
      <w:r>
        <w:rPr>
          <w:rFonts w:ascii="Arial" w:cs="Arial" w:eastAsia="Arial" w:hAnsi="Arial"/>
          <w:sz w:val="21"/>
          <w:szCs w:val="21"/>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 days to fully cure and remedy the neglect or conduct that is the basis of such claim, provided that the Executive’s right to cure shall not apply if there are egregious, habitual or repeated breaches by the Executive.</w:t>
      </w:r>
    </w:p>
    <w:p>
      <w:pPr>
        <w:spacing w:after="0" w:line="173" w:lineRule="exact"/>
        <w:rPr>
          <w:rFonts w:ascii="Arial" w:cs="Arial" w:eastAsia="Arial" w:hAnsi="Arial"/>
          <w:sz w:val="22"/>
          <w:szCs w:val="22"/>
          <w:color w:val="010000"/>
        </w:rPr>
      </w:pPr>
    </w:p>
    <w:p>
      <w:pPr>
        <w:ind w:left="644" w:hanging="644"/>
        <w:spacing w:after="0"/>
        <w:tabs>
          <w:tab w:leader="none" w:pos="644"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Change-in-Control Severance Benefits</w:t>
      </w:r>
      <w:r>
        <w:rPr>
          <w:rFonts w:ascii="Arial" w:cs="Arial" w:eastAsia="Arial" w:hAnsi="Arial"/>
          <w:sz w:val="22"/>
          <w:szCs w:val="22"/>
          <w:color w:val="auto"/>
        </w:rPr>
        <w:t xml:space="preserve">” means the Severance Benefit described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 the first to occur of any of the following events:</w:t>
      </w:r>
    </w:p>
    <w:p>
      <w:pPr>
        <w:spacing w:after="0" w:line="225" w:lineRule="exact"/>
        <w:rPr>
          <w:rFonts w:ascii="Arial" w:cs="Arial" w:eastAsia="Arial" w:hAnsi="Arial"/>
          <w:sz w:val="22"/>
          <w:szCs w:val="22"/>
          <w:color w:val="010000"/>
        </w:rPr>
      </w:pPr>
    </w:p>
    <w:p>
      <w:pPr>
        <w:jc w:val="both"/>
        <w:ind w:left="1304" w:hanging="938"/>
        <w:spacing w:after="0" w:line="259" w:lineRule="auto"/>
        <w:tabs>
          <w:tab w:leader="none" w:pos="1304" w:val="left"/>
        </w:tabs>
        <w:numPr>
          <w:ilvl w:val="2"/>
          <w:numId w:val="177"/>
        </w:numPr>
        <w:rPr>
          <w:rFonts w:ascii="Arial" w:cs="Arial" w:eastAsia="Arial" w:hAnsi="Arial"/>
          <w:sz w:val="21"/>
          <w:szCs w:val="21"/>
          <w:color w:val="010000"/>
        </w:rPr>
      </w:pPr>
      <w:r>
        <w:rPr>
          <w:rFonts w:ascii="Arial" w:cs="Arial" w:eastAsia="Arial" w:hAnsi="Arial"/>
          <w:sz w:val="21"/>
          <w:szCs w:val="21"/>
          <w:color w:val="auto"/>
        </w:rPr>
        <w:t>Any “person” (as that term is used in Sections 13 and 14(d)(2) of the Securities Exchange Act of 1934 (“</w:t>
      </w:r>
      <w:r>
        <w:rPr>
          <w:rFonts w:ascii="Arial" w:cs="Arial" w:eastAsia="Arial" w:hAnsi="Arial"/>
          <w:sz w:val="21"/>
          <w:szCs w:val="21"/>
          <w:u w:val="single" w:color="auto"/>
          <w:color w:val="auto"/>
        </w:rPr>
        <w:t>Exchange Act</w:t>
      </w:r>
      <w:r>
        <w:rPr>
          <w:rFonts w:ascii="Arial" w:cs="Arial" w:eastAsia="Arial" w:hAnsi="Arial"/>
          <w:sz w:val="21"/>
          <w:szCs w:val="21"/>
          <w:color w:val="auto"/>
        </w:rPr>
        <w:t>”)) other than Clearway Energy Group LLC or one of its subsidiaries or affiliates (A) becomes the “beneficial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79" w:lineRule="exact"/>
        <w:rPr>
          <w:rFonts w:ascii="Arial" w:cs="Arial" w:eastAsia="Arial" w:hAnsi="Arial"/>
          <w:sz w:val="21"/>
          <w:szCs w:val="21"/>
          <w:color w:val="010000"/>
        </w:rPr>
      </w:pPr>
    </w:p>
    <w:p>
      <w:pPr>
        <w:ind w:left="1304" w:hanging="998"/>
        <w:spacing w:after="0" w:line="343" w:lineRule="auto"/>
        <w:tabs>
          <w:tab w:leader="none" w:pos="1304" w:val="left"/>
        </w:tabs>
        <w:numPr>
          <w:ilvl w:val="2"/>
          <w:numId w:val="177"/>
        </w:numPr>
        <w:rPr>
          <w:rFonts w:ascii="Arial" w:cs="Arial" w:eastAsia="Arial" w:hAnsi="Arial"/>
          <w:sz w:val="19"/>
          <w:szCs w:val="19"/>
          <w:color w:val="010000"/>
        </w:rPr>
      </w:pPr>
      <w:r>
        <w:rPr>
          <w:rFonts w:ascii="Arial" w:cs="Arial" w:eastAsia="Arial" w:hAnsi="Arial"/>
          <w:sz w:val="19"/>
          <w:szCs w:val="19"/>
          <w:color w:val="auto"/>
        </w:rPr>
        <w:t>Persons who on the Effective Date constitute the Board (the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cease for any reason, including without limitation, as a result of a tender offer, proxy contest, merger, or similar transaction, to</w:t>
      </w:r>
    </w:p>
    <w:p>
      <w:pPr>
        <w:spacing w:after="0" w:line="200" w:lineRule="exact"/>
        <w:rPr>
          <w:sz w:val="20"/>
          <w:szCs w:val="20"/>
          <w:color w:val="auto"/>
        </w:rPr>
      </w:pPr>
    </w:p>
    <w:p>
      <w:pPr>
        <w:spacing w:after="0" w:line="350"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216" w:name="page217"/>
    <w:bookmarkEnd w:id="216"/>
    <w:p>
      <w:pPr>
        <w:jc w:val="both"/>
        <w:ind w:left="1304"/>
        <w:spacing w:after="0" w:line="290" w:lineRule="auto"/>
        <w:rPr>
          <w:sz w:val="20"/>
          <w:szCs w:val="20"/>
          <w:color w:val="auto"/>
        </w:rPr>
      </w:pPr>
      <w:r>
        <w:rPr>
          <w:rFonts w:ascii="Arial" w:cs="Arial" w:eastAsia="Arial" w:hAnsi="Arial"/>
          <w:sz w:val="19"/>
          <w:szCs w:val="19"/>
          <w:color w:val="auto"/>
        </w:rPr>
        <w:t>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56" w:lineRule="exact"/>
        <w:rPr>
          <w:sz w:val="20"/>
          <w:szCs w:val="20"/>
          <w:color w:val="auto"/>
        </w:rPr>
      </w:pPr>
    </w:p>
    <w:p>
      <w:pPr>
        <w:jc w:val="both"/>
        <w:ind w:left="1304" w:hanging="878"/>
        <w:spacing w:after="0" w:line="288" w:lineRule="auto"/>
        <w:tabs>
          <w:tab w:leader="none" w:pos="1304" w:val="left"/>
        </w:tabs>
        <w:numPr>
          <w:ilvl w:val="1"/>
          <w:numId w:val="178"/>
        </w:numPr>
        <w:rPr>
          <w:rFonts w:ascii="Arial" w:cs="Arial" w:eastAsia="Arial" w:hAnsi="Arial"/>
          <w:sz w:val="19"/>
          <w:szCs w:val="19"/>
          <w:color w:val="010000"/>
        </w:rPr>
      </w:pPr>
      <w:r>
        <w:rPr>
          <w:rFonts w:ascii="Arial" w:cs="Arial" w:eastAsia="Arial" w:hAnsi="Arial"/>
          <w:sz w:val="19"/>
          <w:szCs w:val="19"/>
          <w:color w:val="auto"/>
        </w:rPr>
        <w:t>Consummation of a reorganization, merger, consolidation, or sale or other disposition of all or substantially all of the assets of the Company (a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59" w:lineRule="exact"/>
        <w:rPr>
          <w:rFonts w:ascii="Arial" w:cs="Arial" w:eastAsia="Arial" w:hAnsi="Arial"/>
          <w:sz w:val="19"/>
          <w:szCs w:val="19"/>
          <w:color w:val="010000"/>
        </w:rPr>
      </w:pPr>
    </w:p>
    <w:p>
      <w:pPr>
        <w:ind w:left="1304" w:hanging="818"/>
        <w:spacing w:after="0" w:line="263" w:lineRule="auto"/>
        <w:tabs>
          <w:tab w:leader="none" w:pos="1304" w:val="left"/>
        </w:tabs>
        <w:numPr>
          <w:ilvl w:val="1"/>
          <w:numId w:val="178"/>
        </w:numPr>
        <w:rPr>
          <w:rFonts w:ascii="Arial" w:cs="Arial" w:eastAsia="Arial" w:hAnsi="Arial"/>
          <w:sz w:val="22"/>
          <w:szCs w:val="22"/>
          <w:color w:val="010000"/>
        </w:rPr>
      </w:pPr>
      <w:r>
        <w:rPr>
          <w:rFonts w:ascii="Arial" w:cs="Arial" w:eastAsia="Arial" w:hAnsi="Arial"/>
          <w:sz w:val="22"/>
          <w:szCs w:val="22"/>
          <w:color w:val="auto"/>
        </w:rPr>
        <w:t>The stockholders of the Company approve any plan or proposal for the liquidation or dissolution of the Company.</w:t>
      </w:r>
    </w:p>
    <w:p>
      <w:pPr>
        <w:spacing w:after="0" w:line="168" w:lineRule="exact"/>
        <w:rPr>
          <w:rFonts w:ascii="Arial" w:cs="Arial" w:eastAsia="Arial" w:hAnsi="Arial"/>
          <w:sz w:val="22"/>
          <w:szCs w:val="22"/>
          <w:color w:val="010000"/>
        </w:rPr>
      </w:pPr>
    </w:p>
    <w:p>
      <w:pPr>
        <w:ind w:left="644" w:right="20" w:hanging="644"/>
        <w:spacing w:after="0" w:line="269" w:lineRule="auto"/>
        <w:tabs>
          <w:tab w:leader="none" w:pos="644" w:val="left"/>
        </w:tabs>
        <w:numPr>
          <w:ilvl w:val="0"/>
          <w:numId w:val="17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and the treasury regulations and other official guidance promulgated thereunder.</w:t>
      </w:r>
    </w:p>
    <w:p>
      <w:pPr>
        <w:spacing w:after="0" w:line="161" w:lineRule="exact"/>
        <w:rPr>
          <w:rFonts w:ascii="Arial" w:cs="Arial" w:eastAsia="Arial" w:hAnsi="Arial"/>
          <w:sz w:val="22"/>
          <w:szCs w:val="22"/>
          <w:color w:val="010000"/>
        </w:rPr>
      </w:pPr>
    </w:p>
    <w:p>
      <w:pPr>
        <w:ind w:left="644" w:right="20" w:hanging="644"/>
        <w:spacing w:after="0" w:line="269" w:lineRule="auto"/>
        <w:tabs>
          <w:tab w:leader="none" w:pos="644" w:val="left"/>
        </w:tabs>
        <w:numPr>
          <w:ilvl w:val="0"/>
          <w:numId w:val="17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Compensation Committee of the Board or any other committee appointed by the Board to perform the functions of the Compensation Committee.</w:t>
      </w:r>
    </w:p>
    <w:p>
      <w:pPr>
        <w:spacing w:after="0" w:line="161" w:lineRule="exact"/>
        <w:rPr>
          <w:rFonts w:ascii="Arial" w:cs="Arial" w:eastAsia="Arial" w:hAnsi="Arial"/>
          <w:sz w:val="22"/>
          <w:szCs w:val="22"/>
          <w:color w:val="010000"/>
        </w:rPr>
      </w:pPr>
    </w:p>
    <w:p>
      <w:pPr>
        <w:ind w:left="644" w:right="20" w:hanging="644"/>
        <w:spacing w:after="0" w:line="269" w:lineRule="auto"/>
        <w:tabs>
          <w:tab w:leader="none" w:pos="636" w:val="left"/>
        </w:tabs>
        <w:numPr>
          <w:ilvl w:val="0"/>
          <w:numId w:val="17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xml:space="preserve">” means Clearway Energy, Inc., a Delaware corporation, or any successor thereto as provided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8</w:t>
      </w:r>
      <w:r>
        <w:rPr>
          <w:rFonts w:ascii="Arial" w:cs="Arial" w:eastAsia="Arial" w:hAnsi="Arial"/>
          <w:sz w:val="22"/>
          <w:szCs w:val="22"/>
          <w:color w:val="auto"/>
        </w:rPr>
        <w:t xml:space="preserve"> herein.</w:t>
      </w:r>
    </w:p>
    <w:p>
      <w:pPr>
        <w:spacing w:after="0" w:line="161" w:lineRule="exact"/>
        <w:rPr>
          <w:rFonts w:ascii="Arial" w:cs="Arial" w:eastAsia="Arial" w:hAnsi="Arial"/>
          <w:sz w:val="22"/>
          <w:szCs w:val="22"/>
          <w:color w:val="010000"/>
        </w:rPr>
      </w:pPr>
    </w:p>
    <w:p>
      <w:pPr>
        <w:ind w:left="644" w:hanging="644"/>
        <w:spacing w:after="0"/>
        <w:tabs>
          <w:tab w:leader="none" w:pos="644" w:val="left"/>
        </w:tabs>
        <w:numPr>
          <w:ilvl w:val="0"/>
          <w:numId w:val="17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5(a)</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7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Delay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3.4(b)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28" w:right="339" w:bottom="1440" w:gutter="0" w:footer="0" w:header="0"/>
        </w:sectPr>
      </w:pPr>
    </w:p>
    <w:bookmarkStart w:id="217" w:name="page218"/>
    <w:bookmarkEnd w:id="217"/>
    <w:p>
      <w:pPr>
        <w:ind w:left="644" w:hanging="644"/>
        <w:spacing w:after="0" w:line="269" w:lineRule="auto"/>
        <w:tabs>
          <w:tab w:leader="none" w:pos="644"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shall mean a disability that would entitle Executive to payment of monthly disability payments under any Company long-term disability plan.</w:t>
      </w:r>
    </w:p>
    <w:p>
      <w:pPr>
        <w:spacing w:after="0" w:line="161" w:lineRule="exact"/>
        <w:rPr>
          <w:rFonts w:ascii="Arial" w:cs="Arial" w:eastAsia="Arial" w:hAnsi="Arial"/>
          <w:sz w:val="22"/>
          <w:szCs w:val="22"/>
          <w:color w:val="010000"/>
        </w:rPr>
      </w:pPr>
    </w:p>
    <w:p>
      <w:pPr>
        <w:ind w:left="644" w:hanging="644"/>
        <w:spacing w:after="0"/>
        <w:tabs>
          <w:tab w:leader="none" w:pos="644"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means the commencement date of this Plan as specified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this Plan.</w:t>
      </w:r>
    </w:p>
    <w:p>
      <w:pPr>
        <w:spacing w:after="0" w:line="219" w:lineRule="exact"/>
        <w:rPr>
          <w:rFonts w:ascii="Arial" w:cs="Arial" w:eastAsia="Arial" w:hAnsi="Arial"/>
          <w:sz w:val="22"/>
          <w:szCs w:val="22"/>
          <w:color w:val="010000"/>
        </w:rPr>
      </w:pPr>
    </w:p>
    <w:p>
      <w:pPr>
        <w:ind w:left="644" w:hanging="644"/>
        <w:spacing w:after="0" w:line="269" w:lineRule="auto"/>
        <w:tabs>
          <w:tab w:leader="none" w:pos="644"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Effective Date of Termination</w:t>
      </w:r>
      <w:r>
        <w:rPr>
          <w:rFonts w:ascii="Arial" w:cs="Arial" w:eastAsia="Arial" w:hAnsi="Arial"/>
          <w:sz w:val="22"/>
          <w:szCs w:val="22"/>
          <w:color w:val="auto"/>
        </w:rPr>
        <w:t>” means the date on which a Qualifying Termination occurs, as defined hereunder, which triggers the payment of Severance Benefits hereunder.</w:t>
      </w:r>
    </w:p>
    <w:p>
      <w:pPr>
        <w:spacing w:after="0" w:line="161" w:lineRule="exact"/>
        <w:rPr>
          <w:rFonts w:ascii="Arial" w:cs="Arial" w:eastAsia="Arial" w:hAnsi="Arial"/>
          <w:sz w:val="22"/>
          <w:szCs w:val="22"/>
          <w:color w:val="010000"/>
        </w:rPr>
      </w:pPr>
    </w:p>
    <w:p>
      <w:pPr>
        <w:ind w:left="644" w:hanging="644"/>
        <w:spacing w:after="0"/>
        <w:tabs>
          <w:tab w:leader="none" w:pos="644"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Executive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44" w:hanging="644"/>
        <w:spacing w:after="0" w:line="315" w:lineRule="auto"/>
        <w:tabs>
          <w:tab w:leader="none" w:pos="644" w:val="left"/>
        </w:tabs>
        <w:numPr>
          <w:ilvl w:val="0"/>
          <w:numId w:val="180"/>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Executive Vice President</w:t>
      </w:r>
      <w:r>
        <w:rPr>
          <w:rFonts w:ascii="Arial" w:cs="Arial" w:eastAsia="Arial" w:hAnsi="Arial"/>
          <w:sz w:val="19"/>
          <w:szCs w:val="19"/>
          <w:color w:val="auto"/>
        </w:rPr>
        <w:t>” shall include those employees of the Company with the Job Level of EVP immediately prior to the Change in Control, or such other employee who is designated as an EVP in the Company’s human resources information system immediately prior to the Change in Control other than the CEO.</w:t>
      </w:r>
    </w:p>
    <w:p>
      <w:pPr>
        <w:spacing w:after="0" w:line="125" w:lineRule="exact"/>
        <w:rPr>
          <w:rFonts w:ascii="Arial" w:cs="Arial" w:eastAsia="Arial" w:hAnsi="Arial"/>
          <w:sz w:val="19"/>
          <w:szCs w:val="19"/>
          <w:color w:val="010000"/>
        </w:rPr>
      </w:pPr>
    </w:p>
    <w:p>
      <w:pPr>
        <w:ind w:left="644" w:hanging="644"/>
        <w:spacing w:after="0" w:line="269" w:lineRule="auto"/>
        <w:tabs>
          <w:tab w:leader="none" w:pos="698"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Former Parent Company</w:t>
      </w:r>
      <w:r>
        <w:rPr>
          <w:rFonts w:ascii="Arial" w:cs="Arial" w:eastAsia="Arial" w:hAnsi="Arial"/>
          <w:sz w:val="22"/>
          <w:szCs w:val="22"/>
          <w:color w:val="auto"/>
        </w:rPr>
        <w:t>” means, collectively NRG Energy, Inc., a Delaware corporation, Xcel Energy, Inc., a Minnesota corporation, and their affiliates and any successors thereto.</w:t>
      </w:r>
    </w:p>
    <w:p>
      <w:pPr>
        <w:spacing w:after="0" w:line="161" w:lineRule="exact"/>
        <w:rPr>
          <w:rFonts w:ascii="Arial" w:cs="Arial" w:eastAsia="Arial" w:hAnsi="Arial"/>
          <w:sz w:val="22"/>
          <w:szCs w:val="22"/>
          <w:color w:val="010000"/>
        </w:rPr>
      </w:pPr>
    </w:p>
    <w:p>
      <w:pPr>
        <w:ind w:left="644" w:hanging="644"/>
        <w:spacing w:after="0"/>
        <w:tabs>
          <w:tab w:leader="none" w:pos="644"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General Severance Benefits</w:t>
      </w:r>
      <w:r>
        <w:rPr>
          <w:rFonts w:ascii="Arial" w:cs="Arial" w:eastAsia="Arial" w:hAnsi="Arial"/>
          <w:sz w:val="22"/>
          <w:szCs w:val="22"/>
          <w:color w:val="auto"/>
        </w:rPr>
        <w:t xml:space="preserve">” means the Severance Benefit described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right="20" w:hanging="644"/>
        <w:spacing w:after="0" w:line="269" w:lineRule="auto"/>
        <w:tabs>
          <w:tab w:leader="none" w:pos="644"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shall mean without the Executive’s express written consent the occurrence of any one or more of the following:</w:t>
      </w:r>
    </w:p>
    <w:p>
      <w:pPr>
        <w:spacing w:after="0" w:line="167" w:lineRule="exact"/>
        <w:rPr>
          <w:rFonts w:ascii="Arial" w:cs="Arial" w:eastAsia="Arial" w:hAnsi="Arial"/>
          <w:sz w:val="22"/>
          <w:szCs w:val="22"/>
          <w:color w:val="010000"/>
        </w:rPr>
      </w:pPr>
    </w:p>
    <w:p>
      <w:pPr>
        <w:jc w:val="both"/>
        <w:ind w:left="1304" w:hanging="878"/>
        <w:spacing w:after="0" w:line="292" w:lineRule="auto"/>
        <w:tabs>
          <w:tab w:leader="none" w:pos="1304" w:val="left"/>
        </w:tabs>
        <w:numPr>
          <w:ilvl w:val="1"/>
          <w:numId w:val="180"/>
        </w:numPr>
        <w:rPr>
          <w:rFonts w:ascii="Arial" w:cs="Arial" w:eastAsia="Arial" w:hAnsi="Arial"/>
          <w:sz w:val="19"/>
          <w:szCs w:val="19"/>
          <w:color w:val="010000"/>
        </w:rPr>
      </w:pPr>
      <w:r>
        <w:rPr>
          <w:rFonts w:ascii="Arial" w:cs="Arial" w:eastAsia="Arial" w:hAnsi="Arial"/>
          <w:sz w:val="19"/>
          <w:szCs w:val="19"/>
          <w:color w:val="auto"/>
        </w:rPr>
        <w:t xml:space="preserve">The Company reduces the amount of the Executive’s then current Base Salary or target total compensation by more than fifteen percent (15%), excluding across-the-board reductions to the Executive’s then current Base Salary or annual bonus target pursuant to a compensation reduction program that applies to substantially all similarly situated executives of the Company; provided that, if any reduction of Base Salary or target total compensation occurs during the eighteen (18)-month period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2(aa)(i)</w:t>
      </w:r>
      <w:r>
        <w:rPr>
          <w:rFonts w:ascii="Arial" w:cs="Arial" w:eastAsia="Arial" w:hAnsi="Arial"/>
          <w:sz w:val="19"/>
          <w:szCs w:val="19"/>
          <w:color w:val="auto"/>
        </w:rPr>
        <w:t xml:space="preserve"> (without regard to whether the reduction applies on an across-the-board basis as described above), then such reduction shall be deemed to constitute Good Reason for purposes of the Plan; or</w:t>
      </w:r>
    </w:p>
    <w:p>
      <w:pPr>
        <w:spacing w:after="0" w:line="150" w:lineRule="exact"/>
        <w:rPr>
          <w:rFonts w:ascii="Arial" w:cs="Arial" w:eastAsia="Arial" w:hAnsi="Arial"/>
          <w:sz w:val="19"/>
          <w:szCs w:val="19"/>
          <w:color w:val="010000"/>
        </w:rPr>
      </w:pPr>
    </w:p>
    <w:p>
      <w:pPr>
        <w:jc w:val="both"/>
        <w:ind w:left="1304" w:hanging="938"/>
        <w:spacing w:after="0" w:line="250" w:lineRule="auto"/>
        <w:tabs>
          <w:tab w:leader="none" w:pos="1304" w:val="left"/>
        </w:tabs>
        <w:numPr>
          <w:ilvl w:val="1"/>
          <w:numId w:val="180"/>
        </w:numPr>
        <w:rPr>
          <w:rFonts w:ascii="Arial" w:cs="Arial" w:eastAsia="Arial" w:hAnsi="Arial"/>
          <w:sz w:val="22"/>
          <w:szCs w:val="22"/>
          <w:color w:val="010000"/>
        </w:rPr>
      </w:pPr>
      <w:r>
        <w:rPr>
          <w:rFonts w:ascii="Arial" w:cs="Arial" w:eastAsia="Arial" w:hAnsi="Arial"/>
          <w:sz w:val="22"/>
          <w:szCs w:val="22"/>
          <w:color w:val="auto"/>
        </w:rPr>
        <w:t>A material reduction in the Executive’s benefits under or relative level of participation in the Company’s employee benefit or retirement plans, policies, practices, or arrangements in which the Executive participates as of the Effective Date of this Plan, or as of the commencement of Executive’s participation in this Plan, as applicable; 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4"/>
          </w:cols>
          <w:pgMar w:left="976" w:top="1422" w:right="339" w:bottom="1440" w:gutter="0" w:footer="0" w:header="0"/>
        </w:sectPr>
      </w:pPr>
    </w:p>
    <w:bookmarkStart w:id="218" w:name="page219"/>
    <w:bookmarkEnd w:id="218"/>
    <w:p>
      <w:pPr>
        <w:ind w:left="1304" w:right="20" w:hanging="998"/>
        <w:spacing w:after="0" w:line="263" w:lineRule="auto"/>
        <w:tabs>
          <w:tab w:leader="none" w:pos="1304" w:val="left"/>
        </w:tabs>
        <w:numPr>
          <w:ilvl w:val="0"/>
          <w:numId w:val="181"/>
        </w:numPr>
        <w:rPr>
          <w:rFonts w:ascii="Arial" w:cs="Arial" w:eastAsia="Arial" w:hAnsi="Arial"/>
          <w:sz w:val="22"/>
          <w:szCs w:val="22"/>
          <w:color w:val="010000"/>
        </w:rPr>
      </w:pPr>
      <w:r>
        <w:rPr>
          <w:rFonts w:ascii="Arial" w:cs="Arial" w:eastAsia="Arial" w:hAnsi="Arial"/>
          <w:sz w:val="22"/>
          <w:szCs w:val="22"/>
          <w:color w:val="auto"/>
        </w:rPr>
        <w:t>A material diminution in the Executive’s title, authority, duties, or responsibilities or the assignment of duties to the Executive which are materially inconsistent with his position; or</w:t>
      </w:r>
    </w:p>
    <w:p>
      <w:pPr>
        <w:spacing w:after="0" w:line="175" w:lineRule="exact"/>
        <w:rPr>
          <w:sz w:val="20"/>
          <w:szCs w:val="20"/>
          <w:color w:val="auto"/>
        </w:rPr>
      </w:pPr>
    </w:p>
    <w:p>
      <w:pPr>
        <w:jc w:val="both"/>
        <w:ind w:left="1304" w:hanging="986"/>
        <w:spacing w:after="0" w:line="250" w:lineRule="auto"/>
        <w:tabs>
          <w:tab w:leader="none" w:pos="1290" w:val="left"/>
        </w:tabs>
        <w:numPr>
          <w:ilvl w:val="0"/>
          <w:numId w:val="182"/>
        </w:numPr>
        <w:rPr>
          <w:rFonts w:ascii="Arial" w:cs="Arial" w:eastAsia="Arial" w:hAnsi="Arial"/>
          <w:sz w:val="22"/>
          <w:szCs w:val="22"/>
          <w:color w:val="010000"/>
        </w:rPr>
      </w:pPr>
      <w:r>
        <w:rPr>
          <w:rFonts w:ascii="Arial" w:cs="Arial" w:eastAsia="Arial" w:hAnsi="Arial"/>
          <w:sz w:val="22"/>
          <w:szCs w:val="22"/>
          <w:color w:val="auto"/>
        </w:rPr>
        <w:t>Any relocation of the Executive’s principal place of employment to a location that is more than fifty (50) miles from the Executive’s place of employment as of the Effective Date of this Plan, or as of the commencement of Executive’s participation in this Plan, as applicable, but only if such new location is not closer to the Executive’s primary residence; or</w:t>
      </w:r>
    </w:p>
    <w:p>
      <w:pPr>
        <w:spacing w:after="0" w:line="187" w:lineRule="exact"/>
        <w:rPr>
          <w:rFonts w:ascii="Arial" w:cs="Arial" w:eastAsia="Arial" w:hAnsi="Arial"/>
          <w:sz w:val="22"/>
          <w:szCs w:val="22"/>
          <w:color w:val="010000"/>
        </w:rPr>
      </w:pPr>
    </w:p>
    <w:p>
      <w:pPr>
        <w:jc w:val="both"/>
        <w:ind w:left="1304" w:hanging="926"/>
        <w:spacing w:after="0" w:line="271" w:lineRule="auto"/>
        <w:tabs>
          <w:tab w:leader="none" w:pos="1290" w:val="left"/>
        </w:tabs>
        <w:numPr>
          <w:ilvl w:val="0"/>
          <w:numId w:val="182"/>
        </w:numPr>
        <w:rPr>
          <w:rFonts w:ascii="Arial" w:cs="Arial" w:eastAsia="Arial" w:hAnsi="Arial"/>
          <w:sz w:val="21"/>
          <w:szCs w:val="21"/>
          <w:color w:val="010000"/>
        </w:rPr>
      </w:pPr>
      <w:r>
        <w:rPr>
          <w:rFonts w:ascii="Arial" w:cs="Arial" w:eastAsia="Arial" w:hAnsi="Arial"/>
          <w:sz w:val="21"/>
          <w:szCs w:val="21"/>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67" w:lineRule="exact"/>
        <w:rPr>
          <w:sz w:val="20"/>
          <w:szCs w:val="20"/>
          <w:color w:val="auto"/>
        </w:rPr>
      </w:pPr>
    </w:p>
    <w:p>
      <w:pPr>
        <w:ind w:left="644"/>
        <w:spacing w:after="0" w:line="291" w:lineRule="auto"/>
        <w:rPr>
          <w:sz w:val="20"/>
          <w:szCs w:val="20"/>
          <w:color w:val="auto"/>
        </w:rPr>
      </w:pPr>
      <w:r>
        <w:rPr>
          <w:rFonts w:ascii="Arial" w:cs="Arial" w:eastAsia="Arial" w:hAnsi="Arial"/>
          <w:sz w:val="19"/>
          <w:szCs w:val="19"/>
          <w:color w:val="auto"/>
        </w:rPr>
        <w:t>For purposes of this Plan, the Executive is not entitled to assert that his termination is for Good Reason unless the Executive gives the Board written notice of the event or events which are the basis for such claim within ninety</w:t>
      </w:r>
    </w:p>
    <w:p>
      <w:pPr>
        <w:spacing w:after="0" w:line="1" w:lineRule="exact"/>
        <w:rPr>
          <w:sz w:val="20"/>
          <w:szCs w:val="20"/>
          <w:color w:val="auto"/>
        </w:rPr>
      </w:pPr>
    </w:p>
    <w:p>
      <w:pPr>
        <w:jc w:val="both"/>
        <w:ind w:left="644" w:firstLine="4"/>
        <w:spacing w:after="0" w:line="245" w:lineRule="auto"/>
        <w:tabs>
          <w:tab w:leader="none" w:pos="1069" w:val="left"/>
        </w:tabs>
        <w:numPr>
          <w:ilvl w:val="2"/>
          <w:numId w:val="183"/>
        </w:numPr>
        <w:rPr>
          <w:rFonts w:ascii="Arial" w:cs="Arial" w:eastAsia="Arial" w:hAnsi="Arial"/>
          <w:sz w:val="22"/>
          <w:szCs w:val="22"/>
          <w:color w:val="auto"/>
        </w:rPr>
      </w:pPr>
      <w:r>
        <w:rPr>
          <w:rFonts w:ascii="Arial" w:cs="Arial" w:eastAsia="Arial" w:hAnsi="Arial"/>
          <w:sz w:val="22"/>
          <w:szCs w:val="22"/>
          <w:color w:val="auto"/>
        </w:rPr>
        <w:t>days after the event or events occur, describing such claim in reasonably sufficient detail to allow the Board to address the event or events and a period of not less than thirty (30) days after to cure or fully remedy the alleged condition.</w:t>
      </w:r>
    </w:p>
    <w:p>
      <w:pPr>
        <w:spacing w:after="0" w:line="186" w:lineRule="exact"/>
        <w:rPr>
          <w:rFonts w:ascii="Arial" w:cs="Arial" w:eastAsia="Arial" w:hAnsi="Arial"/>
          <w:sz w:val="22"/>
          <w:szCs w:val="22"/>
          <w:color w:val="auto"/>
        </w:rPr>
      </w:pPr>
    </w:p>
    <w:p>
      <w:pPr>
        <w:ind w:left="644" w:hanging="644"/>
        <w:spacing w:after="0"/>
        <w:tabs>
          <w:tab w:leader="none" w:pos="644" w:val="left"/>
        </w:tabs>
        <w:numPr>
          <w:ilvl w:val="0"/>
          <w:numId w:val="18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Initial Term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8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Noncompete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5(c)</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44" w:hanging="644"/>
        <w:spacing w:after="0" w:line="274" w:lineRule="auto"/>
        <w:tabs>
          <w:tab w:leader="none" w:pos="644" w:val="left"/>
        </w:tabs>
        <w:numPr>
          <w:ilvl w:val="0"/>
          <w:numId w:val="18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Notice of Termination</w:t>
      </w:r>
      <w:r>
        <w:rPr>
          <w:rFonts w:ascii="Arial" w:cs="Arial" w:eastAsia="Arial" w:hAnsi="Arial"/>
          <w:sz w:val="21"/>
          <w:szCs w:val="21"/>
          <w:color w:val="auto"/>
        </w:rPr>
        <w:t>” shall mean a written notice which shall indicate the specific termination provision in this Plan relied upon, and shall set forth in reasonable detail the facts and circumstances claimed to provide a basis for termination of the Executive’s employment under the provision so indicated.</w:t>
      </w:r>
    </w:p>
    <w:p>
      <w:pPr>
        <w:spacing w:after="0" w:line="158" w:lineRule="exact"/>
        <w:rPr>
          <w:rFonts w:ascii="Arial" w:cs="Arial" w:eastAsia="Arial" w:hAnsi="Arial"/>
          <w:sz w:val="21"/>
          <w:szCs w:val="21"/>
          <w:color w:val="010000"/>
        </w:rPr>
      </w:pPr>
    </w:p>
    <w:p>
      <w:pPr>
        <w:ind w:left="644" w:hanging="644"/>
        <w:spacing w:after="0"/>
        <w:tabs>
          <w:tab w:leader="none" w:pos="644" w:val="left"/>
        </w:tabs>
        <w:numPr>
          <w:ilvl w:val="0"/>
          <w:numId w:val="18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Parachute Payment Ratio</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8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8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w:t>
      </w:r>
    </w:p>
    <w:p>
      <w:pPr>
        <w:spacing w:after="0" w:line="225" w:lineRule="exact"/>
        <w:rPr>
          <w:rFonts w:ascii="Arial" w:cs="Arial" w:eastAsia="Arial" w:hAnsi="Arial"/>
          <w:sz w:val="22"/>
          <w:szCs w:val="22"/>
          <w:color w:val="010000"/>
        </w:rPr>
      </w:pPr>
    </w:p>
    <w:p>
      <w:pPr>
        <w:ind w:left="1304" w:hanging="986"/>
        <w:spacing w:after="0" w:line="263" w:lineRule="auto"/>
        <w:tabs>
          <w:tab w:leader="none" w:pos="1304" w:val="left"/>
        </w:tabs>
        <w:numPr>
          <w:ilvl w:val="1"/>
          <w:numId w:val="184"/>
        </w:numPr>
        <w:rPr>
          <w:rFonts w:ascii="Arial" w:cs="Arial" w:eastAsia="Arial" w:hAnsi="Arial"/>
          <w:sz w:val="22"/>
          <w:szCs w:val="22"/>
          <w:color w:val="010000"/>
        </w:rPr>
      </w:pPr>
      <w:r>
        <w:rPr>
          <w:rFonts w:ascii="Arial" w:cs="Arial" w:eastAsia="Arial" w:hAnsi="Arial"/>
          <w:sz w:val="22"/>
          <w:szCs w:val="22"/>
          <w:color w:val="auto"/>
        </w:rPr>
        <w:t>If such event occurs within the time period that is six (6) months immediately prior to, or twelve (12) months immediately following a Change in Control:</w:t>
      </w:r>
    </w:p>
    <w:p>
      <w:pPr>
        <w:spacing w:after="0" w:line="174" w:lineRule="exact"/>
        <w:rPr>
          <w:rFonts w:ascii="Arial" w:cs="Arial" w:eastAsia="Arial" w:hAnsi="Arial"/>
          <w:sz w:val="22"/>
          <w:szCs w:val="22"/>
          <w:color w:val="010000"/>
        </w:rPr>
      </w:pPr>
    </w:p>
    <w:p>
      <w:pPr>
        <w:ind w:left="1924" w:hanging="648"/>
        <w:spacing w:after="0" w:line="253" w:lineRule="auto"/>
        <w:rPr>
          <w:rFonts w:ascii="Arial" w:cs="Arial" w:eastAsia="Arial" w:hAnsi="Arial"/>
          <w:sz w:val="22"/>
          <w:szCs w:val="22"/>
          <w:color w:val="010000"/>
        </w:rPr>
      </w:pPr>
      <w:r>
        <w:rPr>
          <w:rFonts w:ascii="Arial" w:cs="Arial" w:eastAsia="Arial" w:hAnsi="Arial"/>
          <w:sz w:val="22"/>
          <w:szCs w:val="22"/>
          <w:color w:val="010000"/>
        </w:rPr>
        <w:t>a.</w:t>
      </w:r>
      <w:r>
        <w:rPr>
          <w:rFonts w:ascii="Arial" w:cs="Arial" w:eastAsia="Arial" w:hAnsi="Arial"/>
          <w:sz w:val="22"/>
          <w:szCs w:val="22"/>
          <w:color w:val="auto"/>
        </w:rPr>
        <w:t>An involuntary termination of the Executive’s employment by the Company for reasons other than Cause, death, or Disability pursuant to a Notice of Termination delivered to the Executive by the Company;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28" w:right="339" w:bottom="1440" w:gutter="0" w:footer="0" w:header="0"/>
        </w:sectPr>
      </w:pPr>
    </w:p>
    <w:bookmarkStart w:id="219" w:name="page220"/>
    <w:bookmarkEnd w:id="219"/>
    <w:p>
      <w:pPr>
        <w:ind w:left="1944" w:right="20" w:hanging="648"/>
        <w:spacing w:after="0" w:line="263" w:lineRule="auto"/>
        <w:tabs>
          <w:tab w:leader="none" w:pos="1944" w:val="left"/>
        </w:tabs>
        <w:numPr>
          <w:ilvl w:val="2"/>
          <w:numId w:val="185"/>
        </w:numPr>
        <w:rPr>
          <w:rFonts w:ascii="Arial" w:cs="Arial" w:eastAsia="Arial" w:hAnsi="Arial"/>
          <w:sz w:val="22"/>
          <w:szCs w:val="22"/>
          <w:color w:val="010000"/>
        </w:rPr>
      </w:pPr>
      <w:r>
        <w:rPr>
          <w:rFonts w:ascii="Arial" w:cs="Arial" w:eastAsia="Arial" w:hAnsi="Arial"/>
          <w:sz w:val="22"/>
          <w:szCs w:val="22"/>
          <w:color w:val="auto"/>
        </w:rPr>
        <w:t>A voluntary termination by the Executive for Good Reason pursuant to a Notice of Termination delivered to the Company by the Executive; or</w:t>
      </w:r>
    </w:p>
    <w:p>
      <w:pPr>
        <w:spacing w:after="0" w:line="174" w:lineRule="exact"/>
        <w:rPr>
          <w:rFonts w:ascii="Arial" w:cs="Arial" w:eastAsia="Arial" w:hAnsi="Arial"/>
          <w:sz w:val="22"/>
          <w:szCs w:val="22"/>
          <w:color w:val="010000"/>
        </w:rPr>
      </w:pPr>
    </w:p>
    <w:p>
      <w:pPr>
        <w:ind w:left="1304" w:hanging="1046"/>
        <w:spacing w:after="0"/>
        <w:tabs>
          <w:tab w:leader="none" w:pos="1304" w:val="left"/>
        </w:tabs>
        <w:numPr>
          <w:ilvl w:val="1"/>
          <w:numId w:val="186"/>
        </w:numPr>
        <w:rPr>
          <w:rFonts w:ascii="Arial" w:cs="Arial" w:eastAsia="Arial" w:hAnsi="Arial"/>
          <w:sz w:val="22"/>
          <w:szCs w:val="22"/>
          <w:color w:val="010000"/>
        </w:rPr>
      </w:pPr>
      <w:r>
        <w:rPr>
          <w:rFonts w:ascii="Arial" w:cs="Arial" w:eastAsia="Arial" w:hAnsi="Arial"/>
          <w:sz w:val="22"/>
          <w:szCs w:val="22"/>
          <w:color w:val="auto"/>
        </w:rPr>
        <w:t>If such event occurs at any other time:</w:t>
      </w:r>
    </w:p>
    <w:p>
      <w:pPr>
        <w:spacing w:after="0" w:line="219" w:lineRule="exact"/>
        <w:rPr>
          <w:rFonts w:ascii="Arial" w:cs="Arial" w:eastAsia="Arial" w:hAnsi="Arial"/>
          <w:sz w:val="22"/>
          <w:szCs w:val="22"/>
          <w:color w:val="010000"/>
        </w:rPr>
      </w:pPr>
    </w:p>
    <w:p>
      <w:pPr>
        <w:jc w:val="both"/>
        <w:ind w:left="1944" w:hanging="648"/>
        <w:spacing w:after="0" w:line="253" w:lineRule="auto"/>
        <w:tabs>
          <w:tab w:leader="none" w:pos="1932" w:val="left"/>
        </w:tabs>
        <w:numPr>
          <w:ilvl w:val="2"/>
          <w:numId w:val="186"/>
        </w:numPr>
        <w:rPr>
          <w:rFonts w:ascii="Arial" w:cs="Arial" w:eastAsia="Arial" w:hAnsi="Arial"/>
          <w:sz w:val="22"/>
          <w:szCs w:val="22"/>
          <w:color w:val="010000"/>
        </w:rPr>
      </w:pPr>
      <w:r>
        <w:rPr>
          <w:rFonts w:ascii="Arial" w:cs="Arial" w:eastAsia="Arial" w:hAnsi="Arial"/>
          <w:sz w:val="22"/>
          <w:szCs w:val="22"/>
          <w:color w:val="auto"/>
        </w:rPr>
        <w:t>An involuntary termination of the Executive’s employment by the Company for reasons other than Cause, death, or Disability pursuant to a Notice of Termination delivered to the Executive by the Company.</w:t>
      </w:r>
    </w:p>
    <w:p>
      <w:pPr>
        <w:spacing w:after="0" w:line="179" w:lineRule="exact"/>
        <w:rPr>
          <w:rFonts w:ascii="Arial" w:cs="Arial" w:eastAsia="Arial" w:hAnsi="Arial"/>
          <w:sz w:val="22"/>
          <w:szCs w:val="22"/>
          <w:color w:val="010000"/>
        </w:rPr>
      </w:pPr>
    </w:p>
    <w:p>
      <w:pPr>
        <w:ind w:left="644" w:hanging="644"/>
        <w:spacing w:after="0"/>
        <w:tabs>
          <w:tab w:leader="none" w:pos="644"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Release Effective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3.1(d)</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44" w:hanging="644"/>
        <w:spacing w:after="0" w:line="256" w:lineRule="auto"/>
        <w:tabs>
          <w:tab w:leader="none" w:pos="644"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Senior Vice President</w:t>
      </w:r>
      <w:r>
        <w:rPr>
          <w:rFonts w:ascii="Arial" w:cs="Arial" w:eastAsia="Arial" w:hAnsi="Arial"/>
          <w:sz w:val="22"/>
          <w:szCs w:val="22"/>
          <w:color w:val="auto"/>
        </w:rPr>
        <w:t>” shall include those employees of the Company with the Job Level of SVP immediately prior to the Change in Control, or such other employee who is designated as an SVP in the Company’s human resources information system immediately prior to the Change in Control.</w:t>
      </w:r>
    </w:p>
    <w:p>
      <w:pPr>
        <w:spacing w:after="0" w:line="176" w:lineRule="exact"/>
        <w:rPr>
          <w:rFonts w:ascii="Arial" w:cs="Arial" w:eastAsia="Arial" w:hAnsi="Arial"/>
          <w:sz w:val="22"/>
          <w:szCs w:val="22"/>
          <w:color w:val="010000"/>
        </w:rPr>
      </w:pPr>
    </w:p>
    <w:p>
      <w:pPr>
        <w:ind w:left="644" w:hanging="644"/>
        <w:spacing w:after="0" w:line="269" w:lineRule="auto"/>
        <w:tabs>
          <w:tab w:leader="none" w:pos="779"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Severance Benefits</w:t>
      </w:r>
      <w:r>
        <w:rPr>
          <w:rFonts w:ascii="Arial" w:cs="Arial" w:eastAsia="Arial" w:hAnsi="Arial"/>
          <w:sz w:val="22"/>
          <w:szCs w:val="22"/>
          <w:color w:val="auto"/>
        </w:rPr>
        <w:t xml:space="preserve">” means the payment of Change-in-Control or General (as appropriate) Severance compensation as provided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herein.</w:t>
      </w:r>
    </w:p>
    <w:p>
      <w:pPr>
        <w:spacing w:after="0" w:line="161" w:lineRule="exact"/>
        <w:rPr>
          <w:rFonts w:ascii="Arial" w:cs="Arial" w:eastAsia="Arial" w:hAnsi="Arial"/>
          <w:sz w:val="22"/>
          <w:szCs w:val="22"/>
          <w:color w:val="010000"/>
        </w:rPr>
      </w:pPr>
    </w:p>
    <w:p>
      <w:pPr>
        <w:ind w:left="644" w:hanging="644"/>
        <w:spacing w:after="0"/>
        <w:tabs>
          <w:tab w:leader="none" w:pos="644"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Specified Employee</w:t>
      </w:r>
      <w:r>
        <w:rPr>
          <w:rFonts w:ascii="Arial" w:cs="Arial" w:eastAsia="Arial" w:hAnsi="Arial"/>
          <w:sz w:val="22"/>
          <w:szCs w:val="22"/>
          <w:color w:val="auto"/>
        </w:rPr>
        <w:t>” means any Executive described in Section 409A(a)(2)(B)(i) of the Code.</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Successive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Third Party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5(a)</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Total Payments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Work Product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4" w:hanging="424"/>
        <w:spacing w:after="0"/>
        <w:tabs>
          <w:tab w:leader="none" w:pos="424" w:val="left"/>
        </w:tabs>
        <w:numPr>
          <w:ilvl w:val="0"/>
          <w:numId w:val="188"/>
        </w:numPr>
        <w:rPr>
          <w:rFonts w:ascii="Arial" w:cs="Arial" w:eastAsia="Arial" w:hAnsi="Arial"/>
          <w:sz w:val="22"/>
          <w:szCs w:val="22"/>
          <w:b w:val="1"/>
          <w:bCs w:val="1"/>
          <w:color w:val="010000"/>
        </w:rPr>
      </w:pPr>
      <w:r>
        <w:rPr>
          <w:rFonts w:ascii="Arial" w:cs="Arial" w:eastAsia="Arial" w:hAnsi="Arial"/>
          <w:sz w:val="22"/>
          <w:szCs w:val="22"/>
          <w:b w:val="1"/>
          <w:bCs w:val="1"/>
          <w:color w:val="auto"/>
        </w:rPr>
        <w:t>Right to Severance Benefits</w:t>
      </w:r>
    </w:p>
    <w:p>
      <w:pPr>
        <w:spacing w:after="0" w:line="220" w:lineRule="exact"/>
        <w:rPr>
          <w:sz w:val="20"/>
          <w:szCs w:val="20"/>
          <w:color w:val="auto"/>
        </w:rPr>
      </w:pPr>
    </w:p>
    <w:p>
      <w:pPr>
        <w:jc w:val="both"/>
        <w:ind w:left="644" w:hanging="644"/>
        <w:spacing w:after="0" w:line="252" w:lineRule="auto"/>
        <w:tabs>
          <w:tab w:leader="none" w:pos="644" w:val="left"/>
        </w:tabs>
        <w:numPr>
          <w:ilvl w:val="0"/>
          <w:numId w:val="189"/>
        </w:numPr>
        <w:rPr>
          <w:rFonts w:ascii="Arial" w:cs="Arial" w:eastAsia="Arial" w:hAnsi="Arial"/>
          <w:sz w:val="22"/>
          <w:szCs w:val="22"/>
          <w:color w:val="010000"/>
        </w:rPr>
      </w:pPr>
      <w:r>
        <w:rPr>
          <w:rFonts w:ascii="Arial" w:cs="Arial" w:eastAsia="Arial" w:hAnsi="Arial"/>
          <w:sz w:val="22"/>
          <w:szCs w:val="22"/>
          <w:b w:val="1"/>
          <w:bCs w:val="1"/>
          <w:color w:val="auto"/>
        </w:rPr>
        <w:t xml:space="preserve">Change-in-Control Severance Benefits. </w:t>
      </w:r>
      <w:r>
        <w:rPr>
          <w:rFonts w:ascii="Arial" w:cs="Arial" w:eastAsia="Arial" w:hAnsi="Arial"/>
          <w:sz w:val="22"/>
          <w:szCs w:val="22"/>
          <w:color w:val="auto"/>
        </w:rPr>
        <w:t xml:space="preserve">The Executive shall be entitled to receive from the Company Change-in-Control Severance Benefits, as described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herein, if a Qualifying Termination of the Executive’s employment has occurred within six (6) months immediately prior to or twelve (12) months immediately following a Change in Control of the Company.</w:t>
      </w:r>
    </w:p>
    <w:p>
      <w:pPr>
        <w:spacing w:after="0" w:line="179" w:lineRule="exact"/>
        <w:rPr>
          <w:rFonts w:ascii="Arial" w:cs="Arial" w:eastAsia="Arial" w:hAnsi="Arial"/>
          <w:sz w:val="22"/>
          <w:szCs w:val="22"/>
          <w:color w:val="010000"/>
        </w:rPr>
      </w:pPr>
    </w:p>
    <w:p>
      <w:pPr>
        <w:jc w:val="both"/>
        <w:ind w:left="644" w:hanging="644"/>
        <w:spacing w:after="0" w:line="256" w:lineRule="auto"/>
        <w:tabs>
          <w:tab w:leader="none" w:pos="644" w:val="left"/>
        </w:tabs>
        <w:numPr>
          <w:ilvl w:val="0"/>
          <w:numId w:val="189"/>
        </w:numPr>
        <w:rPr>
          <w:rFonts w:ascii="Arial" w:cs="Arial" w:eastAsia="Arial" w:hAnsi="Arial"/>
          <w:sz w:val="22"/>
          <w:szCs w:val="22"/>
          <w:color w:val="010000"/>
        </w:rPr>
      </w:pPr>
      <w:r>
        <w:rPr>
          <w:rFonts w:ascii="Arial" w:cs="Arial" w:eastAsia="Arial" w:hAnsi="Arial"/>
          <w:sz w:val="22"/>
          <w:szCs w:val="22"/>
          <w:b w:val="1"/>
          <w:bCs w:val="1"/>
          <w:color w:val="auto"/>
        </w:rPr>
        <w:t>General Severance Benefits</w:t>
      </w:r>
      <w:r>
        <w:rPr>
          <w:rFonts w:ascii="Arial" w:cs="Arial" w:eastAsia="Arial" w:hAnsi="Arial"/>
          <w:sz w:val="22"/>
          <w:szCs w:val="22"/>
          <w:color w:val="auto"/>
        </w:rPr>
        <w:t>. The Executive shall be entitled to receive from the Company General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Benefits, as described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herein, if a Qualifying Termination of the Executive’s employment has occurred other than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428" w:right="339" w:bottom="1440" w:gutter="0" w:footer="0" w:header="0"/>
        </w:sectPr>
      </w:pPr>
    </w:p>
    <w:bookmarkStart w:id="220" w:name="page221"/>
    <w:bookmarkEnd w:id="220"/>
    <w:p>
      <w:pPr>
        <w:ind w:left="644"/>
        <w:spacing w:after="0"/>
        <w:rPr>
          <w:sz w:val="20"/>
          <w:szCs w:val="20"/>
          <w:color w:val="auto"/>
        </w:rPr>
      </w:pPr>
      <w:r>
        <w:rPr>
          <w:rFonts w:ascii="Arial" w:cs="Arial" w:eastAsia="Arial" w:hAnsi="Arial"/>
          <w:sz w:val="19"/>
          <w:szCs w:val="19"/>
          <w:color w:val="auto"/>
        </w:rPr>
        <w:t>during the six (6) months immediately prior to or twelve (12) months immediately following a Change in Control.</w:t>
      </w:r>
    </w:p>
    <w:p>
      <w:pPr>
        <w:spacing w:after="0" w:line="248" w:lineRule="exact"/>
        <w:rPr>
          <w:sz w:val="20"/>
          <w:szCs w:val="20"/>
          <w:color w:val="auto"/>
        </w:rPr>
      </w:pPr>
    </w:p>
    <w:p>
      <w:pPr>
        <w:ind w:left="644" w:right="20" w:hanging="644"/>
        <w:spacing w:after="0" w:line="269" w:lineRule="auto"/>
        <w:tabs>
          <w:tab w:leader="none" w:pos="644" w:val="left"/>
        </w:tabs>
        <w:numPr>
          <w:ilvl w:val="0"/>
          <w:numId w:val="190"/>
        </w:numPr>
        <w:rPr>
          <w:rFonts w:ascii="Arial" w:cs="Arial" w:eastAsia="Arial" w:hAnsi="Arial"/>
          <w:sz w:val="22"/>
          <w:szCs w:val="22"/>
          <w:color w:val="010000"/>
        </w:rPr>
      </w:pPr>
      <w:r>
        <w:rPr>
          <w:rFonts w:ascii="Arial" w:cs="Arial" w:eastAsia="Arial" w:hAnsi="Arial"/>
          <w:sz w:val="22"/>
          <w:szCs w:val="22"/>
          <w:b w:val="1"/>
          <w:bCs w:val="1"/>
          <w:color w:val="auto"/>
        </w:rPr>
        <w:t>No Severance Benefits</w:t>
      </w:r>
      <w:r>
        <w:rPr>
          <w:rFonts w:ascii="Arial" w:cs="Arial" w:eastAsia="Arial" w:hAnsi="Arial"/>
          <w:sz w:val="22"/>
          <w:szCs w:val="22"/>
          <w:color w:val="auto"/>
        </w:rPr>
        <w:t>. The Executive shall not be entitled to receive Severance Benefits if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ends for reasons other than a Qualifying Termination.</w:t>
      </w:r>
    </w:p>
    <w:p>
      <w:pPr>
        <w:spacing w:after="0" w:line="161" w:lineRule="exact"/>
        <w:rPr>
          <w:rFonts w:ascii="Arial" w:cs="Arial" w:eastAsia="Arial" w:hAnsi="Arial"/>
          <w:sz w:val="22"/>
          <w:szCs w:val="22"/>
          <w:color w:val="010000"/>
        </w:rPr>
      </w:pPr>
    </w:p>
    <w:p>
      <w:pPr>
        <w:jc w:val="both"/>
        <w:ind w:left="644" w:hanging="644"/>
        <w:spacing w:after="0" w:line="287" w:lineRule="auto"/>
        <w:tabs>
          <w:tab w:leader="none" w:pos="644" w:val="left"/>
        </w:tabs>
        <w:numPr>
          <w:ilvl w:val="0"/>
          <w:numId w:val="190"/>
        </w:numPr>
        <w:rPr>
          <w:rFonts w:ascii="Arial" w:cs="Arial" w:eastAsia="Arial" w:hAnsi="Arial"/>
          <w:sz w:val="19"/>
          <w:szCs w:val="19"/>
          <w:color w:val="010000"/>
        </w:rPr>
      </w:pPr>
      <w:r>
        <w:rPr>
          <w:rFonts w:ascii="Arial" w:cs="Arial" w:eastAsia="Arial" w:hAnsi="Arial"/>
          <w:sz w:val="19"/>
          <w:szCs w:val="19"/>
          <w:b w:val="1"/>
          <w:bCs w:val="1"/>
          <w:color w:val="auto"/>
        </w:rPr>
        <w:t>General Release and Acknowledgement of Restrictive Covenants</w:t>
      </w:r>
      <w:r>
        <w:rPr>
          <w:rFonts w:ascii="Arial" w:cs="Arial" w:eastAsia="Arial" w:hAnsi="Arial"/>
          <w:sz w:val="19"/>
          <w:szCs w:val="19"/>
          <w:color w:val="auto"/>
        </w:rPr>
        <w:t>. As a condition to receiving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Benefits under either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herein, the Executive shall be obligated to execute a general waiver and 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 (60) days of the date of termination. The date upon which the executed release is no longer subject to revocation shall be referred to herein as the “</w:t>
      </w:r>
      <w:r>
        <w:rPr>
          <w:rFonts w:ascii="Arial" w:cs="Arial" w:eastAsia="Arial" w:hAnsi="Arial"/>
          <w:sz w:val="19"/>
          <w:szCs w:val="19"/>
          <w:u w:val="single" w:color="auto"/>
          <w:color w:val="auto"/>
        </w:rPr>
        <w:t>Release Effective Date</w:t>
      </w:r>
      <w:r>
        <w:rPr>
          <w:rFonts w:ascii="Arial" w:cs="Arial" w:eastAsia="Arial" w:hAnsi="Arial"/>
          <w:sz w:val="19"/>
          <w:szCs w:val="19"/>
          <w:color w:val="auto"/>
        </w:rPr>
        <w:t xml:space="preserve">”. The Executive must also execute a notice acknowledging the restrictive covenants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within sixty (60) days of the date of termination. Any payments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shall commence only after execution of the release and acknowledgement, and in the manner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58" w:lineRule="exact"/>
        <w:rPr>
          <w:rFonts w:ascii="Arial" w:cs="Arial" w:eastAsia="Arial" w:hAnsi="Arial"/>
          <w:sz w:val="19"/>
          <w:szCs w:val="19"/>
          <w:color w:val="010000"/>
        </w:rPr>
      </w:pPr>
    </w:p>
    <w:p>
      <w:pPr>
        <w:jc w:val="both"/>
        <w:ind w:left="644" w:hanging="644"/>
        <w:spacing w:after="0" w:line="286" w:lineRule="auto"/>
        <w:tabs>
          <w:tab w:leader="none" w:pos="644" w:val="left"/>
        </w:tabs>
        <w:numPr>
          <w:ilvl w:val="0"/>
          <w:numId w:val="190"/>
        </w:numPr>
        <w:rPr>
          <w:rFonts w:ascii="Arial" w:cs="Arial" w:eastAsia="Arial" w:hAnsi="Arial"/>
          <w:sz w:val="19"/>
          <w:szCs w:val="19"/>
          <w:b w:val="1"/>
          <w:bCs w:val="1"/>
          <w:color w:val="010000"/>
        </w:rPr>
      </w:pPr>
      <w:r>
        <w:rPr>
          <w:rFonts w:ascii="Arial" w:cs="Arial" w:eastAsia="Arial" w:hAnsi="Arial"/>
          <w:sz w:val="19"/>
          <w:szCs w:val="19"/>
          <w:b w:val="1"/>
          <w:bCs w:val="1"/>
          <w:color w:val="auto"/>
        </w:rPr>
        <w:t>No Duplication of Severance Benefits; Reduction of Other Benefits</w:t>
      </w:r>
      <w:r>
        <w:rPr>
          <w:rFonts w:ascii="Arial" w:cs="Arial" w:eastAsia="Arial" w:hAnsi="Arial"/>
          <w:sz w:val="19"/>
          <w:szCs w:val="19"/>
          <w:color w:val="auto"/>
        </w:rPr>
        <w:t>. If the Executive becomes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Change-in-Control Severance Benefits, the Severance Benefits provided for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hereunder shall be in lieu of all other Severance Benefits provided to the Executive under the provisions of this Plan and any other Company-related or Former Parent Company-related severance plans, programs, or agreements including, but not limited to, the Severance Benefits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herein. Likewise, if the Executive becomes entitled to General Severance Benefits, the Severance Benefits provided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hereunder shall be in lieu of all other Severance Benefits provided to the Executive under the provisions of this Plan and any other Company-related severance plans, programs, or other agreements including, but not limited to, the Severance Benefits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herein. Any benefits provided under this Plan will, to the extent permitted by law, be reduced by the value of any severance benefit required to be paid to the Executive under federal, state or local stature, ordinance or regulation, including any payments or extended periods of employment required to comply with any law governing plant closings, layoffs or similar events. If benefits are paid under this Plan, and, subsequent to such payment, an amount is determined to be payable to the Executive which would under the terms of this section reduce the benefit payable under the Plan, the Company shall be entitled to recover from the Executive the overpayment made under this Plan and shall, to the extent permitted by law, be entitled to offset such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4"/>
          </w:cols>
          <w:pgMar w:left="976" w:top="1428" w:right="339" w:bottom="1440" w:gutter="0" w:footer="0" w:header="0"/>
        </w:sectPr>
      </w:pPr>
    </w:p>
    <w:bookmarkStart w:id="221" w:name="page222"/>
    <w:bookmarkEnd w:id="221"/>
    <w:p>
      <w:pPr>
        <w:ind w:left="1300" w:right="20"/>
        <w:spacing w:after="0" w:line="263" w:lineRule="auto"/>
        <w:rPr>
          <w:sz w:val="20"/>
          <w:szCs w:val="20"/>
          <w:color w:val="auto"/>
        </w:rPr>
      </w:pPr>
      <w:r>
        <w:rPr>
          <w:rFonts w:ascii="Arial" w:cs="Arial" w:eastAsia="Arial" w:hAnsi="Arial"/>
          <w:sz w:val="22"/>
          <w:szCs w:val="22"/>
          <w:color w:val="auto"/>
        </w:rPr>
        <w:t>overpayment against any amount owed to the Executive (other than any amount that constitutes “deferred compensation” for purposes of Code Section 409A).</w:t>
      </w:r>
    </w:p>
    <w:p>
      <w:pPr>
        <w:spacing w:after="0" w:line="169" w:lineRule="exact"/>
        <w:rPr>
          <w:sz w:val="20"/>
          <w:szCs w:val="20"/>
          <w:color w:val="auto"/>
        </w:rPr>
      </w:pPr>
    </w:p>
    <w:p>
      <w:pPr>
        <w:ind w:left="1080" w:hanging="424"/>
        <w:spacing w:after="0"/>
        <w:tabs>
          <w:tab w:leader="none" w:pos="1080" w:val="left"/>
        </w:tabs>
        <w:numPr>
          <w:ilvl w:val="0"/>
          <w:numId w:val="191"/>
        </w:numPr>
        <w:rPr>
          <w:rFonts w:ascii="Arial" w:cs="Arial" w:eastAsia="Arial" w:hAnsi="Arial"/>
          <w:sz w:val="22"/>
          <w:szCs w:val="22"/>
          <w:b w:val="1"/>
          <w:bCs w:val="1"/>
          <w:color w:val="010000"/>
        </w:rPr>
      </w:pPr>
      <w:r>
        <w:rPr>
          <w:rFonts w:ascii="Arial" w:cs="Arial" w:eastAsia="Arial" w:hAnsi="Arial"/>
          <w:sz w:val="22"/>
          <w:szCs w:val="22"/>
          <w:b w:val="1"/>
          <w:bCs w:val="1"/>
          <w:color w:val="auto"/>
        </w:rPr>
        <w:t>Description of Change-in-Control Severance Benefits</w:t>
      </w:r>
    </w:p>
    <w:p>
      <w:pPr>
        <w:spacing w:after="0" w:line="226" w:lineRule="exact"/>
        <w:rPr>
          <w:sz w:val="20"/>
          <w:szCs w:val="20"/>
          <w:color w:val="auto"/>
        </w:rPr>
      </w:pPr>
    </w:p>
    <w:p>
      <w:pPr>
        <w:ind w:left="780" w:hanging="124"/>
        <w:spacing w:after="0"/>
        <w:tabs>
          <w:tab w:leader="none" w:pos="780" w:val="left"/>
        </w:tabs>
        <w:numPr>
          <w:ilvl w:val="0"/>
          <w:numId w:val="192"/>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the Executive becomes entitled to receive Change-in-Control Severance Benefits, as provided in </w:t>
      </w:r>
      <w:r>
        <w:rPr>
          <w:rFonts w:ascii="Arial" w:cs="Arial" w:eastAsia="Arial" w:hAnsi="Arial"/>
          <w:sz w:val="19"/>
          <w:szCs w:val="19"/>
          <w:u w:val="single" w:color="auto"/>
          <w:color w:val="auto"/>
        </w:rPr>
        <w:t>Section</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u w:val="single" w:color="auto"/>
          <w:color w:val="auto"/>
        </w:rPr>
        <w:t>3.1(a)</w:t>
      </w:r>
      <w:r>
        <w:rPr>
          <w:rFonts w:ascii="Arial" w:cs="Arial" w:eastAsia="Arial" w:hAnsi="Arial"/>
          <w:sz w:val="22"/>
          <w:szCs w:val="22"/>
          <w:color w:val="auto"/>
        </w:rPr>
        <w:t xml:space="preserve"> herein, the Company shall provide the Executive with the following:</w:t>
      </w:r>
    </w:p>
    <w:p>
      <w:pPr>
        <w:spacing w:after="0" w:line="202" w:lineRule="exact"/>
        <w:rPr>
          <w:sz w:val="20"/>
          <w:szCs w:val="20"/>
          <w:color w:val="auto"/>
        </w:rPr>
      </w:pPr>
    </w:p>
    <w:p>
      <w:pPr>
        <w:jc w:val="both"/>
        <w:ind w:left="1300" w:hanging="644"/>
        <w:spacing w:after="0" w:line="259" w:lineRule="auto"/>
        <w:tabs>
          <w:tab w:leader="none" w:pos="1300" w:val="left"/>
        </w:tabs>
        <w:numPr>
          <w:ilvl w:val="0"/>
          <w:numId w:val="193"/>
        </w:numPr>
        <w:rPr>
          <w:rFonts w:ascii="Arial" w:cs="Arial" w:eastAsia="Arial" w:hAnsi="Arial"/>
          <w:sz w:val="21"/>
          <w:szCs w:val="21"/>
          <w:color w:val="010000"/>
        </w:rPr>
      </w:pPr>
      <w:r>
        <w:rPr>
          <w:rFonts w:ascii="Arial" w:cs="Arial" w:eastAsia="Arial" w:hAnsi="Arial"/>
          <w:sz w:val="21"/>
          <w:szCs w:val="21"/>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21"/>
          <w:szCs w:val="21"/>
          <w:u w:val="single" w:color="auto"/>
          <w:color w:val="auto"/>
        </w:rPr>
        <w:t>Section 3.2(a)</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3" w:lineRule="exact"/>
        <w:rPr>
          <w:rFonts w:ascii="Arial" w:cs="Arial" w:eastAsia="Arial" w:hAnsi="Arial"/>
          <w:sz w:val="21"/>
          <w:szCs w:val="21"/>
          <w:color w:val="010000"/>
        </w:rPr>
      </w:pPr>
    </w:p>
    <w:p>
      <w:pPr>
        <w:jc w:val="both"/>
        <w:ind w:left="1300" w:hanging="644"/>
        <w:spacing w:after="0" w:line="259" w:lineRule="auto"/>
        <w:tabs>
          <w:tab w:leader="none" w:pos="1300" w:val="left"/>
        </w:tabs>
        <w:numPr>
          <w:ilvl w:val="0"/>
          <w:numId w:val="193"/>
        </w:numPr>
        <w:rPr>
          <w:rFonts w:ascii="Arial" w:cs="Arial" w:eastAsia="Arial" w:hAnsi="Arial"/>
          <w:sz w:val="21"/>
          <w:szCs w:val="21"/>
          <w:color w:val="010000"/>
        </w:rPr>
      </w:pPr>
      <w:r>
        <w:rPr>
          <w:rFonts w:ascii="Arial" w:cs="Arial" w:eastAsia="Arial" w:hAnsi="Arial"/>
          <w:sz w:val="21"/>
          <w:szCs w:val="21"/>
          <w:color w:val="auto"/>
        </w:rPr>
        <w:t xml:space="preserve">A lump-sum amount, paid upon the date that is sixty (60) calendar days following the Effective Date of Termination, equal to: (i) two and ninety-nine one-hundredths (2.99) for EVPs, or (ii) two (2) for SVPs times the sum of the following: (A) the Executive’s Base Salary and (B) the Executive’s annual target bonus opportunity in the year of termination; provided that to the extent the payment of any amounts pursuant to this </w:t>
      </w:r>
      <w:r>
        <w:rPr>
          <w:rFonts w:ascii="Arial" w:cs="Arial" w:eastAsia="Arial" w:hAnsi="Arial"/>
          <w:sz w:val="21"/>
          <w:szCs w:val="21"/>
          <w:u w:val="single" w:color="auto"/>
          <w:color w:val="auto"/>
        </w:rPr>
        <w:t>Section 3.2(b)</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3" w:lineRule="exact"/>
        <w:rPr>
          <w:rFonts w:ascii="Arial" w:cs="Arial" w:eastAsia="Arial" w:hAnsi="Arial"/>
          <w:sz w:val="21"/>
          <w:szCs w:val="21"/>
          <w:color w:val="010000"/>
        </w:rPr>
      </w:pPr>
    </w:p>
    <w:p>
      <w:pPr>
        <w:jc w:val="both"/>
        <w:ind w:left="1300" w:hanging="644"/>
        <w:spacing w:after="0" w:line="289" w:lineRule="auto"/>
        <w:tabs>
          <w:tab w:leader="none" w:pos="1300" w:val="left"/>
        </w:tabs>
        <w:numPr>
          <w:ilvl w:val="0"/>
          <w:numId w:val="193"/>
        </w:numPr>
        <w:rPr>
          <w:rFonts w:ascii="Arial" w:cs="Arial" w:eastAsia="Arial" w:hAnsi="Arial"/>
          <w:sz w:val="19"/>
          <w:szCs w:val="19"/>
          <w:color w:val="010000"/>
        </w:rPr>
      </w:pPr>
      <w:r>
        <w:rPr>
          <w:rFonts w:ascii="Arial" w:cs="Arial" w:eastAsia="Arial" w:hAnsi="Arial"/>
          <w:sz w:val="19"/>
          <w:szCs w:val="19"/>
          <w:color w:val="auto"/>
        </w:rPr>
        <w:t xml:space="preserve">A lump-sum amount, paid upon the date that is sixty (60) calendar days following the Effective Date of Termination, equal to the Executive’s then current target bonus opportunity established under the bonus plan in which the Executive is then participating, for the plan year in which a Qualifying Termination occurs, adjusted on a pro rata basis based on the number of days the Executive was actually employed during the bonus plan year in which the Qualifying Termination occurs, provided that to the extent the payment of any amounts pursuant to this </w:t>
      </w:r>
      <w:r>
        <w:rPr>
          <w:rFonts w:ascii="Arial" w:cs="Arial" w:eastAsia="Arial" w:hAnsi="Arial"/>
          <w:sz w:val="19"/>
          <w:szCs w:val="19"/>
          <w:u w:val="single" w:color="auto"/>
          <w:color w:val="auto"/>
        </w:rPr>
        <w:t>Section 3.2(c)</w:t>
      </w:r>
      <w:r>
        <w:rPr>
          <w:rFonts w:ascii="Arial" w:cs="Arial" w:eastAsia="Arial" w:hAnsi="Arial"/>
          <w:sz w:val="19"/>
          <w:szCs w:val="19"/>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22" w:name="page223"/>
    <w:bookmarkEnd w:id="222"/>
    <w:p>
      <w:pPr>
        <w:jc w:val="both"/>
        <w:ind w:left="1300" w:hanging="644"/>
        <w:spacing w:after="0" w:line="250" w:lineRule="auto"/>
        <w:tabs>
          <w:tab w:leader="none" w:pos="1300" w:val="left"/>
        </w:tabs>
        <w:numPr>
          <w:ilvl w:val="0"/>
          <w:numId w:val="194"/>
        </w:numPr>
        <w:rPr>
          <w:rFonts w:ascii="Arial" w:cs="Arial" w:eastAsia="Arial" w:hAnsi="Arial"/>
          <w:sz w:val="22"/>
          <w:szCs w:val="22"/>
          <w:color w:val="010000"/>
        </w:rPr>
      </w:pPr>
      <w:r>
        <w:rPr>
          <w:rFonts w:ascii="Arial" w:cs="Arial" w:eastAsia="Arial" w:hAnsi="Arial"/>
          <w:sz w:val="22"/>
          <w:szCs w:val="22"/>
          <w:color w:val="auto"/>
        </w:rPr>
        <w:t>Payment of all or a portion of the Executive’s cost to participate in COBRA health and/or dental continuation coverage for eighteen (18) months following the Executive’s Effective Date of Termination, such that Executive maintains the same coverage level and cost, on an after tax basis, as in effect immediately prior to the Executive’s Effective Date of Termination.</w:t>
      </w:r>
    </w:p>
    <w:p>
      <w:pPr>
        <w:spacing w:after="0" w:line="187" w:lineRule="exact"/>
        <w:rPr>
          <w:rFonts w:ascii="Arial" w:cs="Arial" w:eastAsia="Arial" w:hAnsi="Arial"/>
          <w:sz w:val="22"/>
          <w:szCs w:val="22"/>
          <w:color w:val="010000"/>
        </w:rPr>
      </w:pPr>
    </w:p>
    <w:p>
      <w:pPr>
        <w:jc w:val="both"/>
        <w:ind w:left="1300"/>
        <w:spacing w:after="0" w:line="246" w:lineRule="auto"/>
        <w:rPr>
          <w:rFonts w:ascii="Arial" w:cs="Arial" w:eastAsia="Arial" w:hAnsi="Arial"/>
          <w:sz w:val="22"/>
          <w:szCs w:val="22"/>
          <w:color w:val="010000"/>
        </w:rPr>
      </w:pPr>
      <w:r>
        <w:rPr>
          <w:rFonts w:ascii="Arial" w:cs="Arial" w:eastAsia="Arial" w:hAnsi="Arial"/>
          <w:sz w:val="22"/>
          <w:szCs w:val="22"/>
          <w:color w:val="auto"/>
        </w:rPr>
        <w:t>Notwithstanding the above, these health and/or dental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96" w:lineRule="exact"/>
        <w:rPr>
          <w:rFonts w:ascii="Arial" w:cs="Arial" w:eastAsia="Arial" w:hAnsi="Arial"/>
          <w:sz w:val="22"/>
          <w:szCs w:val="22"/>
          <w:color w:val="010000"/>
        </w:rPr>
      </w:pPr>
    </w:p>
    <w:p>
      <w:pPr>
        <w:ind w:left="1300" w:hanging="644"/>
        <w:spacing w:after="0" w:line="263" w:lineRule="auto"/>
        <w:tabs>
          <w:tab w:leader="none" w:pos="1300" w:val="left"/>
        </w:tabs>
        <w:numPr>
          <w:ilvl w:val="0"/>
          <w:numId w:val="194"/>
        </w:numPr>
        <w:rPr>
          <w:rFonts w:ascii="Arial" w:cs="Arial" w:eastAsia="Arial" w:hAnsi="Arial"/>
          <w:sz w:val="22"/>
          <w:szCs w:val="22"/>
          <w:color w:val="010000"/>
        </w:rPr>
      </w:pPr>
      <w:r>
        <w:rPr>
          <w:rFonts w:ascii="Arial" w:cs="Arial" w:eastAsia="Arial" w:hAnsi="Arial"/>
          <w:sz w:val="22"/>
          <w:szCs w:val="22"/>
          <w:color w:val="auto"/>
        </w:rPr>
        <w:t>Treatment of outstanding long-term incentives shall be in accordance with the governing plan document and award agreements, if any.</w:t>
      </w:r>
    </w:p>
    <w:p>
      <w:pPr>
        <w:spacing w:after="0" w:line="169" w:lineRule="exact"/>
        <w:rPr>
          <w:sz w:val="20"/>
          <w:szCs w:val="20"/>
          <w:color w:val="auto"/>
        </w:rPr>
      </w:pPr>
    </w:p>
    <w:p>
      <w:pPr>
        <w:ind w:left="1080" w:hanging="424"/>
        <w:spacing w:after="0"/>
        <w:tabs>
          <w:tab w:leader="none" w:pos="1080" w:val="left"/>
        </w:tabs>
        <w:numPr>
          <w:ilvl w:val="0"/>
          <w:numId w:val="195"/>
        </w:numPr>
        <w:rPr>
          <w:rFonts w:ascii="Arial" w:cs="Arial" w:eastAsia="Arial" w:hAnsi="Arial"/>
          <w:sz w:val="22"/>
          <w:szCs w:val="22"/>
          <w:b w:val="1"/>
          <w:bCs w:val="1"/>
          <w:color w:val="010000"/>
        </w:rPr>
      </w:pPr>
      <w:r>
        <w:rPr>
          <w:rFonts w:ascii="Arial" w:cs="Arial" w:eastAsia="Arial" w:hAnsi="Arial"/>
          <w:sz w:val="22"/>
          <w:szCs w:val="22"/>
          <w:b w:val="1"/>
          <w:bCs w:val="1"/>
          <w:color w:val="auto"/>
        </w:rPr>
        <w:t>Description of General Severance Benefits</w:t>
      </w:r>
    </w:p>
    <w:p>
      <w:pPr>
        <w:spacing w:after="0" w:line="226" w:lineRule="exact"/>
        <w:rPr>
          <w:sz w:val="20"/>
          <w:szCs w:val="20"/>
          <w:color w:val="auto"/>
        </w:rPr>
      </w:pPr>
    </w:p>
    <w:p>
      <w:pPr>
        <w:ind w:firstLine="656"/>
        <w:spacing w:after="0" w:line="263" w:lineRule="auto"/>
        <w:tabs>
          <w:tab w:leader="none" w:pos="75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In the event the Executive becomes entitled to receive General Severance Benefits as provided in </w:t>
      </w:r>
      <w:r>
        <w:rPr>
          <w:rFonts w:ascii="Arial" w:cs="Arial" w:eastAsia="Arial" w:hAnsi="Arial"/>
          <w:sz w:val="22"/>
          <w:szCs w:val="22"/>
          <w:u w:val="single" w:color="auto"/>
          <w:color w:val="auto"/>
        </w:rPr>
        <w:t>Section 3.1(b)</w:t>
      </w:r>
      <w:r>
        <w:rPr>
          <w:rFonts w:ascii="Arial" w:cs="Arial" w:eastAsia="Arial" w:hAnsi="Arial"/>
          <w:sz w:val="22"/>
          <w:szCs w:val="22"/>
          <w:color w:val="auto"/>
        </w:rPr>
        <w:t xml:space="preserve"> herein, the Company shall provide the Executive with the following:</w:t>
      </w:r>
    </w:p>
    <w:p>
      <w:pPr>
        <w:spacing w:after="0" w:line="175" w:lineRule="exact"/>
        <w:rPr>
          <w:sz w:val="20"/>
          <w:szCs w:val="20"/>
          <w:color w:val="auto"/>
        </w:rPr>
      </w:pPr>
    </w:p>
    <w:p>
      <w:pPr>
        <w:jc w:val="both"/>
        <w:ind w:left="1300" w:hanging="644"/>
        <w:spacing w:after="0" w:line="259" w:lineRule="auto"/>
        <w:tabs>
          <w:tab w:leader="none" w:pos="1300" w:val="left"/>
        </w:tabs>
        <w:numPr>
          <w:ilvl w:val="0"/>
          <w:numId w:val="197"/>
        </w:numPr>
        <w:rPr>
          <w:rFonts w:ascii="Arial" w:cs="Arial" w:eastAsia="Arial" w:hAnsi="Arial"/>
          <w:sz w:val="21"/>
          <w:szCs w:val="21"/>
          <w:color w:val="010000"/>
        </w:rPr>
      </w:pPr>
      <w:r>
        <w:rPr>
          <w:rFonts w:ascii="Arial" w:cs="Arial" w:eastAsia="Arial" w:hAnsi="Arial"/>
          <w:sz w:val="21"/>
          <w:szCs w:val="21"/>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21"/>
          <w:szCs w:val="21"/>
          <w:u w:val="single" w:color="auto"/>
          <w:color w:val="auto"/>
        </w:rPr>
        <w:t>Section 3.3(a)</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3" w:lineRule="exact"/>
        <w:rPr>
          <w:rFonts w:ascii="Arial" w:cs="Arial" w:eastAsia="Arial" w:hAnsi="Arial"/>
          <w:sz w:val="21"/>
          <w:szCs w:val="21"/>
          <w:color w:val="010000"/>
        </w:rPr>
      </w:pPr>
    </w:p>
    <w:p>
      <w:pPr>
        <w:jc w:val="both"/>
        <w:ind w:left="1300" w:hanging="644"/>
        <w:spacing w:after="0" w:line="246" w:lineRule="auto"/>
        <w:tabs>
          <w:tab w:leader="none" w:pos="1300" w:val="left"/>
        </w:tabs>
        <w:numPr>
          <w:ilvl w:val="0"/>
          <w:numId w:val="197"/>
        </w:numPr>
        <w:rPr>
          <w:rFonts w:ascii="Arial" w:cs="Arial" w:eastAsia="Arial" w:hAnsi="Arial"/>
          <w:sz w:val="22"/>
          <w:szCs w:val="22"/>
          <w:color w:val="010000"/>
        </w:rPr>
      </w:pPr>
      <w:r>
        <w:rPr>
          <w:rFonts w:ascii="Arial" w:cs="Arial" w:eastAsia="Arial" w:hAnsi="Arial"/>
          <w:sz w:val="22"/>
          <w:szCs w:val="22"/>
          <w:color w:val="auto"/>
        </w:rPr>
        <w:t xml:space="preserve">A lump-sum amount, paid upon the date that is sixty (60) calendar days following the Effective Date of Termination, equal to one and one-half (1.5) times the Executive’s Base Salary; provided that to the extent the payment of any amounts pursuant to this </w:t>
      </w:r>
      <w:r>
        <w:rPr>
          <w:rFonts w:ascii="Arial" w:cs="Arial" w:eastAsia="Arial" w:hAnsi="Arial"/>
          <w:sz w:val="22"/>
          <w:szCs w:val="22"/>
          <w:u w:val="single" w:color="auto"/>
          <w:color w:val="auto"/>
        </w:rPr>
        <w:t>Section 3.3(b)</w:t>
      </w:r>
      <w:r>
        <w:rPr>
          <w:rFonts w:ascii="Arial" w:cs="Arial" w:eastAsia="Arial" w:hAnsi="Arial"/>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23" w:name="page224"/>
    <w:bookmarkEnd w:id="223"/>
    <w:p>
      <w:pPr>
        <w:jc w:val="both"/>
        <w:ind w:left="644" w:hanging="644"/>
        <w:spacing w:after="0" w:line="250" w:lineRule="auto"/>
        <w:tabs>
          <w:tab w:leader="none" w:pos="644" w:val="left"/>
        </w:tabs>
        <w:numPr>
          <w:ilvl w:val="0"/>
          <w:numId w:val="198"/>
        </w:numPr>
        <w:rPr>
          <w:rFonts w:ascii="Arial" w:cs="Arial" w:eastAsia="Arial" w:hAnsi="Arial"/>
          <w:sz w:val="22"/>
          <w:szCs w:val="22"/>
          <w:color w:val="010000"/>
        </w:rPr>
      </w:pPr>
      <w:r>
        <w:rPr>
          <w:rFonts w:ascii="Arial" w:cs="Arial" w:eastAsia="Arial" w:hAnsi="Arial"/>
          <w:sz w:val="22"/>
          <w:szCs w:val="22"/>
          <w:color w:val="auto"/>
        </w:rPr>
        <w:t>Payment of all or a portion of the Executive’s cost to participate in COBRA health and/or dental continuation coverage for eighteen (18) months following the Executive’s Effective Date of Termination, such that Executive maintains the same coverage level and cost, on an after tax basis, as in effect immediately prior to the Executive’s Effective Date of Termination.</w:t>
      </w:r>
    </w:p>
    <w:p>
      <w:pPr>
        <w:spacing w:after="0" w:line="187" w:lineRule="exact"/>
        <w:rPr>
          <w:rFonts w:ascii="Arial" w:cs="Arial" w:eastAsia="Arial" w:hAnsi="Arial"/>
          <w:sz w:val="22"/>
          <w:szCs w:val="22"/>
          <w:color w:val="010000"/>
        </w:rPr>
      </w:pPr>
    </w:p>
    <w:p>
      <w:pPr>
        <w:jc w:val="both"/>
        <w:ind w:left="644"/>
        <w:spacing w:after="0" w:line="246" w:lineRule="auto"/>
        <w:rPr>
          <w:rFonts w:ascii="Arial" w:cs="Arial" w:eastAsia="Arial" w:hAnsi="Arial"/>
          <w:sz w:val="22"/>
          <w:szCs w:val="22"/>
          <w:color w:val="010000"/>
        </w:rPr>
      </w:pPr>
      <w:r>
        <w:rPr>
          <w:rFonts w:ascii="Arial" w:cs="Arial" w:eastAsia="Arial" w:hAnsi="Arial"/>
          <w:sz w:val="22"/>
          <w:szCs w:val="22"/>
          <w:color w:val="auto"/>
        </w:rPr>
        <w:t>Notwithstanding the above, these health and/or dental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96" w:lineRule="exact"/>
        <w:rPr>
          <w:rFonts w:ascii="Arial" w:cs="Arial" w:eastAsia="Arial" w:hAnsi="Arial"/>
          <w:sz w:val="22"/>
          <w:szCs w:val="22"/>
          <w:color w:val="010000"/>
        </w:rPr>
      </w:pPr>
    </w:p>
    <w:p>
      <w:pPr>
        <w:ind w:left="644" w:hanging="644"/>
        <w:spacing w:after="0" w:line="263" w:lineRule="auto"/>
        <w:tabs>
          <w:tab w:leader="none" w:pos="644" w:val="left"/>
        </w:tabs>
        <w:numPr>
          <w:ilvl w:val="0"/>
          <w:numId w:val="198"/>
        </w:numPr>
        <w:rPr>
          <w:rFonts w:ascii="Arial" w:cs="Arial" w:eastAsia="Arial" w:hAnsi="Arial"/>
          <w:sz w:val="22"/>
          <w:szCs w:val="22"/>
          <w:color w:val="010000"/>
        </w:rPr>
      </w:pPr>
      <w:r>
        <w:rPr>
          <w:rFonts w:ascii="Arial" w:cs="Arial" w:eastAsia="Arial" w:hAnsi="Arial"/>
          <w:sz w:val="22"/>
          <w:szCs w:val="22"/>
          <w:color w:val="auto"/>
        </w:rPr>
        <w:t>Treatment of outstanding long-term incentives shall be in accordance with the governing plan document and award agreements, if any.</w:t>
      </w:r>
    </w:p>
    <w:p>
      <w:pPr>
        <w:spacing w:after="0" w:line="169" w:lineRule="exact"/>
        <w:rPr>
          <w:sz w:val="20"/>
          <w:szCs w:val="20"/>
          <w:color w:val="auto"/>
        </w:rPr>
      </w:pPr>
    </w:p>
    <w:p>
      <w:pPr>
        <w:ind w:left="424" w:hanging="424"/>
        <w:spacing w:after="0"/>
        <w:tabs>
          <w:tab w:leader="none" w:pos="424" w:val="left"/>
        </w:tabs>
        <w:numPr>
          <w:ilvl w:val="0"/>
          <w:numId w:val="199"/>
        </w:numPr>
        <w:rPr>
          <w:rFonts w:ascii="Arial" w:cs="Arial" w:eastAsia="Arial" w:hAnsi="Arial"/>
          <w:sz w:val="22"/>
          <w:szCs w:val="22"/>
          <w:b w:val="1"/>
          <w:bCs w:val="1"/>
          <w:color w:val="010000"/>
        </w:rPr>
      </w:pPr>
      <w:r>
        <w:rPr>
          <w:rFonts w:ascii="Arial" w:cs="Arial" w:eastAsia="Arial" w:hAnsi="Arial"/>
          <w:sz w:val="22"/>
          <w:szCs w:val="22"/>
          <w:b w:val="1"/>
          <w:bCs w:val="1"/>
          <w:color w:val="auto"/>
        </w:rPr>
        <w:t>Coordination with Release and Delay Required by Code Section 409A</w:t>
      </w:r>
    </w:p>
    <w:p>
      <w:pPr>
        <w:spacing w:after="0" w:line="22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left="644" w:hanging="644"/>
        <w:spacing w:after="0" w:line="260" w:lineRule="auto"/>
        <w:tabs>
          <w:tab w:leader="none" w:pos="644" w:val="left"/>
        </w:tabs>
        <w:numPr>
          <w:ilvl w:val="0"/>
          <w:numId w:val="200"/>
        </w:numPr>
        <w:rPr>
          <w:rFonts w:ascii="Arial" w:cs="Arial" w:eastAsia="Arial" w:hAnsi="Arial"/>
          <w:sz w:val="21"/>
          <w:szCs w:val="21"/>
          <w:color w:val="010000"/>
        </w:rPr>
      </w:pPr>
      <w:r>
        <w:rPr>
          <w:rFonts w:ascii="Arial" w:cs="Arial" w:eastAsia="Arial" w:hAnsi="Arial"/>
          <w:sz w:val="21"/>
          <w:szCs w:val="21"/>
          <w:color w:val="auto"/>
        </w:rPr>
        <w:t>To the extent any continuing benefit (or reimbursement thereof) to be provided is not “deferred compensation” for purposes of Code Section 409A, then such benefit shall commence or be made immediately after the Release 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 would have expired had the benefits commenced immediately upon Executive’s termination of employment.</w:t>
      </w:r>
    </w:p>
    <w:p>
      <w:pPr>
        <w:spacing w:after="0" w:line="180" w:lineRule="exact"/>
        <w:rPr>
          <w:rFonts w:ascii="Arial" w:cs="Arial" w:eastAsia="Arial" w:hAnsi="Arial"/>
          <w:sz w:val="21"/>
          <w:szCs w:val="21"/>
          <w:color w:val="010000"/>
        </w:rPr>
      </w:pPr>
    </w:p>
    <w:p>
      <w:pPr>
        <w:jc w:val="both"/>
        <w:ind w:left="644" w:hanging="644"/>
        <w:spacing w:after="0" w:line="289" w:lineRule="auto"/>
        <w:tabs>
          <w:tab w:leader="none" w:pos="644" w:val="left"/>
        </w:tabs>
        <w:numPr>
          <w:ilvl w:val="0"/>
          <w:numId w:val="200"/>
        </w:numPr>
        <w:rPr>
          <w:rFonts w:ascii="Arial" w:cs="Arial" w:eastAsia="Arial" w:hAnsi="Arial"/>
          <w:sz w:val="19"/>
          <w:szCs w:val="19"/>
          <w:color w:val="010000"/>
        </w:rPr>
      </w:pPr>
      <w:r>
        <w:rPr>
          <w:rFonts w:ascii="Arial" w:cs="Arial" w:eastAsia="Arial" w:hAnsi="Arial"/>
          <w:sz w:val="19"/>
          <w:szCs w:val="19"/>
          <w:color w:val="auto"/>
        </w:rPr>
        <w:t xml:space="preserve">Notwithstanding any other payment schedule provided herein to the contrary, if the Executive is deemed on the date of termination to be a Specified Employee, then, once the release and acknowledgement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3.1(d)</w:t>
      </w:r>
      <w:r>
        <w:rPr>
          <w:rFonts w:ascii="Arial" w:cs="Arial" w:eastAsia="Arial" w:hAnsi="Arial"/>
          <w:sz w:val="19"/>
          <w:szCs w:val="19"/>
          <w:color w:val="auto"/>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 of the Executive, and (B) the date of the Executive’s death (the “</w:t>
      </w:r>
      <w:r>
        <w:rPr>
          <w:rFonts w:ascii="Arial" w:cs="Arial" w:eastAsia="Arial" w:hAnsi="Arial"/>
          <w:sz w:val="19"/>
          <w:szCs w:val="19"/>
          <w:u w:val="single" w:color="auto"/>
          <w:color w:val="auto"/>
        </w:rPr>
        <w:t>Delay Period</w:t>
      </w:r>
      <w:r>
        <w:rPr>
          <w:rFonts w:ascii="Arial" w:cs="Arial" w:eastAsia="Arial" w:hAnsi="Arial"/>
          <w:sz w:val="19"/>
          <w:szCs w:val="19"/>
          <w:color w:val="auto"/>
        </w:rPr>
        <w:t xml:space="preserve">”) to the extent required under Code Section 409A. Upon the expiration of the Delay Period, all payments delayed pursuant to this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(whether they would have otherwise been payable in a single sum or in installments in the absence of such delay) shall be paid to the Executive in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7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4"/>
          </w:cols>
          <w:pgMar w:left="976" w:top="1428" w:right="339" w:bottom="1440" w:gutter="0" w:footer="0" w:header="0"/>
        </w:sectPr>
      </w:pPr>
    </w:p>
    <w:bookmarkStart w:id="224" w:name="page225"/>
    <w:bookmarkEnd w:id="224"/>
    <w:p>
      <w:pPr>
        <w:ind w:left="1300"/>
        <w:spacing w:after="0" w:line="263" w:lineRule="auto"/>
        <w:rPr>
          <w:sz w:val="20"/>
          <w:szCs w:val="20"/>
          <w:color w:val="auto"/>
        </w:rPr>
      </w:pPr>
      <w:r>
        <w:rPr>
          <w:rFonts w:ascii="Arial" w:cs="Arial" w:eastAsia="Arial" w:hAnsi="Arial"/>
          <w:sz w:val="22"/>
          <w:szCs w:val="22"/>
          <w:color w:val="auto"/>
        </w:rPr>
        <w:t>lump sum, and any remaining payments due under this Plan shall be paid or provided in accordance with the normal payment dates specified for them herein.</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4.</w:t>
      </w:r>
      <w:r>
        <w:rPr>
          <w:sz w:val="20"/>
          <w:szCs w:val="20"/>
          <w:color w:val="auto"/>
        </w:rPr>
        <w:tab/>
      </w:r>
      <w:r>
        <w:rPr>
          <w:rFonts w:ascii="Arial" w:cs="Arial" w:eastAsia="Arial" w:hAnsi="Arial"/>
          <w:sz w:val="19"/>
          <w:szCs w:val="19"/>
          <w:b w:val="1"/>
          <w:bCs w:val="1"/>
          <w:color w:val="auto"/>
        </w:rPr>
        <w:t>Ineligibility</w:t>
      </w:r>
    </w:p>
    <w:p>
      <w:pPr>
        <w:spacing w:after="0" w:line="220" w:lineRule="exact"/>
        <w:rPr>
          <w:sz w:val="20"/>
          <w:szCs w:val="20"/>
          <w:color w:val="auto"/>
        </w:rPr>
      </w:pPr>
    </w:p>
    <w:p>
      <w:pPr>
        <w:ind w:left="1080" w:hanging="424"/>
        <w:spacing w:after="0"/>
        <w:tabs>
          <w:tab w:leader="none" w:pos="1080" w:val="left"/>
        </w:tabs>
        <w:numPr>
          <w:ilvl w:val="0"/>
          <w:numId w:val="201"/>
        </w:numPr>
        <w:rPr>
          <w:rFonts w:ascii="Arial" w:cs="Arial" w:eastAsia="Arial" w:hAnsi="Arial"/>
          <w:sz w:val="22"/>
          <w:szCs w:val="22"/>
          <w:b w:val="1"/>
          <w:bCs w:val="1"/>
          <w:color w:val="010000"/>
        </w:rPr>
      </w:pPr>
      <w:r>
        <w:rPr>
          <w:rFonts w:ascii="Arial" w:cs="Arial" w:eastAsia="Arial" w:hAnsi="Arial"/>
          <w:sz w:val="22"/>
          <w:szCs w:val="22"/>
          <w:b w:val="1"/>
          <w:bCs w:val="1"/>
          <w:color w:val="auto"/>
        </w:rPr>
        <w:t>Comparable Position.</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Subject to the provisions of </w:t>
      </w:r>
      <w:r>
        <w:rPr>
          <w:rFonts w:ascii="Arial" w:cs="Arial" w:eastAsia="Arial" w:hAnsi="Arial"/>
          <w:sz w:val="21"/>
          <w:szCs w:val="21"/>
          <w:u w:val="single" w:color="auto"/>
          <w:color w:val="auto"/>
        </w:rPr>
        <w:t>Article 2(aa)(i)(B)</w:t>
      </w:r>
      <w:r>
        <w:rPr>
          <w:rFonts w:ascii="Arial" w:cs="Arial" w:eastAsia="Arial" w:hAnsi="Arial"/>
          <w:sz w:val="21"/>
          <w:szCs w:val="21"/>
          <w:color w:val="auto"/>
        </w:rPr>
        <w:t xml:space="preserve">, the Company may offer, or cause to be offered, an Executive a comparable position, may require an Executive to apply for a comparable position with the Company, any Affiliate, or Clearway Energy Group LLC, or a successor of the Company, any Affiliate or Clearway Energy Group LLC or may reassign an Executive to a new position or a reclassification of the Executive’s current position;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Arial" w:cs="Arial" w:eastAsia="Arial" w:hAnsi="Arial"/>
          <w:sz w:val="21"/>
          <w:szCs w:val="21"/>
          <w:u w:val="single" w:color="auto"/>
          <w:color w:val="auto"/>
        </w:rPr>
        <w:t>Section 4.1</w:t>
      </w:r>
      <w:r>
        <w:rPr>
          <w:rFonts w:ascii="Arial" w:cs="Arial" w:eastAsia="Arial" w:hAnsi="Arial"/>
          <w:sz w:val="21"/>
          <w:szCs w:val="21"/>
          <w:color w:val="auto"/>
        </w:rPr>
        <w:t>. The failure of an Executive to accept the position, or apply for the position when required by the Company will render the Executive ineligible for benefits under this Plan.</w:t>
      </w:r>
    </w:p>
    <w:p>
      <w:pPr>
        <w:spacing w:after="0" w:line="177" w:lineRule="exact"/>
        <w:rPr>
          <w:sz w:val="20"/>
          <w:szCs w:val="20"/>
          <w:color w:val="auto"/>
        </w:rPr>
      </w:pPr>
    </w:p>
    <w:p>
      <w:pPr>
        <w:ind w:left="1080" w:hanging="424"/>
        <w:spacing w:after="0"/>
        <w:tabs>
          <w:tab w:leader="none" w:pos="1080" w:val="left"/>
        </w:tabs>
        <w:numPr>
          <w:ilvl w:val="0"/>
          <w:numId w:val="202"/>
        </w:numPr>
        <w:rPr>
          <w:rFonts w:ascii="Arial" w:cs="Arial" w:eastAsia="Arial" w:hAnsi="Arial"/>
          <w:sz w:val="22"/>
          <w:szCs w:val="22"/>
          <w:b w:val="1"/>
          <w:bCs w:val="1"/>
          <w:color w:val="010000"/>
        </w:rPr>
      </w:pPr>
      <w:r>
        <w:rPr>
          <w:rFonts w:ascii="Arial" w:cs="Arial" w:eastAsia="Arial" w:hAnsi="Arial"/>
          <w:sz w:val="22"/>
          <w:szCs w:val="22"/>
          <w:b w:val="1"/>
          <w:bCs w:val="1"/>
          <w:color w:val="auto"/>
        </w:rPr>
        <w:t>Other Circumstances.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determined by the Committee, an Executive shall also be ineligible for benefits under this Plan if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2"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22"/>
          <w:szCs w:val="22"/>
          <w:color w:val="010000"/>
        </w:rPr>
      </w:pPr>
      <w:r>
        <w:rPr>
          <w:rFonts w:ascii="Arial" w:cs="Arial" w:eastAsia="Arial" w:hAnsi="Arial"/>
          <w:sz w:val="22"/>
          <w:szCs w:val="22"/>
          <w:color w:val="auto"/>
        </w:rPr>
        <w:t>voluntarily terminates employment or retires prior to the Qualifying Termination;</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03"/>
        </w:numPr>
        <w:rPr>
          <w:rFonts w:ascii="Arial" w:cs="Arial" w:eastAsia="Arial" w:hAnsi="Arial"/>
          <w:sz w:val="22"/>
          <w:szCs w:val="22"/>
          <w:color w:val="010000"/>
        </w:rPr>
      </w:pPr>
      <w:r>
        <w:rPr>
          <w:rFonts w:ascii="Arial" w:cs="Arial" w:eastAsia="Arial" w:hAnsi="Arial"/>
          <w:sz w:val="22"/>
          <w:szCs w:val="22"/>
          <w:color w:val="auto"/>
        </w:rPr>
        <w:t>is receiving long-term Disability benefits;</w:t>
      </w:r>
    </w:p>
    <w:p>
      <w:pPr>
        <w:spacing w:after="0" w:line="219" w:lineRule="exact"/>
        <w:rPr>
          <w:rFonts w:ascii="Arial" w:cs="Arial" w:eastAsia="Arial" w:hAnsi="Arial"/>
          <w:sz w:val="22"/>
          <w:szCs w:val="22"/>
          <w:color w:val="010000"/>
        </w:rPr>
      </w:pPr>
    </w:p>
    <w:p>
      <w:pPr>
        <w:ind w:left="1300" w:hanging="644"/>
        <w:spacing w:after="0" w:line="263" w:lineRule="auto"/>
        <w:tabs>
          <w:tab w:leader="none" w:pos="1300" w:val="left"/>
        </w:tabs>
        <w:numPr>
          <w:ilvl w:val="0"/>
          <w:numId w:val="203"/>
        </w:numPr>
        <w:rPr>
          <w:rFonts w:ascii="Arial" w:cs="Arial" w:eastAsia="Arial" w:hAnsi="Arial"/>
          <w:sz w:val="22"/>
          <w:szCs w:val="22"/>
          <w:color w:val="010000"/>
        </w:rPr>
      </w:pPr>
      <w:r>
        <w:rPr>
          <w:rFonts w:ascii="Arial" w:cs="Arial" w:eastAsia="Arial" w:hAnsi="Arial"/>
          <w:sz w:val="22"/>
          <w:szCs w:val="22"/>
          <w:color w:val="auto"/>
        </w:rPr>
        <w:t>is entitled to any other compensation or benefit which is determined, in the Company’s sole discretion, to supersede the Severance Benefits offered under this Plan;</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203"/>
        </w:numPr>
        <w:rPr>
          <w:rFonts w:ascii="Arial" w:cs="Arial" w:eastAsia="Arial" w:hAnsi="Arial"/>
          <w:sz w:val="22"/>
          <w:szCs w:val="22"/>
          <w:color w:val="010000"/>
        </w:rPr>
      </w:pPr>
      <w:r>
        <w:rPr>
          <w:rFonts w:ascii="Arial" w:cs="Arial" w:eastAsia="Arial" w:hAnsi="Arial"/>
          <w:sz w:val="22"/>
          <w:szCs w:val="22"/>
          <w:color w:val="auto"/>
        </w:rPr>
        <w:t>was discharged for Cause; and</w:t>
      </w:r>
    </w:p>
    <w:p>
      <w:pPr>
        <w:spacing w:after="0" w:line="219" w:lineRule="exact"/>
        <w:rPr>
          <w:rFonts w:ascii="Arial" w:cs="Arial" w:eastAsia="Arial" w:hAnsi="Arial"/>
          <w:sz w:val="22"/>
          <w:szCs w:val="22"/>
          <w:color w:val="010000"/>
        </w:rPr>
      </w:pPr>
    </w:p>
    <w:p>
      <w:pPr>
        <w:jc w:val="both"/>
        <w:ind w:left="1300" w:hanging="644"/>
        <w:spacing w:after="0" w:line="253" w:lineRule="auto"/>
        <w:tabs>
          <w:tab w:leader="none" w:pos="1300" w:val="left"/>
        </w:tabs>
        <w:numPr>
          <w:ilvl w:val="0"/>
          <w:numId w:val="203"/>
        </w:numPr>
        <w:rPr>
          <w:rFonts w:ascii="Arial" w:cs="Arial" w:eastAsia="Arial" w:hAnsi="Arial"/>
          <w:sz w:val="22"/>
          <w:szCs w:val="22"/>
          <w:color w:val="010000"/>
        </w:rPr>
      </w:pPr>
      <w:r>
        <w:rPr>
          <w:rFonts w:ascii="Arial" w:cs="Arial" w:eastAsia="Arial" w:hAnsi="Arial"/>
          <w:sz w:val="22"/>
          <w:szCs w:val="22"/>
          <w:color w:val="auto"/>
        </w:rPr>
        <w:t>was offered employment by a successor employer or by a purchaser in the event of a spin-off or sale of a subsidiary, business unit or business assets of the Company or its subsidiaries, whether or not the Executive accepts or declines the offer of employment.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5.</w:t>
      </w:r>
      <w:r>
        <w:rPr>
          <w:sz w:val="20"/>
          <w:szCs w:val="20"/>
          <w:color w:val="auto"/>
        </w:rPr>
        <w:tab/>
      </w:r>
      <w:r>
        <w:rPr>
          <w:rFonts w:ascii="Arial" w:cs="Arial" w:eastAsia="Arial" w:hAnsi="Arial"/>
          <w:sz w:val="19"/>
          <w:szCs w:val="19"/>
          <w:b w:val="1"/>
          <w:bCs w:val="1"/>
          <w:color w:val="auto"/>
        </w:rPr>
        <w:t>Restrictive Covenants</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In the event the Executive becomes entitled to receive Change-in-Control Severance Benefits as provided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herein or General Severance Benefits as provided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herein, the following shall apply:</w:t>
      </w:r>
    </w:p>
    <w:p>
      <w:pPr>
        <w:spacing w:after="0" w:line="169" w:lineRule="exact"/>
        <w:rPr>
          <w:sz w:val="20"/>
          <w:szCs w:val="20"/>
          <w:color w:val="auto"/>
        </w:rPr>
      </w:pPr>
    </w:p>
    <w:p>
      <w:pPr>
        <w:jc w:val="both"/>
        <w:ind w:left="1300" w:hanging="644"/>
        <w:spacing w:after="0" w:line="256" w:lineRule="auto"/>
        <w:tabs>
          <w:tab w:leader="none" w:pos="1367" w:val="left"/>
        </w:tabs>
        <w:numPr>
          <w:ilvl w:val="0"/>
          <w:numId w:val="204"/>
        </w:numPr>
        <w:rPr>
          <w:rFonts w:ascii="Arial" w:cs="Arial" w:eastAsia="Arial" w:hAnsi="Arial"/>
          <w:sz w:val="22"/>
          <w:szCs w:val="22"/>
          <w:color w:val="010000"/>
        </w:rPr>
      </w:pPr>
      <w:r>
        <w:rPr>
          <w:rFonts w:ascii="Arial" w:cs="Arial" w:eastAsia="Arial" w:hAnsi="Arial"/>
          <w:sz w:val="22"/>
          <w:szCs w:val="22"/>
          <w:b w:val="1"/>
          <w:bCs w:val="1"/>
          <w:color w:val="auto"/>
        </w:rPr>
        <w:t>Confidential Information</w:t>
      </w:r>
      <w:r>
        <w:rPr>
          <w:rFonts w:ascii="Arial" w:cs="Arial" w:eastAsia="Arial" w:hAnsi="Arial"/>
          <w:sz w:val="22"/>
          <w:szCs w:val="22"/>
          <w:color w:val="auto"/>
        </w:rPr>
        <w:t>. The Executive acknowledges that the information, observations, and data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trade secrets) obtained by him while employed by the Company concerning the business or affairs of the Company or any of 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25" w:name="page226"/>
    <w:bookmarkEnd w:id="225"/>
    <w:p>
      <w:pPr>
        <w:jc w:val="both"/>
        <w:ind w:left="644"/>
        <w:spacing w:after="0" w:line="286" w:lineRule="auto"/>
        <w:rPr>
          <w:sz w:val="20"/>
          <w:szCs w:val="20"/>
          <w:color w:val="auto"/>
        </w:rPr>
      </w:pPr>
      <w:r>
        <w:rPr>
          <w:rFonts w:ascii="Arial" w:cs="Arial" w:eastAsia="Arial" w:hAnsi="Arial"/>
          <w:sz w:val="19"/>
          <w:szCs w:val="19"/>
          <w:color w:val="auto"/>
        </w:rPr>
        <w:t>affiliates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 in the possession of the Company and its affiliates (“</w:t>
      </w:r>
      <w:r>
        <w:rPr>
          <w:rFonts w:ascii="Arial" w:cs="Arial" w:eastAsia="Arial" w:hAnsi="Arial"/>
          <w:sz w:val="19"/>
          <w:szCs w:val="19"/>
          <w:u w:val="single" w:color="auto"/>
          <w:color w:val="auto"/>
        </w:rPr>
        <w:t>Third Party Information</w:t>
      </w:r>
      <w:r>
        <w:rPr>
          <w:rFonts w:ascii="Arial" w:cs="Arial" w:eastAsia="Arial" w:hAnsi="Arial"/>
          <w:sz w:val="19"/>
          <w:szCs w:val="19"/>
          <w:color w:val="auto"/>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152" w:lineRule="exact"/>
        <w:rPr>
          <w:sz w:val="20"/>
          <w:szCs w:val="20"/>
          <w:color w:val="auto"/>
        </w:rPr>
      </w:pPr>
    </w:p>
    <w:p>
      <w:pPr>
        <w:jc w:val="both"/>
        <w:ind w:left="644" w:hanging="644"/>
        <w:spacing w:after="0" w:line="286" w:lineRule="auto"/>
        <w:tabs>
          <w:tab w:leader="none" w:pos="644" w:val="left"/>
        </w:tabs>
        <w:numPr>
          <w:ilvl w:val="0"/>
          <w:numId w:val="205"/>
        </w:numPr>
        <w:rPr>
          <w:rFonts w:ascii="Arial" w:cs="Arial" w:eastAsia="Arial" w:hAnsi="Arial"/>
          <w:sz w:val="19"/>
          <w:szCs w:val="19"/>
          <w:color w:val="010000"/>
        </w:rPr>
      </w:pPr>
      <w:r>
        <w:rPr>
          <w:rFonts w:ascii="Arial" w:cs="Arial" w:eastAsia="Arial" w:hAnsi="Arial"/>
          <w:sz w:val="19"/>
          <w:szCs w:val="19"/>
          <w:b w:val="1"/>
          <w:bCs w:val="1"/>
          <w:color w:val="auto"/>
        </w:rPr>
        <w:t>Intellectual Property, Inventions, and Patents</w:t>
      </w:r>
      <w:r>
        <w:rPr>
          <w:rFonts w:ascii="Arial" w:cs="Arial" w:eastAsia="Arial" w:hAnsi="Arial"/>
          <w:sz w:val="19"/>
          <w:szCs w:val="19"/>
          <w:color w:val="auto"/>
        </w:rPr>
        <w:t>. The Executive acknowledges that all discoveries, concepts,</w:t>
      </w:r>
      <w:r>
        <w:rPr>
          <w:rFonts w:ascii="Arial" w:cs="Arial" w:eastAsia="Arial" w:hAnsi="Arial"/>
          <w:sz w:val="19"/>
          <w:szCs w:val="19"/>
          <w:b w:val="1"/>
          <w:bCs w:val="1"/>
          <w:color w:val="auto"/>
        </w:rPr>
        <w:t xml:space="preserve"> </w:t>
      </w:r>
      <w:r>
        <w:rPr>
          <w:rFonts w:ascii="Arial" w:cs="Arial" w:eastAsia="Arial" w:hAnsi="Arial"/>
          <w:sz w:val="19"/>
          <w:szCs w:val="19"/>
          <w:color w:val="auto"/>
        </w:rPr>
        <w:t>ideas, inventions, innovations, improvements, developments, methods, 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 (whether alone or jointly with others) while employed by the Company and its affiliates (“</w:t>
      </w:r>
      <w:r>
        <w:rPr>
          <w:rFonts w:ascii="Arial" w:cs="Arial" w:eastAsia="Arial" w:hAnsi="Arial"/>
          <w:sz w:val="19"/>
          <w:szCs w:val="19"/>
          <w:u w:val="single" w:color="auto"/>
          <w:color w:val="auto"/>
        </w:rPr>
        <w:t>Work Product</w:t>
      </w:r>
      <w:r>
        <w:rPr>
          <w:rFonts w:ascii="Arial" w:cs="Arial" w:eastAsia="Arial" w:hAnsi="Arial"/>
          <w:sz w:val="19"/>
          <w:szCs w:val="19"/>
          <w:color w:val="auto"/>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6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4"/>
          </w:cols>
          <w:pgMar w:left="976" w:top="1428" w:right="339" w:bottom="1440" w:gutter="0" w:footer="0" w:header="0"/>
        </w:sectPr>
      </w:pPr>
    </w:p>
    <w:bookmarkStart w:id="226" w:name="page227"/>
    <w:bookmarkEnd w:id="226"/>
    <w:p>
      <w:pPr>
        <w:jc w:val="both"/>
        <w:ind w:left="644"/>
        <w:spacing w:after="0" w:line="261" w:lineRule="auto"/>
        <w:rPr>
          <w:sz w:val="20"/>
          <w:szCs w:val="20"/>
          <w:color w:val="auto"/>
        </w:rPr>
      </w:pPr>
      <w:r>
        <w:rPr>
          <w:rFonts w:ascii="Arial" w:cs="Arial" w:eastAsia="Arial" w:hAnsi="Arial"/>
          <w:sz w:val="21"/>
          <w:szCs w:val="21"/>
          <w:color w:val="auto"/>
        </w:rPr>
        <w:t>The Executive is hereby advised that the above paragraph regarding the Company’s and its affiliates’ ownership of Work Product does not apply to any invention for which no equipment, supplies, 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 or development, or (ii) the invention results from any work performed by the Executive for the Company or any affiliate.</w:t>
      </w:r>
    </w:p>
    <w:p>
      <w:pPr>
        <w:spacing w:after="0" w:line="173" w:lineRule="exact"/>
        <w:rPr>
          <w:sz w:val="20"/>
          <w:szCs w:val="20"/>
          <w:color w:val="auto"/>
        </w:rPr>
      </w:pPr>
    </w:p>
    <w:p>
      <w:pPr>
        <w:jc w:val="both"/>
        <w:ind w:left="644" w:hanging="644"/>
        <w:spacing w:after="0" w:line="285" w:lineRule="auto"/>
        <w:tabs>
          <w:tab w:leader="none" w:pos="644" w:val="left"/>
        </w:tabs>
        <w:numPr>
          <w:ilvl w:val="0"/>
          <w:numId w:val="206"/>
        </w:numPr>
        <w:rPr>
          <w:rFonts w:ascii="Arial" w:cs="Arial" w:eastAsia="Arial" w:hAnsi="Arial"/>
          <w:sz w:val="19"/>
          <w:szCs w:val="19"/>
          <w:color w:val="010000"/>
        </w:rPr>
      </w:pPr>
      <w:r>
        <w:rPr>
          <w:rFonts w:ascii="Arial" w:cs="Arial" w:eastAsia="Arial" w:hAnsi="Arial"/>
          <w:sz w:val="19"/>
          <w:szCs w:val="19"/>
          <w:b w:val="1"/>
          <w:bCs w:val="1"/>
          <w:color w:val="auto"/>
        </w:rPr>
        <w:t>Noncompete</w:t>
      </w:r>
      <w:r>
        <w:rPr>
          <w:rFonts w:ascii="Arial" w:cs="Arial" w:eastAsia="Arial" w:hAnsi="Arial"/>
          <w:sz w:val="19"/>
          <w:szCs w:val="19"/>
          <w:color w:val="auto"/>
        </w:rPr>
        <w:t>. In further consideration of the compensation to be paid to the Executive hereunder,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that during the course of his employment with the Company and its affiliates he shall become familiar with the Company’s trade secrets and with other Confidential Information concerning the Company and its affiliates and that his services shall be of special, unique, and extraordinary value to the Company and its affiliates, and therefore, the Executive agrees that, during the Executive’s employment with the Company and for one (1) year thereafter (the “</w:t>
      </w:r>
      <w:r>
        <w:rPr>
          <w:rFonts w:ascii="Arial" w:cs="Arial" w:eastAsia="Arial" w:hAnsi="Arial"/>
          <w:sz w:val="19"/>
          <w:szCs w:val="19"/>
          <w:u w:val="single" w:color="auto"/>
          <w:color w:val="auto"/>
        </w:rPr>
        <w:t>Noncompete Period</w:t>
      </w:r>
      <w:r>
        <w:rPr>
          <w:rFonts w:ascii="Arial" w:cs="Arial" w:eastAsia="Arial" w:hAnsi="Arial"/>
          <w:sz w:val="19"/>
          <w:szCs w:val="19"/>
          <w:color w:val="auto"/>
        </w:rPr>
        <w:t xml:space="preserve">”), the Executive shall not directly or indirectly own any interest in, manage, control, participate in, consult with, render services for, be employed in an executive, managerial, or administrative capacity by, or in any manner engage in any company engaged in the business of wholesale or retail power generation, or any other business which competes with the businesses of the Company or its affiliates, as such businesses exist or are in process during the Executive’s employment with the Company, within any geographical area in which the Company or its affiliates engage or have definitive plans to engage in such businesses. Nothing herein shall prohibit the Executive from being a passive owner of not more than two percent (2%) of the outstanding stock of any class of a corporation which is publicly traded, so long as the Executive has no active participation in the business of such corporation. Notwithstanding the foregoing, the provisions of this </w:t>
      </w:r>
      <w:r>
        <w:rPr>
          <w:rFonts w:ascii="Arial" w:cs="Arial" w:eastAsia="Arial" w:hAnsi="Arial"/>
          <w:sz w:val="19"/>
          <w:szCs w:val="19"/>
          <w:u w:val="single" w:color="auto"/>
          <w:color w:val="auto"/>
        </w:rPr>
        <w:t>Article 5(c)</w:t>
      </w:r>
      <w:r>
        <w:rPr>
          <w:rFonts w:ascii="Arial" w:cs="Arial" w:eastAsia="Arial" w:hAnsi="Arial"/>
          <w:sz w:val="19"/>
          <w:szCs w:val="19"/>
          <w:color w:val="auto"/>
        </w:rPr>
        <w:t xml:space="preserve"> shall not apply in the case of termination of the Executive’s employment pursuant to any material breach of the Company’s obligations under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which remains uncured for more than twenty (20) days after notice is received from the Executive of such breach, which such notice shall include a detailed description of the grounds constituting such breach.</w:t>
      </w:r>
    </w:p>
    <w:p>
      <w:pPr>
        <w:spacing w:after="0" w:line="200" w:lineRule="exact"/>
        <w:rPr>
          <w:rFonts w:ascii="Arial" w:cs="Arial" w:eastAsia="Arial" w:hAnsi="Arial"/>
          <w:sz w:val="19"/>
          <w:szCs w:val="19"/>
          <w:color w:val="010000"/>
        </w:rPr>
      </w:pPr>
    </w:p>
    <w:p>
      <w:pPr>
        <w:spacing w:after="0" w:line="222" w:lineRule="exact"/>
        <w:rPr>
          <w:rFonts w:ascii="Arial" w:cs="Arial" w:eastAsia="Arial" w:hAnsi="Arial"/>
          <w:sz w:val="19"/>
          <w:szCs w:val="19"/>
          <w:color w:val="010000"/>
        </w:rPr>
      </w:pPr>
    </w:p>
    <w:p>
      <w:pPr>
        <w:jc w:val="both"/>
        <w:ind w:left="644" w:hanging="644"/>
        <w:spacing w:after="0" w:line="291" w:lineRule="auto"/>
        <w:tabs>
          <w:tab w:leader="none" w:pos="644" w:val="left"/>
        </w:tabs>
        <w:numPr>
          <w:ilvl w:val="0"/>
          <w:numId w:val="206"/>
        </w:numPr>
        <w:rPr>
          <w:rFonts w:ascii="Arial" w:cs="Arial" w:eastAsia="Arial" w:hAnsi="Arial"/>
          <w:sz w:val="19"/>
          <w:szCs w:val="19"/>
          <w:color w:val="010000"/>
        </w:rPr>
      </w:pPr>
      <w:r>
        <w:rPr>
          <w:rFonts w:ascii="Arial" w:cs="Arial" w:eastAsia="Arial" w:hAnsi="Arial"/>
          <w:sz w:val="19"/>
          <w:szCs w:val="19"/>
          <w:b w:val="1"/>
          <w:bCs w:val="1"/>
          <w:color w:val="auto"/>
        </w:rPr>
        <w:t>Nonsolicitation</w:t>
      </w:r>
      <w:r>
        <w:rPr>
          <w:rFonts w:ascii="Arial" w:cs="Arial" w:eastAsia="Arial" w:hAnsi="Arial"/>
          <w:sz w:val="19"/>
          <w:szCs w:val="19"/>
          <w:color w:val="auto"/>
        </w:rPr>
        <w:t>. During the Noncompete Period, the Executive shall not directly or indirectly through another</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entity: (i) induce or attempt to induce any employee of the Company or any of its affiliates to leave the 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w:t>
      </w:r>
    </w:p>
    <w:p>
      <w:pPr>
        <w:spacing w:after="0" w:line="200" w:lineRule="exact"/>
        <w:rPr>
          <w:sz w:val="20"/>
          <w:szCs w:val="20"/>
          <w:color w:val="auto"/>
        </w:rPr>
      </w:pPr>
    </w:p>
    <w:p>
      <w:pPr>
        <w:spacing w:after="0" w:line="400" w:lineRule="exact"/>
        <w:rPr>
          <w:sz w:val="20"/>
          <w:szCs w:val="20"/>
          <w:color w:val="auto"/>
        </w:rPr>
      </w:pPr>
    </w:p>
    <w:p>
      <w:pPr>
        <w:ind w:left="4764"/>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4"/>
          </w:cols>
          <w:pgMar w:left="976" w:top="1428" w:right="339" w:bottom="1440" w:gutter="0" w:footer="0" w:header="0"/>
        </w:sectPr>
      </w:pPr>
    </w:p>
    <w:bookmarkStart w:id="227" w:name="page228"/>
    <w:bookmarkEnd w:id="227"/>
    <w:p>
      <w:pPr>
        <w:ind w:left="644" w:right="20"/>
        <w:spacing w:after="0" w:line="263" w:lineRule="auto"/>
        <w:rPr>
          <w:sz w:val="20"/>
          <w:szCs w:val="20"/>
          <w:color w:val="auto"/>
        </w:rPr>
      </w:pPr>
      <w:r>
        <w:rPr>
          <w:rFonts w:ascii="Arial" w:cs="Arial" w:eastAsia="Arial" w:hAnsi="Arial"/>
          <w:sz w:val="22"/>
          <w:szCs w:val="22"/>
          <w:color w:val="auto"/>
        </w:rPr>
        <w:t>affiliate (including, without limitation, making any negative or disparaging statements or communications regarding the Company or its affiliates).</w:t>
      </w:r>
    </w:p>
    <w:p>
      <w:pPr>
        <w:spacing w:after="0" w:line="169" w:lineRule="exact"/>
        <w:rPr>
          <w:sz w:val="20"/>
          <w:szCs w:val="20"/>
          <w:color w:val="auto"/>
        </w:rPr>
      </w:pPr>
    </w:p>
    <w:p>
      <w:pPr>
        <w:jc w:val="both"/>
        <w:ind w:left="644" w:hanging="644"/>
        <w:spacing w:after="0" w:line="286" w:lineRule="auto"/>
        <w:tabs>
          <w:tab w:leader="none" w:pos="644" w:val="left"/>
        </w:tabs>
        <w:numPr>
          <w:ilvl w:val="0"/>
          <w:numId w:val="207"/>
        </w:numPr>
        <w:rPr>
          <w:rFonts w:ascii="Arial" w:cs="Arial" w:eastAsia="Arial" w:hAnsi="Arial"/>
          <w:sz w:val="19"/>
          <w:szCs w:val="19"/>
          <w:color w:val="010000"/>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During the Noncompete Period, Executive shall not disparage the Company, its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parents, and their respective officers, managers and employees, or make any public statement (whether 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 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Noncompete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 </w:t>
      </w:r>
      <w:r>
        <w:rPr>
          <w:rFonts w:ascii="Arial" w:cs="Arial" w:eastAsia="Arial" w:hAnsi="Arial"/>
          <w:sz w:val="19"/>
          <w:szCs w:val="19"/>
          <w:u w:val="single" w:color="auto"/>
          <w:color w:val="auto"/>
        </w:rPr>
        <w:t>Article 5(e)</w:t>
      </w:r>
      <w:r>
        <w:rPr>
          <w:rFonts w:ascii="Arial" w:cs="Arial" w:eastAsia="Arial" w:hAnsi="Arial"/>
          <w:sz w:val="19"/>
          <w:szCs w:val="19"/>
          <w:color w:val="auto"/>
        </w:rPr>
        <w:t xml:space="preserve"> shall restrict either party's ability to: (i) consult with counsel, (ii) make truthful statements under oath or to a government agency or official, or (iii) take any legal action with respect to his employment or termination of employment with the Company.</w:t>
      </w:r>
    </w:p>
    <w:p>
      <w:pPr>
        <w:spacing w:after="0" w:line="161" w:lineRule="exact"/>
        <w:rPr>
          <w:rFonts w:ascii="Arial" w:cs="Arial" w:eastAsia="Arial" w:hAnsi="Arial"/>
          <w:sz w:val="19"/>
          <w:szCs w:val="19"/>
          <w:color w:val="010000"/>
        </w:rPr>
      </w:pPr>
    </w:p>
    <w:p>
      <w:pPr>
        <w:jc w:val="both"/>
        <w:ind w:left="644" w:hanging="644"/>
        <w:spacing w:after="0" w:line="295" w:lineRule="auto"/>
        <w:tabs>
          <w:tab w:leader="none" w:pos="644" w:val="left"/>
        </w:tabs>
        <w:numPr>
          <w:ilvl w:val="0"/>
          <w:numId w:val="207"/>
        </w:numPr>
        <w:rPr>
          <w:rFonts w:ascii="Arial" w:cs="Arial" w:eastAsia="Arial" w:hAnsi="Arial"/>
          <w:sz w:val="19"/>
          <w:szCs w:val="19"/>
          <w:color w:val="010000"/>
        </w:rPr>
      </w:pPr>
      <w:r>
        <w:rPr>
          <w:rFonts w:ascii="Arial" w:cs="Arial" w:eastAsia="Arial" w:hAnsi="Arial"/>
          <w:sz w:val="19"/>
          <w:szCs w:val="19"/>
          <w:b w:val="1"/>
          <w:bCs w:val="1"/>
          <w:color w:val="auto"/>
        </w:rPr>
        <w:t>Duration, Scope, or Area</w:t>
      </w:r>
      <w:r>
        <w:rPr>
          <w:rFonts w:ascii="Arial" w:cs="Arial" w:eastAsia="Arial" w:hAnsi="Arial"/>
          <w:sz w:val="19"/>
          <w:szCs w:val="19"/>
          <w:color w:val="auto"/>
        </w:rPr>
        <w:t>. If, at the time of enforcement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5</w:t>
      </w:r>
      <w:r>
        <w:rPr>
          <w:rFonts w:ascii="Arial" w:cs="Arial" w:eastAsia="Arial" w:hAnsi="Arial"/>
          <w:sz w:val="19"/>
          <w:szCs w:val="19"/>
          <w:color w:val="auto"/>
        </w:rPr>
        <w:t>, a court shall hold that the duration,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5(d)</w:t>
      </w:r>
      <w:r>
        <w:rPr>
          <w:rFonts w:ascii="Arial" w:cs="Arial" w:eastAsia="Arial" w:hAnsi="Arial"/>
          <w:sz w:val="19"/>
          <w:szCs w:val="19"/>
          <w:color w:val="auto"/>
        </w:rPr>
        <w:t xml:space="preserve"> shall not apply to any Executive whose principal work location for the Company at the time of termination was in the State of California.</w:t>
      </w:r>
    </w:p>
    <w:p>
      <w:pPr>
        <w:spacing w:after="0" w:line="143" w:lineRule="exact"/>
        <w:rPr>
          <w:rFonts w:ascii="Arial" w:cs="Arial" w:eastAsia="Arial" w:hAnsi="Arial"/>
          <w:sz w:val="19"/>
          <w:szCs w:val="19"/>
          <w:color w:val="010000"/>
        </w:rPr>
      </w:pPr>
    </w:p>
    <w:p>
      <w:pPr>
        <w:jc w:val="both"/>
        <w:ind w:left="644" w:hanging="644"/>
        <w:spacing w:after="0" w:line="293" w:lineRule="auto"/>
        <w:tabs>
          <w:tab w:leader="none" w:pos="644" w:val="left"/>
        </w:tabs>
        <w:numPr>
          <w:ilvl w:val="0"/>
          <w:numId w:val="207"/>
        </w:numPr>
        <w:rPr>
          <w:rFonts w:ascii="Arial" w:cs="Arial" w:eastAsia="Arial" w:hAnsi="Arial"/>
          <w:sz w:val="19"/>
          <w:szCs w:val="19"/>
          <w:color w:val="010000"/>
        </w:rPr>
      </w:pPr>
      <w:r>
        <w:rPr>
          <w:rFonts w:ascii="Arial" w:cs="Arial" w:eastAsia="Arial" w:hAnsi="Arial"/>
          <w:sz w:val="19"/>
          <w:szCs w:val="19"/>
          <w:b w:val="1"/>
          <w:bCs w:val="1"/>
          <w:color w:val="auto"/>
        </w:rPr>
        <w:t>Company Enforcement</w:t>
      </w:r>
      <w:r>
        <w:rPr>
          <w:rFonts w:ascii="Arial" w:cs="Arial" w:eastAsia="Arial" w:hAnsi="Arial"/>
          <w:sz w:val="19"/>
          <w:szCs w:val="19"/>
          <w:color w:val="auto"/>
        </w:rPr>
        <w:t>. In the event of a breach or a threatened breach by the Executive of any of the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the Company would suffer irreparable harm, and in addition and 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the Executive of </w:t>
      </w:r>
      <w:r>
        <w:rPr>
          <w:rFonts w:ascii="Arial" w:cs="Arial" w:eastAsia="Arial" w:hAnsi="Arial"/>
          <w:sz w:val="19"/>
          <w:szCs w:val="19"/>
          <w:u w:val="single" w:color="auto"/>
          <w:color w:val="auto"/>
        </w:rPr>
        <w:t>Section 5(c)</w:t>
      </w:r>
      <w:r>
        <w:rPr>
          <w:rFonts w:ascii="Arial" w:cs="Arial" w:eastAsia="Arial" w:hAnsi="Arial"/>
          <w:sz w:val="19"/>
          <w:szCs w:val="19"/>
          <w:color w:val="auto"/>
        </w:rPr>
        <w:t>, the Noncompete Period shall be automatically extended by the amount of time between the initial occurrence of the breach or violation and when such breach or violation has been duly cured.</w:t>
      </w:r>
    </w:p>
    <w:p>
      <w:pPr>
        <w:spacing w:after="0" w:line="200" w:lineRule="exact"/>
        <w:rPr>
          <w:sz w:val="20"/>
          <w:szCs w:val="20"/>
          <w:color w:val="auto"/>
        </w:rPr>
      </w:pPr>
    </w:p>
    <w:p>
      <w:pPr>
        <w:spacing w:after="0" w:line="396" w:lineRule="exact"/>
        <w:rPr>
          <w:sz w:val="20"/>
          <w:szCs w:val="20"/>
          <w:color w:val="auto"/>
        </w:rPr>
      </w:pPr>
    </w:p>
    <w:p>
      <w:pPr>
        <w:ind w:left="476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4"/>
          </w:cols>
          <w:pgMar w:left="976" w:top="1428" w:right="339" w:bottom="1440" w:gutter="0" w:footer="0" w:header="0"/>
        </w:sectPr>
      </w:pPr>
    </w:p>
    <w:bookmarkStart w:id="228" w:name="page229"/>
    <w:bookmarkEnd w:id="228"/>
    <w:p>
      <w:pPr>
        <w:spacing w:after="0"/>
        <w:tabs>
          <w:tab w:leader="none" w:pos="1280" w:val="left"/>
        </w:tabs>
        <w:rPr>
          <w:sz w:val="20"/>
          <w:szCs w:val="20"/>
          <w:color w:val="auto"/>
        </w:rPr>
      </w:pPr>
      <w:r>
        <w:rPr>
          <w:rFonts w:ascii="Arial" w:cs="Arial" w:eastAsia="Arial" w:hAnsi="Arial"/>
          <w:sz w:val="22"/>
          <w:szCs w:val="22"/>
          <w:b w:val="1"/>
          <w:bCs w:val="1"/>
          <w:color w:val="010000"/>
        </w:rPr>
        <w:t>Article 6.</w:t>
      </w:r>
      <w:r>
        <w:rPr>
          <w:sz w:val="20"/>
          <w:szCs w:val="20"/>
          <w:color w:val="auto"/>
        </w:rPr>
        <w:tab/>
      </w:r>
      <w:r>
        <w:rPr>
          <w:rFonts w:ascii="Arial" w:cs="Arial" w:eastAsia="Arial" w:hAnsi="Arial"/>
          <w:sz w:val="19"/>
          <w:szCs w:val="19"/>
          <w:b w:val="1"/>
          <w:bCs w:val="1"/>
          <w:color w:val="auto"/>
        </w:rPr>
        <w:t>Certain Change in Control Payments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Notwithstanding any provision of the Plan to the contrary, if any payments or benefits an Executive would receive from the Company under the Plan or otherwise in connection with the Change in Control (the “</w:t>
      </w:r>
      <w:r>
        <w:rPr>
          <w:rFonts w:ascii="Arial" w:cs="Arial" w:eastAsia="Arial" w:hAnsi="Arial"/>
          <w:sz w:val="19"/>
          <w:szCs w:val="19"/>
          <w:u w:val="single" w:color="auto"/>
          <w:color w:val="auto"/>
        </w:rPr>
        <w:t>Total Payments</w:t>
      </w:r>
      <w:r>
        <w:rPr>
          <w:rFonts w:ascii="Arial" w:cs="Arial" w:eastAsia="Arial" w:hAnsi="Arial"/>
          <w:sz w:val="19"/>
          <w:szCs w:val="19"/>
          <w:color w:val="auto"/>
        </w:rPr>
        <w:t xml:space="preserve">”) (a) constitute “parachute payments” within the meaning of Code Section 280G, and (b) but for this </w:t>
      </w:r>
      <w:r>
        <w:rPr>
          <w:rFonts w:ascii="Arial" w:cs="Arial" w:eastAsia="Arial" w:hAnsi="Arial"/>
          <w:sz w:val="19"/>
          <w:szCs w:val="19"/>
          <w:u w:val="single" w:color="auto"/>
          <w:color w:val="auto"/>
        </w:rPr>
        <w:t>Article 6</w:t>
      </w:r>
      <w:r>
        <w:rPr>
          <w:rFonts w:ascii="Arial" w:cs="Arial" w:eastAsia="Arial" w:hAnsi="Arial"/>
          <w:sz w:val="19"/>
          <w:szCs w:val="19"/>
          <w:color w:val="auto"/>
        </w:rPr>
        <w:t>, would be subject to the excise tax imposed by Code Section 4999, then such Executive will be entitled to receive either (i) the full amount of the Total Payments or</w:t>
      </w:r>
    </w:p>
    <w:p>
      <w:pPr>
        <w:spacing w:after="0" w:line="3" w:lineRule="exact"/>
        <w:rPr>
          <w:sz w:val="20"/>
          <w:szCs w:val="20"/>
          <w:color w:val="auto"/>
        </w:rPr>
      </w:pPr>
    </w:p>
    <w:p>
      <w:pPr>
        <w:jc w:val="both"/>
        <w:ind w:firstLine="8"/>
        <w:spacing w:after="0" w:line="284" w:lineRule="auto"/>
        <w:tabs>
          <w:tab w:leader="none" w:pos="34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a portion of the Total Payments having a value equal to One Dollar ($1) less than three (3) times such individual’s “base amount” (as such term is defined in Code Section 280G(b)(3)(A)), whichever of (i) and (ii), after taking into account applicable federal, state, and local income taxes and the excise tax imposed by Code Section 4999, results in the receipt by such employee on an after-tax basis, of the greatest portion of the Total Payments. Any determination required under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shall be made in writing by the Company’s independent certified public accountants appointed prior to any change in ownership (as defined under Code Section 280G(b)(2)) or tax counsel selected by such accountants (the “</w:t>
      </w:r>
      <w:r>
        <w:rPr>
          <w:rFonts w:ascii="Arial" w:cs="Arial" w:eastAsia="Arial" w:hAnsi="Arial"/>
          <w:sz w:val="19"/>
          <w:szCs w:val="19"/>
          <w:u w:val="single" w:color="auto"/>
          <w:color w:val="auto"/>
        </w:rPr>
        <w:t>Accountants</w:t>
      </w:r>
      <w:r>
        <w:rPr>
          <w:rFonts w:ascii="Arial" w:cs="Arial" w:eastAsia="Arial" w:hAnsi="Arial"/>
          <w:sz w:val="19"/>
          <w:szCs w:val="19"/>
          <w:color w:val="auto"/>
        </w:rPr>
        <w:t xml:space="preserve">”), whose determination shall be conclusive and binding for all purposes upon the applicable Executive. For purposes of making the calculations required by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the Accountants may make reasonable assumptions and approximations concerning applicable taxes and may rely on reasonable, good-faith interpretations concerning the application of Code Sections 280G and 4999. If there is a reduction pursuant to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Arial" w:cs="Arial" w:eastAsia="Arial" w:hAnsi="Arial"/>
          <w:sz w:val="19"/>
          <w:szCs w:val="19"/>
          <w:u w:val="single" w:color="auto"/>
          <w:color w:val="auto"/>
        </w:rPr>
        <w:t>Parachute Payment Ratio</w:t>
      </w:r>
      <w:r>
        <w:rPr>
          <w:rFonts w:ascii="Arial" w:cs="Arial" w:eastAsia="Arial" w:hAnsi="Arial"/>
          <w:sz w:val="19"/>
          <w:szCs w:val="19"/>
          <w:color w:val="auto"/>
        </w:rPr>
        <w:t>” shall mean a fraction the numerator of which is the value of the applicable “parachute payment” for purposes of Code Section 280G and the denominator of which is the actual present value of such payment.</w:t>
      </w:r>
    </w:p>
    <w:p>
      <w:pPr>
        <w:spacing w:after="0" w:line="200" w:lineRule="exact"/>
        <w:rPr>
          <w:sz w:val="20"/>
          <w:szCs w:val="20"/>
          <w:color w:val="auto"/>
        </w:rPr>
      </w:pP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7.</w:t>
      </w:r>
      <w:r>
        <w:rPr>
          <w:sz w:val="20"/>
          <w:szCs w:val="20"/>
          <w:color w:val="auto"/>
        </w:rPr>
        <w:tab/>
      </w:r>
      <w:r>
        <w:rPr>
          <w:rFonts w:ascii="Arial" w:cs="Arial" w:eastAsia="Arial" w:hAnsi="Arial"/>
          <w:sz w:val="19"/>
          <w:szCs w:val="19"/>
          <w:b w:val="1"/>
          <w:bCs w:val="1"/>
          <w:color w:val="auto"/>
        </w:rPr>
        <w:t>Legal Fees and Notice</w:t>
      </w:r>
    </w:p>
    <w:p>
      <w:pPr>
        <w:spacing w:after="0" w:line="220" w:lineRule="exact"/>
        <w:rPr>
          <w:sz w:val="20"/>
          <w:szCs w:val="20"/>
          <w:color w:val="auto"/>
        </w:rPr>
      </w:pPr>
    </w:p>
    <w:p>
      <w:pPr>
        <w:ind w:left="1080" w:hanging="424"/>
        <w:spacing w:after="0"/>
        <w:tabs>
          <w:tab w:leader="none" w:pos="1080" w:val="left"/>
        </w:tabs>
        <w:numPr>
          <w:ilvl w:val="0"/>
          <w:numId w:val="209"/>
        </w:numPr>
        <w:rPr>
          <w:rFonts w:ascii="Arial" w:cs="Arial" w:eastAsia="Arial" w:hAnsi="Arial"/>
          <w:sz w:val="22"/>
          <w:szCs w:val="22"/>
          <w:b w:val="1"/>
          <w:bCs w:val="1"/>
          <w:color w:val="010000"/>
        </w:rPr>
      </w:pPr>
      <w:r>
        <w:rPr>
          <w:rFonts w:ascii="Arial" w:cs="Arial" w:eastAsia="Arial" w:hAnsi="Arial"/>
          <w:sz w:val="22"/>
          <w:szCs w:val="22"/>
          <w:b w:val="1"/>
          <w:bCs w:val="1"/>
          <w:color w:val="auto"/>
        </w:rPr>
        <w:t>Payment of Legal Fees</w:t>
      </w:r>
    </w:p>
    <w:p>
      <w:pPr>
        <w:spacing w:after="0" w:line="226" w:lineRule="exact"/>
        <w:rPr>
          <w:sz w:val="20"/>
          <w:szCs w:val="20"/>
          <w:color w:val="auto"/>
        </w:rPr>
      </w:pPr>
    </w:p>
    <w:p>
      <w:pPr>
        <w:jc w:val="both"/>
        <w:ind w:firstLine="656"/>
        <w:spacing w:after="0" w:line="248" w:lineRule="auto"/>
        <w:tabs>
          <w:tab w:leader="none" w:pos="783" w:val="left"/>
        </w:tabs>
        <w:numPr>
          <w:ilvl w:val="0"/>
          <w:numId w:val="210"/>
        </w:numPr>
        <w:rPr>
          <w:rFonts w:ascii="Arial" w:cs="Arial" w:eastAsia="Arial" w:hAnsi="Arial"/>
          <w:sz w:val="22"/>
          <w:szCs w:val="22"/>
          <w:color w:val="auto"/>
        </w:rPr>
      </w:pPr>
      <w:r>
        <w:rPr>
          <w:rFonts w:ascii="Arial" w:cs="Arial" w:eastAsia="Arial" w:hAnsi="Arial"/>
          <w:sz w:val="22"/>
          <w:szCs w:val="22"/>
          <w:color w:val="auto"/>
        </w:rPr>
        <w:t>Except as otherwise agreed to by the parties, the Company shall pay the Executive for costs of litigation or other disputes including, without limitation, reasonable attorneys’ fees incurred by the 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2" w:right="339" w:bottom="1440" w:gutter="0" w:footer="0" w:header="0"/>
        </w:sectPr>
      </w:pPr>
    </w:p>
    <w:bookmarkStart w:id="229" w:name="page230"/>
    <w:bookmarkEnd w:id="229"/>
    <w:p>
      <w:pPr>
        <w:ind w:left="1080" w:hanging="424"/>
        <w:spacing w:after="0"/>
        <w:tabs>
          <w:tab w:leader="none" w:pos="1080" w:val="left"/>
        </w:tabs>
        <w:numPr>
          <w:ilvl w:val="0"/>
          <w:numId w:val="211"/>
        </w:numPr>
        <w:rPr>
          <w:rFonts w:ascii="Arial" w:cs="Arial" w:eastAsia="Arial" w:hAnsi="Arial"/>
          <w:sz w:val="22"/>
          <w:szCs w:val="22"/>
          <w:b w:val="1"/>
          <w:bCs w:val="1"/>
          <w:color w:val="010000"/>
        </w:rPr>
      </w:pPr>
      <w:r>
        <w:rPr>
          <w:rFonts w:ascii="Arial" w:cs="Arial" w:eastAsia="Arial" w:hAnsi="Arial"/>
          <w:sz w:val="22"/>
          <w:szCs w:val="22"/>
          <w:b w:val="1"/>
          <w:bCs w:val="1"/>
          <w:color w:val="auto"/>
        </w:rPr>
        <w:t>Notice</w:t>
      </w:r>
    </w:p>
    <w:p>
      <w:pPr>
        <w:spacing w:after="0" w:line="226" w:lineRule="exact"/>
        <w:rPr>
          <w:sz w:val="20"/>
          <w:szCs w:val="20"/>
          <w:color w:val="auto"/>
        </w:rPr>
      </w:pPr>
    </w:p>
    <w:p>
      <w:pPr>
        <w:jc w:val="both"/>
        <w:ind w:firstLine="656"/>
        <w:spacing w:after="0" w:line="253" w:lineRule="auto"/>
        <w:tabs>
          <w:tab w:leader="none" w:pos="75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notices, requests, demands, or other communications provided for by this Plan shall be sufficient if in writing and if sent by registered or certified mail to the Executive at the last address he or she has filed in writing with the Company or, in the case of the Company, at its principal offices.</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8.</w:t>
      </w:r>
      <w:r>
        <w:rPr>
          <w:sz w:val="20"/>
          <w:szCs w:val="20"/>
          <w:color w:val="auto"/>
        </w:rPr>
        <w:tab/>
      </w:r>
      <w:r>
        <w:rPr>
          <w:rFonts w:ascii="Arial" w:cs="Arial" w:eastAsia="Arial" w:hAnsi="Arial"/>
          <w:sz w:val="18"/>
          <w:szCs w:val="18"/>
          <w:b w:val="1"/>
          <w:bCs w:val="1"/>
          <w:color w:val="auto"/>
        </w:rPr>
        <w:t>Successors and Assignment</w:t>
      </w:r>
    </w:p>
    <w:p>
      <w:pPr>
        <w:spacing w:after="0" w:line="220" w:lineRule="exact"/>
        <w:rPr>
          <w:sz w:val="20"/>
          <w:szCs w:val="20"/>
          <w:color w:val="auto"/>
        </w:rPr>
      </w:pPr>
    </w:p>
    <w:p>
      <w:pPr>
        <w:ind w:left="1080" w:hanging="424"/>
        <w:spacing w:after="0"/>
        <w:tabs>
          <w:tab w:leader="none" w:pos="1080" w:val="left"/>
        </w:tabs>
        <w:numPr>
          <w:ilvl w:val="0"/>
          <w:numId w:val="213"/>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to the Company</w:t>
      </w:r>
    </w:p>
    <w:p>
      <w:pPr>
        <w:spacing w:after="0" w:line="226" w:lineRule="exact"/>
        <w:rPr>
          <w:sz w:val="20"/>
          <w:szCs w:val="20"/>
          <w:color w:val="auto"/>
        </w:rPr>
      </w:pPr>
    </w:p>
    <w:p>
      <w:pPr>
        <w:jc w:val="both"/>
        <w:ind w:firstLine="656"/>
        <w:spacing w:after="0" w:line="294" w:lineRule="auto"/>
        <w:tabs>
          <w:tab w:leader="none" w:pos="75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Company shall require any successor (whether direct or indirect, by purchase, merger, reorganization, consolidation, acquisition of property or stock, liquidation, or otherwise) of all or a significant portion of the assets of the Company by agreement, in form and substance satisfactory to the Executive, to expressly assume and agree to 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43" w:lineRule="exact"/>
        <w:rPr>
          <w:sz w:val="20"/>
          <w:szCs w:val="20"/>
          <w:color w:val="auto"/>
        </w:rPr>
      </w:pPr>
    </w:p>
    <w:p>
      <w:pPr>
        <w:ind w:left="1080" w:hanging="424"/>
        <w:spacing w:after="0"/>
        <w:tabs>
          <w:tab w:leader="none" w:pos="1080" w:val="left"/>
        </w:tabs>
        <w:numPr>
          <w:ilvl w:val="0"/>
          <w:numId w:val="215"/>
        </w:numPr>
        <w:rPr>
          <w:rFonts w:ascii="Arial" w:cs="Arial" w:eastAsia="Arial" w:hAnsi="Arial"/>
          <w:sz w:val="22"/>
          <w:szCs w:val="22"/>
          <w:b w:val="1"/>
          <w:bCs w:val="1"/>
          <w:color w:val="010000"/>
        </w:rPr>
      </w:pPr>
      <w:r>
        <w:rPr>
          <w:rFonts w:ascii="Arial" w:cs="Arial" w:eastAsia="Arial" w:hAnsi="Arial"/>
          <w:sz w:val="22"/>
          <w:szCs w:val="22"/>
          <w:b w:val="1"/>
          <w:bCs w:val="1"/>
          <w:color w:val="auto"/>
        </w:rPr>
        <w:t>Assignment by the Executive</w:t>
      </w:r>
    </w:p>
    <w:p>
      <w:pPr>
        <w:spacing w:after="0" w:line="226" w:lineRule="exact"/>
        <w:rPr>
          <w:sz w:val="20"/>
          <w:szCs w:val="20"/>
          <w:color w:val="auto"/>
        </w:rPr>
      </w:pPr>
    </w:p>
    <w:p>
      <w:pPr>
        <w:jc w:val="both"/>
        <w:ind w:firstLine="656"/>
        <w:spacing w:after="0" w:line="247" w:lineRule="auto"/>
        <w:tabs>
          <w:tab w:leader="none" w:pos="75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This Plan shall inure to the benefit of and be enforceable by the Executive’s personal or legal representatives, executors, administrators, successors, heirs, distributees, devisees, and legatees. If 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9.</w:t>
      </w:r>
      <w:r>
        <w:rPr>
          <w:sz w:val="20"/>
          <w:szCs w:val="20"/>
          <w:color w:val="auto"/>
        </w:rPr>
        <w:tab/>
      </w:r>
      <w:r>
        <w:rPr>
          <w:rFonts w:ascii="Arial" w:cs="Arial" w:eastAsia="Arial" w:hAnsi="Arial"/>
          <w:sz w:val="18"/>
          <w:szCs w:val="18"/>
          <w:b w:val="1"/>
          <w:bCs w:val="1"/>
          <w:color w:val="auto"/>
        </w:rPr>
        <w:t>Miscellaneous</w:t>
      </w:r>
    </w:p>
    <w:p>
      <w:pPr>
        <w:spacing w:after="0" w:line="220" w:lineRule="exact"/>
        <w:rPr>
          <w:sz w:val="20"/>
          <w:szCs w:val="20"/>
          <w:color w:val="auto"/>
        </w:rPr>
      </w:pPr>
    </w:p>
    <w:p>
      <w:pPr>
        <w:ind w:left="1080" w:hanging="424"/>
        <w:spacing w:after="0"/>
        <w:tabs>
          <w:tab w:leader="none" w:pos="1080" w:val="left"/>
        </w:tabs>
        <w:numPr>
          <w:ilvl w:val="0"/>
          <w:numId w:val="217"/>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Status</w:t>
      </w:r>
    </w:p>
    <w:p>
      <w:pPr>
        <w:spacing w:after="0" w:line="226" w:lineRule="exact"/>
        <w:rPr>
          <w:sz w:val="20"/>
          <w:szCs w:val="20"/>
          <w:color w:val="auto"/>
        </w:rPr>
      </w:pPr>
    </w:p>
    <w:p>
      <w:pPr>
        <w:jc w:val="both"/>
        <w:ind w:firstLine="656"/>
        <w:spacing w:after="0" w:line="253" w:lineRule="auto"/>
        <w:tabs>
          <w:tab w:leader="none" w:pos="756" w:val="left"/>
        </w:tabs>
        <w:numPr>
          <w:ilvl w:val="0"/>
          <w:numId w:val="218"/>
        </w:numPr>
        <w:rPr>
          <w:rFonts w:ascii="Arial" w:cs="Arial" w:eastAsia="Arial" w:hAnsi="Arial"/>
          <w:sz w:val="22"/>
          <w:szCs w:val="22"/>
          <w:color w:val="auto"/>
        </w:rPr>
      </w:pPr>
      <w:r>
        <w:rPr>
          <w:rFonts w:ascii="Arial" w:cs="Arial" w:eastAsia="Arial" w:hAnsi="Arial"/>
          <w:sz w:val="22"/>
          <w:szCs w:val="22"/>
          <w:color w:val="auto"/>
        </w:rPr>
        <w:t>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79" w:lineRule="exact"/>
        <w:rPr>
          <w:sz w:val="20"/>
          <w:szCs w:val="20"/>
          <w:color w:val="auto"/>
        </w:rPr>
      </w:pPr>
    </w:p>
    <w:p>
      <w:pPr>
        <w:ind w:left="1080" w:hanging="424"/>
        <w:spacing w:after="0"/>
        <w:tabs>
          <w:tab w:leader="none" w:pos="1080" w:val="left"/>
        </w:tabs>
        <w:numPr>
          <w:ilvl w:val="0"/>
          <w:numId w:val="219"/>
        </w:numPr>
        <w:rPr>
          <w:rFonts w:ascii="Arial" w:cs="Arial" w:eastAsia="Arial" w:hAnsi="Arial"/>
          <w:sz w:val="22"/>
          <w:szCs w:val="22"/>
          <w:b w:val="1"/>
          <w:bCs w:val="1"/>
          <w:color w:val="010000"/>
        </w:rPr>
      </w:pPr>
      <w:r>
        <w:rPr>
          <w:rFonts w:ascii="Arial" w:cs="Arial" w:eastAsia="Arial" w:hAnsi="Arial"/>
          <w:sz w:val="22"/>
          <w:szCs w:val="22"/>
          <w:b w:val="1"/>
          <w:bCs w:val="1"/>
          <w:color w:val="auto"/>
        </w:rPr>
        <w:t>Code Section 409A.</w:t>
      </w:r>
    </w:p>
    <w:p>
      <w:pPr>
        <w:spacing w:after="0" w:line="226" w:lineRule="exact"/>
        <w:rPr>
          <w:sz w:val="20"/>
          <w:szCs w:val="20"/>
          <w:color w:val="auto"/>
        </w:rPr>
      </w:pPr>
    </w:p>
    <w:p>
      <w:pPr>
        <w:jc w:val="both"/>
        <w:ind w:left="1300" w:hanging="644"/>
        <w:spacing w:after="0" w:line="248" w:lineRule="auto"/>
        <w:tabs>
          <w:tab w:leader="none" w:pos="1300" w:val="left"/>
        </w:tabs>
        <w:numPr>
          <w:ilvl w:val="0"/>
          <w:numId w:val="220"/>
        </w:numPr>
        <w:rPr>
          <w:rFonts w:ascii="Arial" w:cs="Arial" w:eastAsia="Arial" w:hAnsi="Arial"/>
          <w:sz w:val="22"/>
          <w:szCs w:val="22"/>
          <w:color w:val="010000"/>
        </w:rPr>
      </w:pPr>
      <w:r>
        <w:rPr>
          <w:rFonts w:ascii="Arial" w:cs="Arial" w:eastAsia="Arial" w:hAnsi="Arial"/>
          <w:sz w:val="22"/>
          <w:szCs w:val="22"/>
          <w:color w:val="auto"/>
        </w:rPr>
        <w:t>All expenses or other reimbursements under this Plan shall be made on or prior to the last day of the taxable year following the taxable year in which such expenses were incurred by the Executive (provided that if any such reimbursements constitute taxable income to the Executive, such reimbursements shall be paid no later than March 15th of the calendar year following the calendar year in which the expenses to be reimbursed were incurred), and no such reimbursement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2" w:right="339" w:bottom="1440" w:gutter="0" w:footer="0" w:header="0"/>
        </w:sectPr>
      </w:pPr>
    </w:p>
    <w:bookmarkStart w:id="230" w:name="page231"/>
    <w:bookmarkEnd w:id="230"/>
    <w:p>
      <w:pPr>
        <w:ind w:left="1300" w:right="20"/>
        <w:spacing w:after="0" w:line="263" w:lineRule="auto"/>
        <w:rPr>
          <w:sz w:val="20"/>
          <w:szCs w:val="20"/>
          <w:color w:val="auto"/>
        </w:rPr>
      </w:pPr>
      <w:r>
        <w:rPr>
          <w:rFonts w:ascii="Arial" w:cs="Arial" w:eastAsia="Arial" w:hAnsi="Arial"/>
          <w:sz w:val="22"/>
          <w:szCs w:val="22"/>
          <w:color w:val="auto"/>
        </w:rPr>
        <w:t>expenses eligible for reimbursement in any taxable year shall in any way affect the expenses eligible for reimbursement in any other taxable year.</w:t>
      </w:r>
    </w:p>
    <w:p>
      <w:pPr>
        <w:spacing w:after="0" w:line="175" w:lineRule="exact"/>
        <w:rPr>
          <w:sz w:val="20"/>
          <w:szCs w:val="20"/>
          <w:color w:val="auto"/>
        </w:rPr>
      </w:pPr>
    </w:p>
    <w:p>
      <w:pPr>
        <w:ind w:left="1300" w:right="20" w:hanging="644"/>
        <w:spacing w:after="0" w:line="263" w:lineRule="auto"/>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For purposes of Code Section 409A, the Executive’s right to receive any installment payment pursuant to this Plan shall be treated as a right to receive a series of separate and distinct payments.</w:t>
      </w:r>
    </w:p>
    <w:p>
      <w:pPr>
        <w:spacing w:after="0" w:line="174" w:lineRule="exact"/>
        <w:rPr>
          <w:rFonts w:ascii="Arial" w:cs="Arial" w:eastAsia="Arial" w:hAnsi="Arial"/>
          <w:sz w:val="22"/>
          <w:szCs w:val="22"/>
          <w:color w:val="010000"/>
        </w:rPr>
      </w:pPr>
    </w:p>
    <w:p>
      <w:pPr>
        <w:jc w:val="both"/>
        <w:ind w:left="1300" w:hanging="644"/>
        <w:spacing w:after="0" w:line="253" w:lineRule="auto"/>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Whenever a payment under this Plan specifies a payment period with reference to a number of days (</w:t>
      </w:r>
      <w:r>
        <w:rPr>
          <w:rFonts w:ascii="Arial" w:cs="Arial" w:eastAsia="Arial" w:hAnsi="Arial"/>
          <w:sz w:val="22"/>
          <w:szCs w:val="22"/>
          <w:u w:val="single" w:color="auto"/>
          <w:color w:val="auto"/>
        </w:rPr>
        <w:t>e.g.</w:t>
      </w:r>
      <w:r>
        <w:rPr>
          <w:rFonts w:ascii="Arial" w:cs="Arial" w:eastAsia="Arial" w:hAnsi="Arial"/>
          <w:sz w:val="22"/>
          <w:szCs w:val="22"/>
          <w:color w:val="auto"/>
        </w:rPr>
        <w:t>, “payment shall be made within thirty (30) days following the date of termination”), the actual date of payment within the specified period shall be within the sole discretion of the Company.</w:t>
      </w:r>
    </w:p>
    <w:p>
      <w:pPr>
        <w:spacing w:after="0" w:line="185" w:lineRule="exact"/>
        <w:rPr>
          <w:rFonts w:ascii="Arial" w:cs="Arial" w:eastAsia="Arial" w:hAnsi="Arial"/>
          <w:sz w:val="22"/>
          <w:szCs w:val="22"/>
          <w:color w:val="010000"/>
        </w:rPr>
      </w:pPr>
    </w:p>
    <w:p>
      <w:pPr>
        <w:jc w:val="both"/>
        <w:ind w:left="1300" w:hanging="644"/>
        <w:spacing w:after="0" w:line="248" w:lineRule="auto"/>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A termination of employment shall not be deemed to have occurred for purposes of any provision of this Plan providing for the payment of any amounts or benefits upon or following a termination of employment unless such termination is also a “separation from service” within the meaning of Code Section 409A and, for purposes of any such provision of this Plan, references to a “termination,” “termination of employment” or like terms shall mean “separation from service.”</w:t>
      </w:r>
    </w:p>
    <w:p>
      <w:pPr>
        <w:spacing w:after="0" w:line="191" w:lineRule="exact"/>
        <w:rPr>
          <w:rFonts w:ascii="Arial" w:cs="Arial" w:eastAsia="Arial" w:hAnsi="Arial"/>
          <w:sz w:val="22"/>
          <w:szCs w:val="22"/>
          <w:color w:val="010000"/>
        </w:rPr>
      </w:pPr>
    </w:p>
    <w:p>
      <w:pPr>
        <w:jc w:val="both"/>
        <w:ind w:left="1300" w:hanging="644"/>
        <w:spacing w:after="0" w:line="253" w:lineRule="auto"/>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Notwithstanding any other provision of this Plan to the contrary, in no event shall any payment under this Plan that constitutes “deferred compensation” for purposes of Code Section 409A be subject to offset unless otherwise permitted by Code Section 409A.</w:t>
      </w:r>
    </w:p>
    <w:p>
      <w:pPr>
        <w:spacing w:after="0" w:line="185" w:lineRule="exact"/>
        <w:rPr>
          <w:rFonts w:ascii="Arial" w:cs="Arial" w:eastAsia="Arial" w:hAnsi="Arial"/>
          <w:sz w:val="22"/>
          <w:szCs w:val="22"/>
          <w:color w:val="010000"/>
        </w:rPr>
      </w:pPr>
    </w:p>
    <w:p>
      <w:pPr>
        <w:jc w:val="both"/>
        <w:ind w:left="1300" w:hanging="644"/>
        <w:spacing w:after="0" w:line="250" w:lineRule="auto"/>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Notwithstanding any provisions in this Plan to the contrary, whenever a payment under this Plan may be made upon the Release Effective Date, and the period in which the Executive could adopt the release (along with its accompany revocation period) crosses calendar years, no payments shall be made until the succeeding calendar year.</w:t>
      </w:r>
    </w:p>
    <w:p>
      <w:pPr>
        <w:spacing w:after="0" w:line="182" w:lineRule="exact"/>
        <w:rPr>
          <w:sz w:val="20"/>
          <w:szCs w:val="20"/>
          <w:color w:val="auto"/>
        </w:rPr>
      </w:pPr>
    </w:p>
    <w:p>
      <w:pPr>
        <w:ind w:left="1080" w:hanging="424"/>
        <w:spacing w:after="0"/>
        <w:tabs>
          <w:tab w:leader="none" w:pos="1080" w:val="left"/>
        </w:tabs>
        <w:numPr>
          <w:ilvl w:val="0"/>
          <w:numId w:val="222"/>
        </w:numPr>
        <w:rPr>
          <w:rFonts w:ascii="Arial" w:cs="Arial" w:eastAsia="Arial" w:hAnsi="Arial"/>
          <w:sz w:val="22"/>
          <w:szCs w:val="22"/>
          <w:b w:val="1"/>
          <w:bCs w:val="1"/>
          <w:color w:val="010000"/>
        </w:rPr>
      </w:pPr>
      <w:r>
        <w:rPr>
          <w:rFonts w:ascii="Arial" w:cs="Arial" w:eastAsia="Arial" w:hAnsi="Arial"/>
          <w:sz w:val="22"/>
          <w:szCs w:val="22"/>
          <w:b w:val="1"/>
          <w:bCs w:val="1"/>
          <w:color w:val="auto"/>
        </w:rPr>
        <w:t>Entire Plan</w:t>
      </w:r>
    </w:p>
    <w:p>
      <w:pPr>
        <w:spacing w:after="0" w:line="226" w:lineRule="exact"/>
        <w:rPr>
          <w:sz w:val="20"/>
          <w:szCs w:val="20"/>
          <w:color w:val="auto"/>
        </w:rPr>
      </w:pPr>
    </w:p>
    <w:p>
      <w:pPr>
        <w:jc w:val="both"/>
        <w:ind w:firstLine="656"/>
        <w:spacing w:after="0" w:line="260" w:lineRule="auto"/>
        <w:tabs>
          <w:tab w:leader="none" w:pos="756"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This Plan supersedes any prior agreements or understandings, oral or written, between the parties hereto, with respect to the subject matter hereof, and constitutes the entire agreement of the parties with respect 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174" w:lineRule="exact"/>
        <w:rPr>
          <w:sz w:val="20"/>
          <w:szCs w:val="20"/>
          <w:color w:val="auto"/>
        </w:rPr>
      </w:pPr>
    </w:p>
    <w:p>
      <w:pPr>
        <w:ind w:left="1080" w:hanging="424"/>
        <w:spacing w:after="0"/>
        <w:tabs>
          <w:tab w:leader="none" w:pos="1080" w:val="left"/>
        </w:tabs>
        <w:numPr>
          <w:ilvl w:val="0"/>
          <w:numId w:val="224"/>
        </w:numPr>
        <w:rPr>
          <w:rFonts w:ascii="Arial" w:cs="Arial" w:eastAsia="Arial" w:hAnsi="Arial"/>
          <w:sz w:val="22"/>
          <w:szCs w:val="22"/>
          <w:b w:val="1"/>
          <w:bCs w:val="1"/>
          <w:color w:val="010000"/>
        </w:rPr>
      </w:pPr>
      <w:r>
        <w:rPr>
          <w:rFonts w:ascii="Arial" w:cs="Arial" w:eastAsia="Arial" w:hAnsi="Arial"/>
          <w:sz w:val="22"/>
          <w:szCs w:val="22"/>
          <w:b w:val="1"/>
          <w:bCs w:val="1"/>
          <w:color w:val="auto"/>
        </w:rPr>
        <w:t>Severability</w:t>
      </w:r>
    </w:p>
    <w:p>
      <w:pPr>
        <w:spacing w:after="0" w:line="226" w:lineRule="exact"/>
        <w:rPr>
          <w:sz w:val="20"/>
          <w:szCs w:val="20"/>
          <w:color w:val="auto"/>
        </w:rPr>
      </w:pPr>
    </w:p>
    <w:p>
      <w:pPr>
        <w:ind w:right="20" w:firstLine="656"/>
        <w:spacing w:after="0" w:line="287" w:lineRule="auto"/>
        <w:tabs>
          <w:tab w:leader="none" w:pos="75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In the event that any provision or portion of this Plan shall be determined to be invalid or unenforceable for any reason, the remaining provisions of this Plan shall be unaffected thereby and shall remain in full force and effect.</w:t>
      </w:r>
    </w:p>
    <w:p>
      <w:pPr>
        <w:spacing w:after="0" w:line="200" w:lineRule="exact"/>
        <w:rPr>
          <w:sz w:val="20"/>
          <w:szCs w:val="20"/>
          <w:color w:val="auto"/>
        </w:rPr>
      </w:pPr>
    </w:p>
    <w:p>
      <w:pPr>
        <w:spacing w:after="0" w:line="39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31" w:name="page232"/>
    <w:bookmarkEnd w:id="231"/>
    <w:p>
      <w:pPr>
        <w:ind w:left="1080" w:hanging="424"/>
        <w:spacing w:after="0"/>
        <w:tabs>
          <w:tab w:leader="none" w:pos="1080" w:val="left"/>
        </w:tabs>
        <w:numPr>
          <w:ilvl w:val="0"/>
          <w:numId w:val="226"/>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p>
    <w:p>
      <w:pPr>
        <w:spacing w:after="0" w:line="226" w:lineRule="exact"/>
        <w:rPr>
          <w:sz w:val="20"/>
          <w:szCs w:val="20"/>
          <w:color w:val="auto"/>
        </w:rPr>
      </w:pPr>
    </w:p>
    <w:p>
      <w:pPr>
        <w:ind w:firstLine="656"/>
        <w:spacing w:after="0" w:line="263" w:lineRule="auto"/>
        <w:tabs>
          <w:tab w:leader="none" w:pos="769"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Company may withhold from any benefits payable under this Plan all federal, state, city, or other taxes as may be required pursuant to any law or governmental regulation or ruling.</w:t>
      </w:r>
    </w:p>
    <w:p>
      <w:pPr>
        <w:spacing w:after="0" w:line="169" w:lineRule="exact"/>
        <w:rPr>
          <w:sz w:val="20"/>
          <w:szCs w:val="20"/>
          <w:color w:val="auto"/>
        </w:rPr>
      </w:pPr>
    </w:p>
    <w:p>
      <w:pPr>
        <w:ind w:left="1080" w:hanging="424"/>
        <w:spacing w:after="0"/>
        <w:tabs>
          <w:tab w:leader="none" w:pos="1080" w:val="left"/>
        </w:tabs>
        <w:numPr>
          <w:ilvl w:val="0"/>
          <w:numId w:val="228"/>
        </w:numPr>
        <w:rPr>
          <w:rFonts w:ascii="Arial" w:cs="Arial" w:eastAsia="Arial" w:hAnsi="Arial"/>
          <w:sz w:val="22"/>
          <w:szCs w:val="22"/>
          <w:b w:val="1"/>
          <w:bCs w:val="1"/>
          <w:color w:val="010000"/>
        </w:rPr>
      </w:pPr>
      <w:r>
        <w:rPr>
          <w:rFonts w:ascii="Arial" w:cs="Arial" w:eastAsia="Arial" w:hAnsi="Arial"/>
          <w:sz w:val="22"/>
          <w:szCs w:val="22"/>
          <w:b w:val="1"/>
          <w:bCs w:val="1"/>
          <w:color w:val="auto"/>
        </w:rPr>
        <w:t>Beneficiaries</w:t>
      </w:r>
    </w:p>
    <w:p>
      <w:pPr>
        <w:spacing w:after="0" w:line="226" w:lineRule="exact"/>
        <w:rPr>
          <w:sz w:val="20"/>
          <w:szCs w:val="20"/>
          <w:color w:val="auto"/>
        </w:rPr>
      </w:pPr>
    </w:p>
    <w:p>
      <w:pPr>
        <w:jc w:val="both"/>
        <w:ind w:firstLine="656"/>
        <w:spacing w:after="0" w:line="271" w:lineRule="auto"/>
        <w:tabs>
          <w:tab w:leader="none" w:pos="769"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The Executive may designate one (1) or more persons or entities as the primary and/or contingent beneficiaries of any amounts to be received under this Plan. Such designation must be in the form of a signed writing acceptable to the Board or the Board’s designee. The Executive may make or change such designation at any time.</w:t>
      </w:r>
    </w:p>
    <w:p>
      <w:pPr>
        <w:spacing w:after="0" w:line="161" w:lineRule="exact"/>
        <w:rPr>
          <w:sz w:val="20"/>
          <w:szCs w:val="20"/>
          <w:color w:val="auto"/>
        </w:rPr>
      </w:pPr>
    </w:p>
    <w:p>
      <w:pPr>
        <w:ind w:left="1080" w:hanging="424"/>
        <w:spacing w:after="0"/>
        <w:tabs>
          <w:tab w:leader="none" w:pos="1080" w:val="left"/>
        </w:tabs>
        <w:numPr>
          <w:ilvl w:val="0"/>
          <w:numId w:val="230"/>
        </w:numPr>
        <w:rPr>
          <w:rFonts w:ascii="Arial" w:cs="Arial" w:eastAsia="Arial" w:hAnsi="Arial"/>
          <w:sz w:val="22"/>
          <w:szCs w:val="22"/>
          <w:b w:val="1"/>
          <w:bCs w:val="1"/>
          <w:color w:val="010000"/>
        </w:rPr>
      </w:pPr>
      <w:r>
        <w:rPr>
          <w:rFonts w:ascii="Arial" w:cs="Arial" w:eastAsia="Arial" w:hAnsi="Arial"/>
          <w:sz w:val="22"/>
          <w:szCs w:val="22"/>
          <w:b w:val="1"/>
          <w:bCs w:val="1"/>
          <w:color w:val="auto"/>
        </w:rPr>
        <w:t>Payment Obligation Absolute</w:t>
      </w:r>
    </w:p>
    <w:p>
      <w:pPr>
        <w:spacing w:after="0" w:line="226" w:lineRule="exact"/>
        <w:rPr>
          <w:sz w:val="20"/>
          <w:szCs w:val="20"/>
          <w:color w:val="auto"/>
        </w:rPr>
      </w:pPr>
    </w:p>
    <w:p>
      <w:pPr>
        <w:jc w:val="both"/>
        <w:ind w:firstLine="656"/>
        <w:spacing w:after="0" w:line="253" w:lineRule="auto"/>
        <w:tabs>
          <w:tab w:leader="none" w:pos="75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The Company’s obligation to make the payments provided for herein shall be absolute and unconditional, and shall not be affected by any circumstances, including, without limitation, any offset, counterclaim, recoupment, defense, or other right which the Company may have against the Executive or anyone else.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Executive shall not be obligated to seek other employment in mitigation of the amounts payable or arrangements made under any provision of this Plan, and except as provided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of this Plan, the obtaining of any such other employment shall in no event effect any reduction of the Company’s obligations to make the payments and arrangements required to be made under this Plan.</w:t>
      </w:r>
    </w:p>
    <w:p>
      <w:pPr>
        <w:spacing w:after="0" w:line="182" w:lineRule="exact"/>
        <w:rPr>
          <w:sz w:val="20"/>
          <w:szCs w:val="20"/>
          <w:color w:val="auto"/>
        </w:rPr>
      </w:pPr>
    </w:p>
    <w:p>
      <w:pPr>
        <w:ind w:left="1080" w:hanging="424"/>
        <w:spacing w:after="0"/>
        <w:tabs>
          <w:tab w:leader="none" w:pos="1080" w:val="left"/>
        </w:tabs>
        <w:numPr>
          <w:ilvl w:val="0"/>
          <w:numId w:val="232"/>
        </w:numPr>
        <w:rPr>
          <w:rFonts w:ascii="Arial" w:cs="Arial" w:eastAsia="Arial" w:hAnsi="Arial"/>
          <w:sz w:val="22"/>
          <w:szCs w:val="22"/>
          <w:b w:val="1"/>
          <w:bCs w:val="1"/>
          <w:color w:val="010000"/>
        </w:rPr>
      </w:pPr>
      <w:r>
        <w:rPr>
          <w:rFonts w:ascii="Arial" w:cs="Arial" w:eastAsia="Arial" w:hAnsi="Arial"/>
          <w:sz w:val="22"/>
          <w:szCs w:val="22"/>
          <w:b w:val="1"/>
          <w:bCs w:val="1"/>
          <w:color w:val="auto"/>
        </w:rPr>
        <w:t>Contractual Rights to Benefits</w:t>
      </w:r>
    </w:p>
    <w:p>
      <w:pPr>
        <w:spacing w:after="0" w:line="226" w:lineRule="exact"/>
        <w:rPr>
          <w:sz w:val="20"/>
          <w:szCs w:val="20"/>
          <w:color w:val="auto"/>
        </w:rPr>
      </w:pPr>
    </w:p>
    <w:p>
      <w:pPr>
        <w:jc w:val="both"/>
        <w:ind w:firstLine="656"/>
        <w:spacing w:after="0" w:line="265" w:lineRule="auto"/>
        <w:tabs>
          <w:tab w:leader="none" w:pos="756" w:val="left"/>
        </w:tabs>
        <w:numPr>
          <w:ilvl w:val="0"/>
          <w:numId w:val="233"/>
        </w:numPr>
        <w:rPr>
          <w:rFonts w:ascii="Arial" w:cs="Arial" w:eastAsia="Arial" w:hAnsi="Arial"/>
          <w:sz w:val="21"/>
          <w:szCs w:val="21"/>
          <w:color w:val="auto"/>
        </w:rPr>
      </w:pPr>
      <w:r>
        <w:rPr>
          <w:rFonts w:ascii="Arial" w:cs="Arial" w:eastAsia="Arial" w:hAnsi="Arial"/>
          <w:sz w:val="21"/>
          <w:szCs w:val="21"/>
          <w:color w:val="auto"/>
        </w:rPr>
        <w:t>Subject to approval and ratification by the Board, this Plan establishes and vests in the Executive a contractual right to the benefits to which he or she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69" w:lineRule="exact"/>
        <w:rPr>
          <w:sz w:val="20"/>
          <w:szCs w:val="20"/>
          <w:color w:val="auto"/>
        </w:rPr>
      </w:pPr>
    </w:p>
    <w:p>
      <w:pPr>
        <w:ind w:left="1080" w:hanging="424"/>
        <w:spacing w:after="0"/>
        <w:tabs>
          <w:tab w:leader="none" w:pos="1080" w:val="left"/>
        </w:tabs>
        <w:numPr>
          <w:ilvl w:val="0"/>
          <w:numId w:val="234"/>
        </w:numPr>
        <w:rPr>
          <w:rFonts w:ascii="Arial" w:cs="Arial" w:eastAsia="Arial" w:hAnsi="Arial"/>
          <w:sz w:val="22"/>
          <w:szCs w:val="22"/>
          <w:b w:val="1"/>
          <w:bCs w:val="1"/>
          <w:color w:val="010000"/>
        </w:rPr>
      </w:pPr>
      <w:r>
        <w:rPr>
          <w:rFonts w:ascii="Arial" w:cs="Arial" w:eastAsia="Arial" w:hAnsi="Arial"/>
          <w:sz w:val="22"/>
          <w:szCs w:val="22"/>
          <w:b w:val="1"/>
          <w:bCs w:val="1"/>
          <w:color w:val="auto"/>
        </w:rPr>
        <w:t>Modification</w:t>
      </w:r>
    </w:p>
    <w:p>
      <w:pPr>
        <w:spacing w:after="0" w:line="226" w:lineRule="exact"/>
        <w:rPr>
          <w:sz w:val="20"/>
          <w:szCs w:val="20"/>
          <w:color w:val="auto"/>
        </w:rPr>
      </w:pPr>
    </w:p>
    <w:p>
      <w:pPr>
        <w:jc w:val="both"/>
        <w:ind w:firstLine="656"/>
        <w:spacing w:after="0" w:line="263" w:lineRule="auto"/>
        <w:tabs>
          <w:tab w:leader="none" w:pos="756" w:val="left"/>
        </w:tabs>
        <w:numPr>
          <w:ilvl w:val="0"/>
          <w:numId w:val="235"/>
        </w:numPr>
        <w:rPr>
          <w:rFonts w:ascii="Arial" w:cs="Arial" w:eastAsia="Arial" w:hAnsi="Arial"/>
          <w:sz w:val="21"/>
          <w:szCs w:val="21"/>
          <w:color w:val="auto"/>
        </w:rPr>
      </w:pPr>
      <w:r>
        <w:rPr>
          <w:rFonts w:ascii="Arial" w:cs="Arial" w:eastAsia="Arial" w:hAnsi="Arial"/>
          <w:sz w:val="21"/>
          <w:szCs w:val="21"/>
          <w:color w:val="auto"/>
        </w:rPr>
        <w:t>No provision of this Plan may be modified, waived, or discharged with respect to any particular Executive unless such modification, waiver, or discharge is agreed to in writing and signed by such Executive 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169" w:lineRule="exact"/>
        <w:rPr>
          <w:sz w:val="20"/>
          <w:szCs w:val="20"/>
          <w:color w:val="auto"/>
        </w:rPr>
      </w:pPr>
    </w:p>
    <w:p>
      <w:pPr>
        <w:ind w:left="1080" w:hanging="424"/>
        <w:spacing w:after="0"/>
        <w:tabs>
          <w:tab w:leader="none" w:pos="1080" w:val="left"/>
        </w:tabs>
        <w:numPr>
          <w:ilvl w:val="0"/>
          <w:numId w:val="236"/>
        </w:numPr>
        <w:rPr>
          <w:rFonts w:ascii="Arial" w:cs="Arial" w:eastAsia="Arial" w:hAnsi="Arial"/>
          <w:sz w:val="22"/>
          <w:szCs w:val="22"/>
          <w:b w:val="1"/>
          <w:bCs w:val="1"/>
          <w:color w:val="010000"/>
        </w:rPr>
      </w:pPr>
      <w:r>
        <w:rPr>
          <w:rFonts w:ascii="Arial" w:cs="Arial" w:eastAsia="Arial" w:hAnsi="Arial"/>
          <w:sz w:val="22"/>
          <w:szCs w:val="22"/>
          <w:b w:val="1"/>
          <w:bCs w:val="1"/>
          <w:color w:val="auto"/>
        </w:rPr>
        <w:t>Gender and Number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2" w:right="339" w:bottom="1440" w:gutter="0" w:footer="0" w:header="0"/>
        </w:sectPr>
      </w:pPr>
    </w:p>
    <w:bookmarkStart w:id="232" w:name="page233"/>
    <w:bookmarkEnd w:id="232"/>
    <w:p>
      <w:pPr>
        <w:ind w:right="20" w:firstLine="656"/>
        <w:spacing w:after="0" w:line="263" w:lineRule="auto"/>
        <w:tabs>
          <w:tab w:leader="none" w:pos="76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Except where otherwise indicated by the context, any masculine term used herein also shall include the feminine; the plural shall include the singular and the singular shall include the plural.</w:t>
      </w:r>
    </w:p>
    <w:p>
      <w:pPr>
        <w:spacing w:after="0" w:line="169" w:lineRule="exact"/>
        <w:rPr>
          <w:sz w:val="20"/>
          <w:szCs w:val="20"/>
          <w:color w:val="auto"/>
        </w:rPr>
      </w:pPr>
    </w:p>
    <w:p>
      <w:pPr>
        <w:ind w:left="1080" w:hanging="424"/>
        <w:spacing w:after="0"/>
        <w:tabs>
          <w:tab w:leader="none" w:pos="1080" w:val="left"/>
        </w:tabs>
        <w:numPr>
          <w:ilvl w:val="0"/>
          <w:numId w:val="238"/>
        </w:numPr>
        <w:rPr>
          <w:rFonts w:ascii="Arial" w:cs="Arial" w:eastAsia="Arial" w:hAnsi="Arial"/>
          <w:sz w:val="22"/>
          <w:szCs w:val="22"/>
          <w:b w:val="1"/>
          <w:bCs w:val="1"/>
          <w:color w:val="010000"/>
        </w:rPr>
      </w:pPr>
      <w:r>
        <w:rPr>
          <w:rFonts w:ascii="Arial" w:cs="Arial" w:eastAsia="Arial" w:hAnsi="Arial"/>
          <w:sz w:val="22"/>
          <w:szCs w:val="22"/>
          <w:b w:val="1"/>
          <w:bCs w:val="1"/>
          <w:color w:val="auto"/>
        </w:rPr>
        <w:t>Applicable Law</w:t>
      </w:r>
    </w:p>
    <w:p>
      <w:pPr>
        <w:spacing w:after="0" w:line="226" w:lineRule="exact"/>
        <w:rPr>
          <w:sz w:val="20"/>
          <w:szCs w:val="20"/>
          <w:color w:val="auto"/>
        </w:rPr>
      </w:pPr>
    </w:p>
    <w:p>
      <w:pPr>
        <w:ind w:firstLine="656"/>
        <w:spacing w:after="0" w:line="263" w:lineRule="auto"/>
        <w:tabs>
          <w:tab w:leader="none" w:pos="756"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To the extent not preempted by the laws of the United States, the laws of the state of New Jersey shall be the controlling law in all matters relating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0"/>
          <w:szCs w:val="20"/>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Management Change-in-Control and General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(Amended and Restated as of January 1, 2021)</w:t>
      </w: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1"/>
          <w:szCs w:val="11"/>
          <w:color w:val="auto"/>
        </w:rPr>
        <w:t>DMEAST #35732408 v3</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18" w:right="339" w:bottom="1440" w:gutter="0" w:footer="0" w:header="0"/>
        </w:sectPr>
      </w:pPr>
    </w:p>
    <w:bookmarkStart w:id="234" w:name="page235"/>
    <w:bookmarkEnd w:id="234"/>
    <w:tbl>
      <w:tblPr>
        <w:tblLayout w:type="fixed"/>
        <w:tblInd w:w="20" w:type="dxa"/>
        <w:tblCellMar>
          <w:top w:w="0" w:type="dxa"/>
          <w:left w:w="0" w:type="dxa"/>
          <w:bottom w:w="0" w:type="dxa"/>
          <w:right w:w="0" w:type="dxa"/>
        </w:tblCellMar>
      </w:tblPr>
      <w:tr>
        <w:trPr>
          <w:trHeight w:val="257"/>
        </w:trPr>
        <w:tc>
          <w:tcPr>
            <w:tcW w:w="94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6720" w:type="dxa"/>
            <w:vAlign w:val="bottom"/>
          </w:tcPr>
          <w:p>
            <w:pPr>
              <w:ind w:left="300"/>
              <w:spacing w:after="0"/>
              <w:rPr>
                <w:sz w:val="20"/>
                <w:szCs w:val="20"/>
                <w:color w:val="auto"/>
              </w:rPr>
            </w:pPr>
            <w:r>
              <w:rPr>
                <w:rFonts w:ascii="Arial" w:cs="Arial" w:eastAsia="Arial" w:hAnsi="Arial"/>
                <w:sz w:val="22"/>
                <w:szCs w:val="22"/>
                <w:b w:val="1"/>
                <w:bCs w:val="1"/>
                <w:color w:val="auto"/>
              </w:rPr>
              <w:t>Table of Contents</w:t>
            </w:r>
          </w:p>
        </w:tc>
      </w:tr>
      <w:tr>
        <w:trPr>
          <w:trHeight w:val="280"/>
        </w:trPr>
        <w:tc>
          <w:tcPr>
            <w:tcW w:w="9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720" w:type="dxa"/>
            <w:vAlign w:val="bottom"/>
          </w:tcPr>
          <w:p>
            <w:pPr>
              <w:ind w:left="6280"/>
              <w:spacing w:after="0"/>
              <w:rPr>
                <w:sz w:val="20"/>
                <w:szCs w:val="20"/>
                <w:color w:val="auto"/>
              </w:rPr>
            </w:pPr>
            <w:r>
              <w:rPr>
                <w:rFonts w:ascii="Arial" w:cs="Arial" w:eastAsia="Arial" w:hAnsi="Arial"/>
                <w:sz w:val="22"/>
                <w:szCs w:val="22"/>
                <w:b w:val="1"/>
                <w:bCs w:val="1"/>
                <w:color w:val="auto"/>
                <w:w w:val="79"/>
              </w:rPr>
              <w:t>Page</w:t>
            </w:r>
          </w:p>
        </w:tc>
      </w:tr>
      <w:tr>
        <w:trPr>
          <w:trHeight w:val="526"/>
        </w:trPr>
        <w:tc>
          <w:tcPr>
            <w:tcW w:w="4500" w:type="dxa"/>
            <w:vAlign w:val="bottom"/>
            <w:gridSpan w:val="2"/>
          </w:tcPr>
          <w:p>
            <w:pPr>
              <w:spacing w:after="0"/>
              <w:rPr>
                <w:sz w:val="20"/>
                <w:szCs w:val="20"/>
                <w:color w:val="auto"/>
              </w:rPr>
            </w:pPr>
            <w:r>
              <w:rPr>
                <w:rFonts w:ascii="Arial" w:cs="Arial" w:eastAsia="Arial" w:hAnsi="Arial"/>
                <w:sz w:val="22"/>
                <w:szCs w:val="22"/>
                <w:color w:val="010000"/>
              </w:rPr>
              <w:t xml:space="preserve">Article 1.  </w:t>
            </w:r>
            <w:r>
              <w:rPr>
                <w:rFonts w:ascii="Arial" w:cs="Arial" w:eastAsia="Arial" w:hAnsi="Arial"/>
                <w:sz w:val="22"/>
                <w:szCs w:val="22"/>
                <w:color w:val="000000"/>
              </w:rPr>
              <w:t>Establishment and Term of the Plan</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1</w:t>
              </w:r>
            </w:hyperlink>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010000"/>
              </w:rPr>
              <w:t>Article 2.</w:t>
            </w:r>
          </w:p>
        </w:tc>
        <w:tc>
          <w:tcPr>
            <w:tcW w:w="356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2</w:t>
              </w:r>
            </w:hyperlink>
          </w:p>
        </w:tc>
      </w:tr>
      <w:tr>
        <w:trPr>
          <w:trHeight w:val="310"/>
        </w:trPr>
        <w:tc>
          <w:tcPr>
            <w:tcW w:w="940" w:type="dxa"/>
            <w:vAlign w:val="bottom"/>
          </w:tcPr>
          <w:p>
            <w:pPr>
              <w:spacing w:after="0"/>
              <w:rPr>
                <w:sz w:val="20"/>
                <w:szCs w:val="20"/>
                <w:color w:val="auto"/>
              </w:rPr>
            </w:pPr>
            <w:r>
              <w:rPr>
                <w:rFonts w:ascii="Arial" w:cs="Arial" w:eastAsia="Arial" w:hAnsi="Arial"/>
                <w:sz w:val="22"/>
                <w:szCs w:val="22"/>
                <w:color w:val="010000"/>
              </w:rPr>
              <w:t>Article 3.</w:t>
            </w:r>
          </w:p>
        </w:tc>
        <w:tc>
          <w:tcPr>
            <w:tcW w:w="3560" w:type="dxa"/>
            <w:vAlign w:val="bottom"/>
          </w:tcPr>
          <w:p>
            <w:pPr>
              <w:ind w:left="100"/>
              <w:spacing w:after="0"/>
              <w:rPr>
                <w:sz w:val="20"/>
                <w:szCs w:val="20"/>
                <w:color w:val="auto"/>
              </w:rPr>
            </w:pPr>
            <w:r>
              <w:rPr>
                <w:rFonts w:ascii="Arial" w:cs="Arial" w:eastAsia="Arial" w:hAnsi="Arial"/>
                <w:sz w:val="22"/>
                <w:szCs w:val="22"/>
                <w:color w:val="auto"/>
              </w:rPr>
              <w:t>Severance Benefits</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7</w:t>
              </w:r>
            </w:hyperlink>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010000"/>
              </w:rPr>
              <w:t>Article 4.</w:t>
            </w:r>
          </w:p>
        </w:tc>
        <w:tc>
          <w:tcPr>
            <w:tcW w:w="3560" w:type="dxa"/>
            <w:vAlign w:val="bottom"/>
          </w:tcPr>
          <w:p>
            <w:pPr>
              <w:ind w:left="100"/>
              <w:spacing w:after="0"/>
              <w:rPr>
                <w:sz w:val="20"/>
                <w:szCs w:val="20"/>
                <w:color w:val="auto"/>
              </w:rPr>
            </w:pPr>
            <w:r>
              <w:rPr>
                <w:rFonts w:ascii="Arial" w:cs="Arial" w:eastAsia="Arial" w:hAnsi="Arial"/>
                <w:sz w:val="22"/>
                <w:szCs w:val="22"/>
                <w:color w:val="auto"/>
              </w:rPr>
              <w:t>Ineligibility</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11</w:t>
              </w:r>
            </w:hyperlink>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010000"/>
              </w:rPr>
              <w:t>Article 5.</w:t>
            </w:r>
          </w:p>
        </w:tc>
        <w:tc>
          <w:tcPr>
            <w:tcW w:w="3560" w:type="dxa"/>
            <w:vAlign w:val="bottom"/>
          </w:tcPr>
          <w:p>
            <w:pPr>
              <w:ind w:left="100"/>
              <w:spacing w:after="0"/>
              <w:rPr>
                <w:sz w:val="20"/>
                <w:szCs w:val="20"/>
                <w:color w:val="auto"/>
              </w:rPr>
            </w:pPr>
            <w:r>
              <w:rPr>
                <w:rFonts w:ascii="Arial" w:cs="Arial" w:eastAsia="Arial" w:hAnsi="Arial"/>
                <w:sz w:val="22"/>
                <w:szCs w:val="22"/>
                <w:color w:val="auto"/>
              </w:rPr>
              <w:t>Restrictive Covenants</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12</w:t>
              </w:r>
            </w:hyperlink>
          </w:p>
        </w:tc>
      </w:tr>
      <w:tr>
        <w:trPr>
          <w:trHeight w:val="310"/>
        </w:trPr>
        <w:tc>
          <w:tcPr>
            <w:tcW w:w="4500" w:type="dxa"/>
            <w:vAlign w:val="bottom"/>
            <w:gridSpan w:val="2"/>
          </w:tcPr>
          <w:p>
            <w:pPr>
              <w:spacing w:after="0"/>
              <w:rPr>
                <w:sz w:val="20"/>
                <w:szCs w:val="20"/>
                <w:color w:val="auto"/>
              </w:rPr>
            </w:pPr>
            <w:r>
              <w:rPr>
                <w:rFonts w:ascii="Arial" w:cs="Arial" w:eastAsia="Arial" w:hAnsi="Arial"/>
                <w:sz w:val="22"/>
                <w:szCs w:val="22"/>
                <w:color w:val="010000"/>
                <w:w w:val="98"/>
              </w:rPr>
              <w:t xml:space="preserve">Article 6.  </w:t>
            </w:r>
            <w:r>
              <w:rPr>
                <w:rFonts w:ascii="Arial" w:cs="Arial" w:eastAsia="Arial" w:hAnsi="Arial"/>
                <w:sz w:val="22"/>
                <w:szCs w:val="22"/>
                <w:color w:val="000000"/>
                <w:w w:val="98"/>
              </w:rPr>
              <w:t>Certain Change in Control Payments</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15</w:t>
              </w:r>
            </w:hyperlink>
          </w:p>
        </w:tc>
      </w:tr>
      <w:tr>
        <w:trPr>
          <w:trHeight w:val="311"/>
        </w:trPr>
        <w:tc>
          <w:tcPr>
            <w:tcW w:w="4500" w:type="dxa"/>
            <w:vAlign w:val="bottom"/>
            <w:gridSpan w:val="2"/>
          </w:tcPr>
          <w:p>
            <w:pPr>
              <w:spacing w:after="0"/>
              <w:rPr>
                <w:sz w:val="20"/>
                <w:szCs w:val="20"/>
                <w:color w:val="auto"/>
              </w:rPr>
            </w:pPr>
            <w:r>
              <w:rPr>
                <w:rFonts w:ascii="Arial" w:cs="Arial" w:eastAsia="Arial" w:hAnsi="Arial"/>
                <w:sz w:val="22"/>
                <w:szCs w:val="22"/>
                <w:color w:val="010000"/>
              </w:rPr>
              <w:t xml:space="preserve">Article 7.  </w:t>
            </w:r>
            <w:r>
              <w:rPr>
                <w:rFonts w:ascii="Arial" w:cs="Arial" w:eastAsia="Arial" w:hAnsi="Arial"/>
                <w:sz w:val="22"/>
                <w:szCs w:val="22"/>
                <w:color w:val="000000"/>
              </w:rPr>
              <w:t>Legal Fees and Notice</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15</w:t>
              </w:r>
            </w:hyperlink>
          </w:p>
        </w:tc>
      </w:tr>
      <w:tr>
        <w:trPr>
          <w:trHeight w:val="310"/>
        </w:trPr>
        <w:tc>
          <w:tcPr>
            <w:tcW w:w="4500" w:type="dxa"/>
            <w:vAlign w:val="bottom"/>
            <w:gridSpan w:val="2"/>
          </w:tcPr>
          <w:p>
            <w:pPr>
              <w:spacing w:after="0"/>
              <w:rPr>
                <w:sz w:val="20"/>
                <w:szCs w:val="20"/>
                <w:color w:val="auto"/>
              </w:rPr>
            </w:pPr>
            <w:r>
              <w:rPr>
                <w:rFonts w:ascii="Arial" w:cs="Arial" w:eastAsia="Arial" w:hAnsi="Arial"/>
                <w:sz w:val="22"/>
                <w:szCs w:val="22"/>
                <w:color w:val="010000"/>
              </w:rPr>
              <w:t xml:space="preserve">Article 8.  </w:t>
            </w:r>
            <w:r>
              <w:rPr>
                <w:rFonts w:ascii="Arial" w:cs="Arial" w:eastAsia="Arial" w:hAnsi="Arial"/>
                <w:sz w:val="22"/>
                <w:szCs w:val="22"/>
                <w:color w:val="000000"/>
              </w:rPr>
              <w:t>Successors and Assignment</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16</w:t>
              </w:r>
            </w:hyperlink>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010000"/>
              </w:rPr>
              <w:t>Article 9.</w:t>
            </w:r>
          </w:p>
        </w:tc>
        <w:tc>
          <w:tcPr>
            <w:tcW w:w="3560" w:type="dxa"/>
            <w:vAlign w:val="bottom"/>
          </w:tcPr>
          <w:p>
            <w:pPr>
              <w:ind w:left="100"/>
              <w:spacing w:after="0"/>
              <w:rPr>
                <w:sz w:val="20"/>
                <w:szCs w:val="20"/>
                <w:color w:val="auto"/>
              </w:rPr>
            </w:pPr>
            <w:r>
              <w:rPr>
                <w:rFonts w:ascii="Arial" w:cs="Arial" w:eastAsia="Arial" w:hAnsi="Arial"/>
                <w:sz w:val="22"/>
                <w:szCs w:val="22"/>
                <w:color w:val="auto"/>
              </w:rPr>
              <w:t>Miscellaneous</w:t>
            </w:r>
          </w:p>
        </w:tc>
        <w:tc>
          <w:tcPr>
            <w:tcW w:w="6720" w:type="dxa"/>
            <w:vAlign w:val="bottom"/>
          </w:tcPr>
          <w:p>
            <w:pPr>
              <w:ind w:left="5620"/>
              <w:spacing w:after="0"/>
              <w:rPr>
                <w:rFonts w:ascii="Arial" w:cs="Arial" w:eastAsia="Arial" w:hAnsi="Arial"/>
                <w:sz w:val="22"/>
                <w:szCs w:val="22"/>
                <w:u w:val="single" w:color="auto"/>
                <w:color w:val="auto"/>
              </w:rPr>
            </w:pPr>
            <w:hyperlink w:anchor="page235">
              <w:r>
                <w:rPr>
                  <w:rFonts w:ascii="Arial" w:cs="Arial" w:eastAsia="Arial" w:hAnsi="Arial"/>
                  <w:sz w:val="22"/>
                  <w:szCs w:val="22"/>
                  <w:u w:val="single" w:color="auto"/>
                  <w:color w:val="auto"/>
                </w:rPr>
                <w:t>16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2" w:right="3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b w:val="1"/>
          <w:bCs w:val="1"/>
          <w:color w:val="auto"/>
        </w:rPr>
        <w:t>Clearway Energy,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Management Change-in-Control and General Severance Plan</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1.</w:t>
      </w:r>
      <w:r>
        <w:rPr>
          <w:sz w:val="20"/>
          <w:szCs w:val="20"/>
          <w:color w:val="auto"/>
        </w:rPr>
        <w:tab/>
      </w:r>
      <w:r>
        <w:rPr>
          <w:rFonts w:ascii="Arial" w:cs="Arial" w:eastAsia="Arial" w:hAnsi="Arial"/>
          <w:sz w:val="19"/>
          <w:szCs w:val="19"/>
          <w:b w:val="1"/>
          <w:bCs w:val="1"/>
          <w:color w:val="auto"/>
        </w:rPr>
        <w:t>Establishment and Term of the Plan</w:t>
      </w:r>
    </w:p>
    <w:p>
      <w:pPr>
        <w:spacing w:after="0" w:line="196" w:lineRule="exact"/>
        <w:rPr>
          <w:sz w:val="20"/>
          <w:szCs w:val="20"/>
          <w:color w:val="auto"/>
        </w:rPr>
      </w:pPr>
    </w:p>
    <w:p>
      <w:pPr>
        <w:ind w:left="1080" w:hanging="424"/>
        <w:spacing w:after="0"/>
        <w:tabs>
          <w:tab w:leader="none" w:pos="1080"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color w:val="auto"/>
        </w:rPr>
        <w:t>Establishment of the Plan</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Clearway Energy, Inc. (hereinafter referred to as the “</w:t>
      </w:r>
      <w:r>
        <w:rPr>
          <w:rFonts w:ascii="Arial" w:cs="Arial" w:eastAsia="Arial" w:hAnsi="Arial"/>
          <w:sz w:val="19"/>
          <w:szCs w:val="19"/>
          <w:u w:val="single" w:color="auto"/>
          <w:color w:val="auto"/>
        </w:rPr>
        <w:t>Company</w:t>
      </w:r>
      <w:r>
        <w:rPr>
          <w:rFonts w:ascii="Arial" w:cs="Arial" w:eastAsia="Arial" w:hAnsi="Arial"/>
          <w:sz w:val="19"/>
          <w:szCs w:val="19"/>
          <w:color w:val="auto"/>
        </w:rPr>
        <w:t>”) originally adopted this Key Management Change-in-Control and General Severance Plan (the “</w:t>
      </w:r>
      <w:r>
        <w:rPr>
          <w:rFonts w:ascii="Arial" w:cs="Arial" w:eastAsia="Arial" w:hAnsi="Arial"/>
          <w:sz w:val="19"/>
          <w:szCs w:val="19"/>
          <w:u w:val="single" w:color="auto"/>
          <w:color w:val="auto"/>
        </w:rPr>
        <w:t>Plan</w:t>
      </w:r>
      <w:r>
        <w:rPr>
          <w:rFonts w:ascii="Arial" w:cs="Arial" w:eastAsia="Arial" w:hAnsi="Arial"/>
          <w:sz w:val="19"/>
          <w:szCs w:val="19"/>
          <w:color w:val="auto"/>
        </w:rPr>
        <w:t>”) effective January 1, 2017. The Plan was amended and restated by the Company as of January 1, 2018, again as of January 1, 2019 and February 18, 2020, and is hereby further amended and restated as of January 1, 2021. The Plan provides Severance Benefits to Vice Presidents and Senior Directors of the Company (each an “</w:t>
      </w:r>
      <w:r>
        <w:rPr>
          <w:rFonts w:ascii="Arial" w:cs="Arial" w:eastAsia="Arial" w:hAnsi="Arial"/>
          <w:sz w:val="19"/>
          <w:szCs w:val="19"/>
          <w:u w:val="single" w:color="auto"/>
          <w:color w:val="auto"/>
        </w:rPr>
        <w:t>Executive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Executives</w:t>
      </w:r>
      <w:r>
        <w:rPr>
          <w:rFonts w:ascii="Arial" w:cs="Arial" w:eastAsia="Arial" w:hAnsi="Arial"/>
          <w:sz w:val="19"/>
          <w:szCs w:val="19"/>
          <w:color w:val="auto"/>
        </w:rPr>
        <w:t>”) upon certain terminations of employment from the Company.</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179" w:lineRule="exact"/>
        <w:rPr>
          <w:sz w:val="20"/>
          <w:szCs w:val="20"/>
          <w:color w:val="auto"/>
        </w:rPr>
      </w:pPr>
    </w:p>
    <w:p>
      <w:pPr>
        <w:ind w:left="1080" w:hanging="424"/>
        <w:spacing w:after="0"/>
        <w:tabs>
          <w:tab w:leader="none" w:pos="1080"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color w:val="auto"/>
        </w:rPr>
        <w:t>Initial Term</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This Plan commenced on January 1, 2017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shall continue in effect for a period of three (3) years (the “</w:t>
      </w:r>
      <w:r>
        <w:rPr>
          <w:rFonts w:ascii="Arial" w:cs="Arial" w:eastAsia="Arial" w:hAnsi="Arial"/>
          <w:sz w:val="22"/>
          <w:szCs w:val="22"/>
          <w:u w:val="single" w:color="auto"/>
          <w:color w:val="auto"/>
        </w:rPr>
        <w:t>Initial Term</w:t>
      </w:r>
      <w:r>
        <w:rPr>
          <w:rFonts w:ascii="Arial" w:cs="Arial" w:eastAsia="Arial" w:hAnsi="Arial"/>
          <w:sz w:val="22"/>
          <w:szCs w:val="22"/>
          <w:color w:val="auto"/>
        </w:rPr>
        <w:t>”).</w:t>
      </w:r>
    </w:p>
    <w:p>
      <w:pPr>
        <w:spacing w:after="0" w:line="169" w:lineRule="exact"/>
        <w:rPr>
          <w:sz w:val="20"/>
          <w:szCs w:val="20"/>
          <w:color w:val="auto"/>
        </w:rPr>
      </w:pPr>
    </w:p>
    <w:p>
      <w:pPr>
        <w:ind w:left="1080" w:hanging="424"/>
        <w:spacing w:after="0"/>
        <w:tabs>
          <w:tab w:leader="none" w:pos="1080" w:val="left"/>
        </w:tabs>
        <w:numPr>
          <w:ilvl w:val="0"/>
          <w:numId w:val="242"/>
        </w:numPr>
        <w:rPr>
          <w:rFonts w:ascii="Arial" w:cs="Arial" w:eastAsia="Arial" w:hAnsi="Arial"/>
          <w:sz w:val="22"/>
          <w:szCs w:val="22"/>
          <w:b w:val="1"/>
          <w:bCs w:val="1"/>
          <w:color w:val="auto"/>
        </w:rPr>
      </w:pPr>
      <w:r>
        <w:rPr>
          <w:rFonts w:ascii="Arial" w:cs="Arial" w:eastAsia="Arial" w:hAnsi="Arial"/>
          <w:sz w:val="22"/>
          <w:szCs w:val="22"/>
          <w:b w:val="1"/>
          <w:bCs w:val="1"/>
          <w:color w:val="auto"/>
        </w:rPr>
        <w:t>Successive Periods</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term of this Plan shall automatically be extended for one (1) additional year at the end of the Initial Term, and then again after each successive one (1) year period thereafter (each such one (1) year period following the Initial Term is referred to as a “</w:t>
      </w:r>
      <w:r>
        <w:rPr>
          <w:rFonts w:ascii="Arial" w:cs="Arial" w:eastAsia="Arial" w:hAnsi="Arial"/>
          <w:sz w:val="22"/>
          <w:szCs w:val="22"/>
          <w:u w:val="single" w:color="auto"/>
          <w:color w:val="auto"/>
        </w:rPr>
        <w:t>Successive Period</w:t>
      </w:r>
      <w:r>
        <w:rPr>
          <w:rFonts w:ascii="Arial" w:cs="Arial" w:eastAsia="Arial" w:hAnsi="Arial"/>
          <w:sz w:val="22"/>
          <w:szCs w:val="22"/>
          <w:color w:val="auto"/>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pacing w:after="0" w:line="190" w:lineRule="exact"/>
        <w:rPr>
          <w:sz w:val="20"/>
          <w:szCs w:val="20"/>
          <w:color w:val="auto"/>
        </w:rPr>
      </w:pPr>
    </w:p>
    <w:p>
      <w:pPr>
        <w:ind w:left="1080" w:hanging="424"/>
        <w:spacing w:after="0"/>
        <w:tabs>
          <w:tab w:leader="none" w:pos="1080" w:val="left"/>
        </w:tabs>
        <w:numPr>
          <w:ilvl w:val="0"/>
          <w:numId w:val="243"/>
        </w:numPr>
        <w:rPr>
          <w:rFonts w:ascii="Arial" w:cs="Arial" w:eastAsia="Arial" w:hAnsi="Arial"/>
          <w:sz w:val="22"/>
          <w:szCs w:val="22"/>
          <w:b w:val="1"/>
          <w:bCs w:val="1"/>
          <w:color w:val="auto"/>
        </w:rPr>
      </w:pPr>
      <w:r>
        <w:rPr>
          <w:rFonts w:ascii="Arial" w:cs="Arial" w:eastAsia="Arial" w:hAnsi="Arial"/>
          <w:sz w:val="22"/>
          <w:szCs w:val="22"/>
          <w:b w:val="1"/>
          <w:bCs w:val="1"/>
          <w:color w:val="auto"/>
        </w:rPr>
        <w:t>Change-in-Control Renewal</w:t>
      </w:r>
    </w:p>
    <w:p>
      <w:pPr>
        <w:spacing w:after="0" w:line="200" w:lineRule="exact"/>
        <w:rPr>
          <w:sz w:val="20"/>
          <w:szCs w:val="20"/>
          <w:color w:val="auto"/>
        </w:rPr>
      </w:pPr>
    </w:p>
    <w:p>
      <w:pPr>
        <w:spacing w:after="0" w:line="350"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2" w:right="339" w:bottom="1440" w:gutter="0" w:footer="0" w:header="0"/>
        </w:sectPr>
      </w:pPr>
    </w:p>
    <w:bookmarkStart w:id="236" w:name="page237"/>
    <w:bookmarkEnd w:id="236"/>
    <w:p>
      <w:pPr>
        <w:jc w:val="both"/>
        <w:ind w:firstLine="648"/>
        <w:spacing w:after="0" w:line="294" w:lineRule="auto"/>
        <w:rPr>
          <w:sz w:val="20"/>
          <w:szCs w:val="20"/>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above, in the event that a Change in Control of the Company occurs during the Initial Term or any Successive Period, upon the effective date of 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herein. This Plan shall thereafter automatically terminate following such two (2) year Change-in-Control renewal period; provided that such termination shall not affect or diminish the rights of Executives who become entitled to benefits or payments under this Plan.</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2.</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Whenever used in this Plan, the following terms shall have the meanings set forth below and, when the meaning is intended, the initial letter of the word is capitalized.</w:t>
      </w:r>
    </w:p>
    <w:p>
      <w:pPr>
        <w:spacing w:after="0" w:line="169" w:lineRule="exact"/>
        <w:rPr>
          <w:sz w:val="20"/>
          <w:szCs w:val="20"/>
          <w:color w:val="auto"/>
        </w:rPr>
      </w:pPr>
    </w:p>
    <w:p>
      <w:pPr>
        <w:ind w:left="1300" w:hanging="848"/>
        <w:spacing w:after="0"/>
        <w:tabs>
          <w:tab w:leader="none" w:pos="1300" w:val="left"/>
        </w:tabs>
        <w:numPr>
          <w:ilvl w:val="0"/>
          <w:numId w:val="24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Accountants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hanging="644"/>
        <w:spacing w:after="0" w:line="249" w:lineRule="auto"/>
        <w:tabs>
          <w:tab w:leader="none" w:pos="1300" w:val="left"/>
        </w:tabs>
        <w:numPr>
          <w:ilvl w:val="1"/>
          <w:numId w:val="24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(i) any subsidiary corporation of the Company (or its successors), (ii) any corporation, trade or business (including, without limitation, a partnership or limited liability company) which is directly or indirectly controlled fifty percent (50%) or more (whether by ownership of stock, assets or an equivalent ownership interest or voting interest) by the Company (or its successors), or (iii) any other entity (including its successors) which is designated as an Affiliate by the Board.</w:t>
      </w:r>
    </w:p>
    <w:p>
      <w:pPr>
        <w:spacing w:after="0" w:line="186" w:lineRule="exact"/>
        <w:rPr>
          <w:rFonts w:ascii="Arial" w:cs="Arial" w:eastAsia="Arial" w:hAnsi="Arial"/>
          <w:sz w:val="22"/>
          <w:szCs w:val="22"/>
          <w:color w:val="010000"/>
        </w:rPr>
      </w:pPr>
    </w:p>
    <w:p>
      <w:pPr>
        <w:ind w:left="1300" w:hanging="644"/>
        <w:spacing w:after="0" w:line="269" w:lineRule="auto"/>
        <w:tabs>
          <w:tab w:leader="none" w:pos="1300" w:val="left"/>
        </w:tabs>
        <w:numPr>
          <w:ilvl w:val="1"/>
          <w:numId w:val="24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Base Salary</w:t>
      </w:r>
      <w:r>
        <w:rPr>
          <w:rFonts w:ascii="Arial" w:cs="Arial" w:eastAsia="Arial" w:hAnsi="Arial"/>
          <w:sz w:val="22"/>
          <w:szCs w:val="22"/>
          <w:color w:val="auto"/>
        </w:rPr>
        <w:t>” means the greater of the Executive’s annual rate of salary, whether or not deferred, at: (i) the Effective Date of Termination or (ii) at the date of the Change in Control.</w:t>
      </w:r>
    </w:p>
    <w:p>
      <w:pPr>
        <w:spacing w:after="0" w:line="161" w:lineRule="exact"/>
        <w:rPr>
          <w:rFonts w:ascii="Arial" w:cs="Arial" w:eastAsia="Arial" w:hAnsi="Arial"/>
          <w:sz w:val="22"/>
          <w:szCs w:val="22"/>
          <w:color w:val="010000"/>
        </w:rPr>
      </w:pPr>
    </w:p>
    <w:p>
      <w:pPr>
        <w:ind w:left="1300" w:right="20" w:hanging="644"/>
        <w:spacing w:after="0" w:line="269" w:lineRule="auto"/>
        <w:tabs>
          <w:tab w:leader="none" w:pos="1300" w:val="left"/>
        </w:tabs>
        <w:numPr>
          <w:ilvl w:val="1"/>
          <w:numId w:val="24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xml:space="preserve">” means the persons or entities designated or deemed designated by the Executive pursuant to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herein.</w:t>
      </w:r>
    </w:p>
    <w:p>
      <w:pPr>
        <w:spacing w:after="0" w:line="161" w:lineRule="exact"/>
        <w:rPr>
          <w:rFonts w:ascii="Arial" w:cs="Arial" w:eastAsia="Arial" w:hAnsi="Arial"/>
          <w:sz w:val="22"/>
          <w:szCs w:val="22"/>
          <w:color w:val="010000"/>
        </w:rPr>
      </w:pPr>
    </w:p>
    <w:p>
      <w:pPr>
        <w:ind w:left="1300" w:hanging="644"/>
        <w:spacing w:after="0"/>
        <w:tabs>
          <w:tab w:leader="none" w:pos="1300" w:val="left"/>
        </w:tabs>
        <w:numPr>
          <w:ilvl w:val="1"/>
          <w:numId w:val="24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010000"/>
        </w:rPr>
      </w:pPr>
    </w:p>
    <w:p>
      <w:pPr>
        <w:jc w:val="both"/>
        <w:ind w:left="1300" w:hanging="644"/>
        <w:spacing w:after="0" w:line="267" w:lineRule="auto"/>
        <w:tabs>
          <w:tab w:leader="none" w:pos="1300" w:val="left"/>
        </w:tabs>
        <w:numPr>
          <w:ilvl w:val="1"/>
          <w:numId w:val="24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as to any Executive (i) “Cause”, as defined in any employment, consulting or similar agreement between the Executive and the Company or an Affiliate in effect at the time of the Executive’s separation, or (ii) in the absence of any such employment, consulting or similar agreement (or the absence of any definition of “Cause” contained therein), the occurrence of any of the following:</w:t>
      </w:r>
    </w:p>
    <w:p>
      <w:pPr>
        <w:spacing w:after="0" w:line="173" w:lineRule="exact"/>
        <w:rPr>
          <w:rFonts w:ascii="Arial" w:cs="Arial" w:eastAsia="Arial" w:hAnsi="Arial"/>
          <w:sz w:val="21"/>
          <w:szCs w:val="21"/>
          <w:color w:val="010000"/>
        </w:rPr>
      </w:pPr>
    </w:p>
    <w:p>
      <w:pPr>
        <w:jc w:val="both"/>
        <w:ind w:left="1960" w:hanging="770"/>
        <w:spacing w:after="0" w:line="253" w:lineRule="auto"/>
        <w:tabs>
          <w:tab w:leader="none" w:pos="1960" w:val="left"/>
        </w:tabs>
        <w:numPr>
          <w:ilvl w:val="2"/>
          <w:numId w:val="244"/>
        </w:numPr>
        <w:rPr>
          <w:rFonts w:ascii="Arial" w:cs="Arial" w:eastAsia="Arial" w:hAnsi="Arial"/>
          <w:sz w:val="22"/>
          <w:szCs w:val="22"/>
          <w:color w:val="010000"/>
        </w:rPr>
      </w:pPr>
      <w:r>
        <w:rPr>
          <w:rFonts w:ascii="Arial" w:cs="Arial" w:eastAsia="Arial" w:hAnsi="Arial"/>
          <w:sz w:val="22"/>
          <w:szCs w:val="22"/>
          <w:color w:val="auto"/>
        </w:rPr>
        <w:t>the Executive’s willful misconduct or gross negligence in the performance of the Executive’s duties to the Company or an Affiliate that has or could reasonably be expected to have an adverse effect on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2</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37" w:name="page238"/>
    <w:bookmarkEnd w:id="237"/>
    <w:p>
      <w:pPr>
        <w:ind w:left="1960" w:hanging="830"/>
        <w:spacing w:after="0" w:line="263" w:lineRule="auto"/>
        <w:tabs>
          <w:tab w:leader="none" w:pos="1960" w:val="left"/>
        </w:tabs>
        <w:numPr>
          <w:ilvl w:val="2"/>
          <w:numId w:val="245"/>
        </w:numPr>
        <w:rPr>
          <w:rFonts w:ascii="Arial" w:cs="Arial" w:eastAsia="Arial" w:hAnsi="Arial"/>
          <w:sz w:val="22"/>
          <w:szCs w:val="22"/>
          <w:color w:val="010000"/>
        </w:rPr>
      </w:pPr>
      <w:r>
        <w:rPr>
          <w:rFonts w:ascii="Arial" w:cs="Arial" w:eastAsia="Arial" w:hAnsi="Arial"/>
          <w:sz w:val="22"/>
          <w:szCs w:val="22"/>
          <w:color w:val="auto"/>
        </w:rPr>
        <w:t>the Executive’s willful failure to perform the Executive’s duties to the Company or an Affiliate (other than as a result of death or a physical or mental incapacity);</w:t>
      </w:r>
    </w:p>
    <w:p>
      <w:pPr>
        <w:spacing w:after="0" w:line="174" w:lineRule="exact"/>
        <w:rPr>
          <w:rFonts w:ascii="Arial" w:cs="Arial" w:eastAsia="Arial" w:hAnsi="Arial"/>
          <w:sz w:val="22"/>
          <w:szCs w:val="22"/>
          <w:color w:val="010000"/>
        </w:rPr>
      </w:pPr>
    </w:p>
    <w:p>
      <w:pPr>
        <w:ind w:left="1960" w:hanging="890"/>
        <w:spacing w:after="0" w:line="263" w:lineRule="auto"/>
        <w:tabs>
          <w:tab w:leader="none" w:pos="1960" w:val="left"/>
        </w:tabs>
        <w:numPr>
          <w:ilvl w:val="2"/>
          <w:numId w:val="245"/>
        </w:numPr>
        <w:rPr>
          <w:rFonts w:ascii="Arial" w:cs="Arial" w:eastAsia="Arial" w:hAnsi="Arial"/>
          <w:sz w:val="22"/>
          <w:szCs w:val="22"/>
          <w:color w:val="010000"/>
        </w:rPr>
      </w:pPr>
      <w:r>
        <w:rPr>
          <w:rFonts w:ascii="Arial" w:cs="Arial" w:eastAsia="Arial" w:hAnsi="Arial"/>
          <w:sz w:val="22"/>
          <w:szCs w:val="22"/>
          <w:color w:val="auto"/>
        </w:rPr>
        <w:t>indictment for, conviction of, or pleading of guilty or nolo contendere to, a felony or any crime involving moral turpitude;</w:t>
      </w:r>
    </w:p>
    <w:p>
      <w:pPr>
        <w:spacing w:after="0" w:line="174" w:lineRule="exact"/>
        <w:rPr>
          <w:rFonts w:ascii="Arial" w:cs="Arial" w:eastAsia="Arial" w:hAnsi="Arial"/>
          <w:sz w:val="22"/>
          <w:szCs w:val="22"/>
          <w:color w:val="010000"/>
        </w:rPr>
      </w:pPr>
    </w:p>
    <w:p>
      <w:pPr>
        <w:ind w:left="1960" w:hanging="878"/>
        <w:spacing w:after="0" w:line="263" w:lineRule="auto"/>
        <w:tabs>
          <w:tab w:leader="none" w:pos="1946" w:val="left"/>
        </w:tabs>
        <w:numPr>
          <w:ilvl w:val="1"/>
          <w:numId w:val="246"/>
        </w:numPr>
        <w:rPr>
          <w:rFonts w:ascii="Arial" w:cs="Arial" w:eastAsia="Arial" w:hAnsi="Arial"/>
          <w:sz w:val="22"/>
          <w:szCs w:val="22"/>
          <w:color w:val="010000"/>
        </w:rPr>
      </w:pPr>
      <w:r>
        <w:rPr>
          <w:rFonts w:ascii="Arial" w:cs="Arial" w:eastAsia="Arial" w:hAnsi="Arial"/>
          <w:sz w:val="22"/>
          <w:szCs w:val="22"/>
          <w:color w:val="auto"/>
        </w:rPr>
        <w:t>the Executive’s performance of any material act of theft, fraud, malfeasance or dishonesty in connection with the performance of the Executive’s duties to the Company or an Affiliate;</w:t>
      </w:r>
    </w:p>
    <w:p>
      <w:pPr>
        <w:spacing w:after="0" w:line="174" w:lineRule="exact"/>
        <w:rPr>
          <w:rFonts w:ascii="Arial" w:cs="Arial" w:eastAsia="Arial" w:hAnsi="Arial"/>
          <w:sz w:val="22"/>
          <w:szCs w:val="22"/>
          <w:color w:val="010000"/>
        </w:rPr>
      </w:pPr>
    </w:p>
    <w:p>
      <w:pPr>
        <w:ind w:left="1960" w:hanging="818"/>
        <w:spacing w:after="0" w:line="263" w:lineRule="auto"/>
        <w:tabs>
          <w:tab w:leader="none" w:pos="1946" w:val="left"/>
        </w:tabs>
        <w:numPr>
          <w:ilvl w:val="1"/>
          <w:numId w:val="246"/>
        </w:numPr>
        <w:rPr>
          <w:rFonts w:ascii="Arial" w:cs="Arial" w:eastAsia="Arial" w:hAnsi="Arial"/>
          <w:sz w:val="22"/>
          <w:szCs w:val="22"/>
          <w:color w:val="010000"/>
        </w:rPr>
      </w:pPr>
      <w:r>
        <w:rPr>
          <w:rFonts w:ascii="Arial" w:cs="Arial" w:eastAsia="Arial" w:hAnsi="Arial"/>
          <w:sz w:val="22"/>
          <w:szCs w:val="22"/>
          <w:color w:val="auto"/>
        </w:rPr>
        <w:t>breach of any written agreement between the Executive and the Company or an Affiliate, or a violation of the Company’s code of conduct or other written policy; or</w:t>
      </w:r>
    </w:p>
    <w:p>
      <w:pPr>
        <w:spacing w:after="0" w:line="174" w:lineRule="exact"/>
        <w:rPr>
          <w:rFonts w:ascii="Arial" w:cs="Arial" w:eastAsia="Arial" w:hAnsi="Arial"/>
          <w:sz w:val="22"/>
          <w:szCs w:val="22"/>
          <w:color w:val="010000"/>
        </w:rPr>
      </w:pPr>
    </w:p>
    <w:p>
      <w:pPr>
        <w:ind w:left="1960" w:hanging="878"/>
        <w:spacing w:after="0"/>
        <w:tabs>
          <w:tab w:leader="none" w:pos="1960" w:val="left"/>
        </w:tabs>
        <w:numPr>
          <w:ilvl w:val="2"/>
          <w:numId w:val="246"/>
        </w:numPr>
        <w:rPr>
          <w:rFonts w:ascii="Arial" w:cs="Arial" w:eastAsia="Arial" w:hAnsi="Arial"/>
          <w:sz w:val="22"/>
          <w:szCs w:val="22"/>
          <w:color w:val="010000"/>
        </w:rPr>
      </w:pPr>
      <w:r>
        <w:rPr>
          <w:rFonts w:ascii="Arial" w:cs="Arial" w:eastAsia="Arial" w:hAnsi="Arial"/>
          <w:sz w:val="22"/>
          <w:szCs w:val="22"/>
          <w:color w:val="auto"/>
        </w:rPr>
        <w:t xml:space="preserve">any other material breach of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of this Plan.</w:t>
      </w:r>
    </w:p>
    <w:p>
      <w:pPr>
        <w:spacing w:after="0" w:line="219" w:lineRule="exact"/>
        <w:rPr>
          <w:rFonts w:ascii="Arial" w:cs="Arial" w:eastAsia="Arial" w:hAnsi="Arial"/>
          <w:sz w:val="22"/>
          <w:szCs w:val="22"/>
          <w:color w:val="010000"/>
        </w:rPr>
      </w:pPr>
    </w:p>
    <w:p>
      <w:pPr>
        <w:jc w:val="both"/>
        <w:ind w:left="1960"/>
        <w:spacing w:after="0" w:line="261" w:lineRule="auto"/>
        <w:rPr>
          <w:rFonts w:ascii="Arial" w:cs="Arial" w:eastAsia="Arial" w:hAnsi="Arial"/>
          <w:sz w:val="22"/>
          <w:szCs w:val="22"/>
          <w:color w:val="010000"/>
        </w:rPr>
      </w:pPr>
      <w:r>
        <w:rPr>
          <w:rFonts w:ascii="Arial" w:cs="Arial" w:eastAsia="Arial" w:hAnsi="Arial"/>
          <w:sz w:val="21"/>
          <w:szCs w:val="21"/>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 days to fully cure and remedy the neglect or conduct that is the basis of such claim, provided that the Executive’s right to cure shall not apply if there are egregious, habitual or repeated breaches by the Executive.</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Change-in-Control Severance Benefits</w:t>
      </w:r>
      <w:r>
        <w:rPr>
          <w:rFonts w:ascii="Arial" w:cs="Arial" w:eastAsia="Arial" w:hAnsi="Arial"/>
          <w:sz w:val="22"/>
          <w:szCs w:val="22"/>
          <w:color w:val="auto"/>
        </w:rPr>
        <w:t xml:space="preserve">” means the Severance Benefit described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 the first to occur of any of the following events:</w:t>
      </w:r>
    </w:p>
    <w:p>
      <w:pPr>
        <w:spacing w:after="0" w:line="225" w:lineRule="exact"/>
        <w:rPr>
          <w:rFonts w:ascii="Arial" w:cs="Arial" w:eastAsia="Arial" w:hAnsi="Arial"/>
          <w:sz w:val="22"/>
          <w:szCs w:val="22"/>
          <w:color w:val="010000"/>
        </w:rPr>
      </w:pPr>
    </w:p>
    <w:p>
      <w:pPr>
        <w:jc w:val="both"/>
        <w:ind w:left="1960" w:hanging="938"/>
        <w:spacing w:after="0" w:line="259" w:lineRule="auto"/>
        <w:tabs>
          <w:tab w:leader="none" w:pos="1960" w:val="left"/>
        </w:tabs>
        <w:numPr>
          <w:ilvl w:val="2"/>
          <w:numId w:val="247"/>
        </w:numPr>
        <w:rPr>
          <w:rFonts w:ascii="Arial" w:cs="Arial" w:eastAsia="Arial" w:hAnsi="Arial"/>
          <w:sz w:val="21"/>
          <w:szCs w:val="21"/>
          <w:color w:val="010000"/>
        </w:rPr>
      </w:pPr>
      <w:r>
        <w:rPr>
          <w:rFonts w:ascii="Arial" w:cs="Arial" w:eastAsia="Arial" w:hAnsi="Arial"/>
          <w:sz w:val="21"/>
          <w:szCs w:val="21"/>
          <w:color w:val="auto"/>
        </w:rPr>
        <w:t>Any “person” (as that term is used in Sections 13 and 14(d)(2) of the Securities Exchange Act of 1934 (“Exchange Act”)) other than Clearway Energy Group LLC or one of its subsidiaries or affiliates (A) becomes the “beneficial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79" w:lineRule="exact"/>
        <w:rPr>
          <w:rFonts w:ascii="Arial" w:cs="Arial" w:eastAsia="Arial" w:hAnsi="Arial"/>
          <w:sz w:val="21"/>
          <w:szCs w:val="21"/>
          <w:color w:val="010000"/>
        </w:rPr>
      </w:pPr>
    </w:p>
    <w:p>
      <w:pPr>
        <w:ind w:left="1960" w:hanging="998"/>
        <w:spacing w:after="0" w:line="263" w:lineRule="auto"/>
        <w:tabs>
          <w:tab w:leader="none" w:pos="1960" w:val="left"/>
        </w:tabs>
        <w:numPr>
          <w:ilvl w:val="2"/>
          <w:numId w:val="247"/>
        </w:numPr>
        <w:rPr>
          <w:rFonts w:ascii="Arial" w:cs="Arial" w:eastAsia="Arial" w:hAnsi="Arial"/>
          <w:sz w:val="22"/>
          <w:szCs w:val="22"/>
          <w:color w:val="010000"/>
        </w:rPr>
      </w:pPr>
      <w:r>
        <w:rPr>
          <w:rFonts w:ascii="Arial" w:cs="Arial" w:eastAsia="Arial" w:hAnsi="Arial"/>
          <w:sz w:val="22"/>
          <w:szCs w:val="22"/>
          <w:color w:val="auto"/>
        </w:rPr>
        <w:t>Persons who on the Effective Date constitute the Board (the “Incumbent Directors”) cease for any reason, including without limitation,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3</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38" w:name="page239"/>
    <w:bookmarkEnd w:id="238"/>
    <w:p>
      <w:pPr>
        <w:jc w:val="both"/>
        <w:ind w:left="1960"/>
        <w:spacing w:after="0" w:line="289" w:lineRule="auto"/>
        <w:rPr>
          <w:sz w:val="20"/>
          <w:szCs w:val="20"/>
          <w:color w:val="auto"/>
        </w:rPr>
      </w:pPr>
      <w:r>
        <w:rPr>
          <w:rFonts w:ascii="Arial" w:cs="Arial" w:eastAsia="Arial" w:hAnsi="Arial"/>
          <w:sz w:val="19"/>
          <w:szCs w:val="19"/>
          <w:color w:val="auto"/>
        </w:rPr>
        <w:t>of a tender offer, proxy contest, merger, or similar transaction, to 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57" w:lineRule="exact"/>
        <w:rPr>
          <w:sz w:val="20"/>
          <w:szCs w:val="20"/>
          <w:color w:val="auto"/>
        </w:rPr>
      </w:pPr>
    </w:p>
    <w:p>
      <w:pPr>
        <w:jc w:val="both"/>
        <w:ind w:left="1960" w:hanging="878"/>
        <w:spacing w:after="0" w:line="288" w:lineRule="auto"/>
        <w:tabs>
          <w:tab w:leader="none" w:pos="1960" w:val="left"/>
        </w:tabs>
        <w:numPr>
          <w:ilvl w:val="1"/>
          <w:numId w:val="248"/>
        </w:numPr>
        <w:rPr>
          <w:rFonts w:ascii="Arial" w:cs="Arial" w:eastAsia="Arial" w:hAnsi="Arial"/>
          <w:sz w:val="19"/>
          <w:szCs w:val="19"/>
          <w:color w:val="010000"/>
        </w:rPr>
      </w:pPr>
      <w:r>
        <w:rPr>
          <w:rFonts w:ascii="Arial" w:cs="Arial" w:eastAsia="Arial" w:hAnsi="Arial"/>
          <w:sz w:val="19"/>
          <w:szCs w:val="19"/>
          <w:color w:val="auto"/>
        </w:rPr>
        <w:t>Consummation of a reorganization, merger, consolidation, or sale or other disposition of all or substantially all of the assets of the Company (a “Business Combination”),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59" w:lineRule="exact"/>
        <w:rPr>
          <w:rFonts w:ascii="Arial" w:cs="Arial" w:eastAsia="Arial" w:hAnsi="Arial"/>
          <w:sz w:val="19"/>
          <w:szCs w:val="19"/>
          <w:color w:val="010000"/>
        </w:rPr>
      </w:pPr>
    </w:p>
    <w:p>
      <w:pPr>
        <w:ind w:left="1960" w:hanging="818"/>
        <w:spacing w:after="0" w:line="263" w:lineRule="auto"/>
        <w:tabs>
          <w:tab w:leader="none" w:pos="1960" w:val="left"/>
        </w:tabs>
        <w:numPr>
          <w:ilvl w:val="1"/>
          <w:numId w:val="248"/>
        </w:numPr>
        <w:rPr>
          <w:rFonts w:ascii="Arial" w:cs="Arial" w:eastAsia="Arial" w:hAnsi="Arial"/>
          <w:sz w:val="22"/>
          <w:szCs w:val="22"/>
          <w:color w:val="010000"/>
        </w:rPr>
      </w:pPr>
      <w:r>
        <w:rPr>
          <w:rFonts w:ascii="Arial" w:cs="Arial" w:eastAsia="Arial" w:hAnsi="Arial"/>
          <w:sz w:val="22"/>
          <w:szCs w:val="22"/>
          <w:color w:val="auto"/>
        </w:rPr>
        <w:t>The stockholders of the Company approve any plan or proposal for the liquidation or dissolution of the Company.</w:t>
      </w:r>
    </w:p>
    <w:p>
      <w:pPr>
        <w:spacing w:after="0" w:line="168" w:lineRule="exact"/>
        <w:rPr>
          <w:rFonts w:ascii="Arial" w:cs="Arial" w:eastAsia="Arial" w:hAnsi="Arial"/>
          <w:sz w:val="22"/>
          <w:szCs w:val="22"/>
          <w:color w:val="010000"/>
        </w:rPr>
      </w:pPr>
    </w:p>
    <w:p>
      <w:pPr>
        <w:ind w:left="1300" w:right="20" w:hanging="644"/>
        <w:spacing w:after="0" w:line="269" w:lineRule="auto"/>
        <w:tabs>
          <w:tab w:leader="none" w:pos="1300" w:val="left"/>
        </w:tabs>
        <w:numPr>
          <w:ilvl w:val="0"/>
          <w:numId w:val="2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and the treasury regulations and other official guidance promulgated thereunder.</w:t>
      </w:r>
    </w:p>
    <w:p>
      <w:pPr>
        <w:spacing w:after="0" w:line="161" w:lineRule="exact"/>
        <w:rPr>
          <w:rFonts w:ascii="Arial" w:cs="Arial" w:eastAsia="Arial" w:hAnsi="Arial"/>
          <w:sz w:val="22"/>
          <w:szCs w:val="22"/>
          <w:color w:val="010000"/>
        </w:rPr>
      </w:pPr>
    </w:p>
    <w:p>
      <w:pPr>
        <w:ind w:left="1300" w:right="20" w:hanging="644"/>
        <w:spacing w:after="0" w:line="269" w:lineRule="auto"/>
        <w:tabs>
          <w:tab w:leader="none" w:pos="1300" w:val="left"/>
        </w:tabs>
        <w:numPr>
          <w:ilvl w:val="0"/>
          <w:numId w:val="2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Compensation Committee of the Board or any other committee appointed by the Board to perform the functions of the Compensation Committee.</w:t>
      </w:r>
    </w:p>
    <w:p>
      <w:pPr>
        <w:spacing w:after="0" w:line="161" w:lineRule="exact"/>
        <w:rPr>
          <w:rFonts w:ascii="Arial" w:cs="Arial" w:eastAsia="Arial" w:hAnsi="Arial"/>
          <w:sz w:val="22"/>
          <w:szCs w:val="22"/>
          <w:color w:val="010000"/>
        </w:rPr>
      </w:pPr>
    </w:p>
    <w:p>
      <w:pPr>
        <w:ind w:left="1300" w:hanging="644"/>
        <w:spacing w:after="0" w:line="269" w:lineRule="auto"/>
        <w:tabs>
          <w:tab w:leader="none" w:pos="1300" w:val="left"/>
        </w:tabs>
        <w:numPr>
          <w:ilvl w:val="0"/>
          <w:numId w:val="2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xml:space="preserve">” means Clearway Energy, Inc., a Delaware corporation, or any successor thereto as provided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8</w:t>
      </w:r>
      <w:r>
        <w:rPr>
          <w:rFonts w:ascii="Arial" w:cs="Arial" w:eastAsia="Arial" w:hAnsi="Arial"/>
          <w:sz w:val="22"/>
          <w:szCs w:val="22"/>
          <w:color w:val="auto"/>
        </w:rPr>
        <w:t xml:space="preserve"> herein.</w:t>
      </w:r>
    </w:p>
    <w:p>
      <w:pPr>
        <w:spacing w:after="0" w:line="161" w:lineRule="exact"/>
        <w:rPr>
          <w:rFonts w:ascii="Arial" w:cs="Arial" w:eastAsia="Arial" w:hAnsi="Arial"/>
          <w:sz w:val="22"/>
          <w:szCs w:val="22"/>
          <w:color w:val="010000"/>
        </w:rPr>
      </w:pPr>
    </w:p>
    <w:p>
      <w:pPr>
        <w:ind w:left="1300" w:hanging="644"/>
        <w:spacing w:after="0"/>
        <w:tabs>
          <w:tab w:leader="none" w:pos="1300" w:val="left"/>
        </w:tabs>
        <w:numPr>
          <w:ilvl w:val="0"/>
          <w:numId w:val="2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5(a)</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Delay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3.4(b)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4</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39" w:name="page240"/>
    <w:bookmarkEnd w:id="239"/>
    <w:p>
      <w:pPr>
        <w:ind w:left="1300" w:hanging="644"/>
        <w:spacing w:after="0" w:line="269" w:lineRule="auto"/>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shall mean a disability that would entitle Executive to payment of monthly disability payments under any Company long-term disability plan.</w:t>
      </w:r>
    </w:p>
    <w:p>
      <w:pPr>
        <w:spacing w:after="0" w:line="161" w:lineRule="exact"/>
        <w:rPr>
          <w:rFonts w:ascii="Arial" w:cs="Arial" w:eastAsia="Arial" w:hAnsi="Arial"/>
          <w:sz w:val="22"/>
          <w:szCs w:val="22"/>
          <w:color w:val="010000"/>
        </w:rPr>
      </w:pPr>
    </w:p>
    <w:p>
      <w:pPr>
        <w:ind w:left="1300" w:hanging="644"/>
        <w:spacing w:after="0"/>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means the commencement date of this Plan as specified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this Plan.</w:t>
      </w:r>
    </w:p>
    <w:p>
      <w:pPr>
        <w:spacing w:after="0" w:line="219" w:lineRule="exact"/>
        <w:rPr>
          <w:rFonts w:ascii="Arial" w:cs="Arial" w:eastAsia="Arial" w:hAnsi="Arial"/>
          <w:sz w:val="22"/>
          <w:szCs w:val="22"/>
          <w:color w:val="010000"/>
        </w:rPr>
      </w:pPr>
    </w:p>
    <w:p>
      <w:pPr>
        <w:ind w:left="1300" w:hanging="644"/>
        <w:spacing w:after="0" w:line="269" w:lineRule="auto"/>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Effective Date of Termination</w:t>
      </w:r>
      <w:r>
        <w:rPr>
          <w:rFonts w:ascii="Arial" w:cs="Arial" w:eastAsia="Arial" w:hAnsi="Arial"/>
          <w:sz w:val="22"/>
          <w:szCs w:val="22"/>
          <w:color w:val="auto"/>
        </w:rPr>
        <w:t>” means the date on which a Qualifying Termination occurs, as defined hereunder, which triggers the payment of Severance Benefits hereunder.</w:t>
      </w:r>
    </w:p>
    <w:p>
      <w:pPr>
        <w:spacing w:after="0" w:line="161" w:lineRule="exact"/>
        <w:rPr>
          <w:rFonts w:ascii="Arial" w:cs="Arial" w:eastAsia="Arial" w:hAnsi="Arial"/>
          <w:sz w:val="22"/>
          <w:szCs w:val="22"/>
          <w:color w:val="010000"/>
        </w:rPr>
      </w:pPr>
    </w:p>
    <w:p>
      <w:pPr>
        <w:ind w:left="1300" w:hanging="644"/>
        <w:spacing w:after="0"/>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Executive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line="269" w:lineRule="auto"/>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Former Parent Company</w:t>
      </w:r>
      <w:r>
        <w:rPr>
          <w:rFonts w:ascii="Arial" w:cs="Arial" w:eastAsia="Arial" w:hAnsi="Arial"/>
          <w:sz w:val="22"/>
          <w:szCs w:val="22"/>
          <w:color w:val="auto"/>
        </w:rPr>
        <w:t>” means, collectively, NRG Energy, Inc., a Delaware corporation, Xcel Energy, Inc., a Minnesota corporation, and their affiliates and any successors thereto.</w:t>
      </w:r>
    </w:p>
    <w:p>
      <w:pPr>
        <w:spacing w:after="0" w:line="161" w:lineRule="exact"/>
        <w:rPr>
          <w:rFonts w:ascii="Arial" w:cs="Arial" w:eastAsia="Arial" w:hAnsi="Arial"/>
          <w:sz w:val="22"/>
          <w:szCs w:val="22"/>
          <w:color w:val="010000"/>
        </w:rPr>
      </w:pPr>
    </w:p>
    <w:p>
      <w:pPr>
        <w:ind w:left="1300" w:hanging="644"/>
        <w:spacing w:after="0"/>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General Severance Benefits</w:t>
      </w:r>
      <w:r>
        <w:rPr>
          <w:rFonts w:ascii="Arial" w:cs="Arial" w:eastAsia="Arial" w:hAnsi="Arial"/>
          <w:sz w:val="22"/>
          <w:szCs w:val="22"/>
          <w:color w:val="auto"/>
        </w:rPr>
        <w:t xml:space="preserve">” means the Severance Benefit described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right="20" w:hanging="644"/>
        <w:spacing w:after="0" w:line="269" w:lineRule="auto"/>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shall mean without the Executive’s express written consent the occurrence of any one or more of the following:</w:t>
      </w:r>
    </w:p>
    <w:p>
      <w:pPr>
        <w:spacing w:after="0" w:line="167" w:lineRule="exact"/>
        <w:rPr>
          <w:rFonts w:ascii="Arial" w:cs="Arial" w:eastAsia="Arial" w:hAnsi="Arial"/>
          <w:sz w:val="22"/>
          <w:szCs w:val="22"/>
          <w:color w:val="010000"/>
        </w:rPr>
      </w:pPr>
    </w:p>
    <w:p>
      <w:pPr>
        <w:jc w:val="both"/>
        <w:ind w:left="1960" w:hanging="878"/>
        <w:spacing w:after="0" w:line="285" w:lineRule="auto"/>
        <w:tabs>
          <w:tab w:leader="none" w:pos="1960" w:val="left"/>
        </w:tabs>
        <w:numPr>
          <w:ilvl w:val="2"/>
          <w:numId w:val="250"/>
        </w:numPr>
        <w:rPr>
          <w:rFonts w:ascii="Arial" w:cs="Arial" w:eastAsia="Arial" w:hAnsi="Arial"/>
          <w:sz w:val="19"/>
          <w:szCs w:val="19"/>
          <w:color w:val="010000"/>
        </w:rPr>
      </w:pPr>
      <w:r>
        <w:rPr>
          <w:rFonts w:ascii="Arial" w:cs="Arial" w:eastAsia="Arial" w:hAnsi="Arial"/>
          <w:sz w:val="19"/>
          <w:szCs w:val="19"/>
          <w:color w:val="auto"/>
        </w:rPr>
        <w:t xml:space="preserve">The Company reduces the amount of the Executive’s then current Base Salary or target total compensation by more than fifteen percent (15%), excluding across-the-board reductions to the Executive’s then current Base Salary or annual bonus target pursuant to a compensation reduction program that applies to substantially all similarly situated executives of the Company; provided that, if any reduction of Base Salary or target total compensation occurs during the eighteen (18)-month period described in </w:t>
      </w:r>
      <w:r>
        <w:rPr>
          <w:rFonts w:ascii="Arial" w:cs="Arial" w:eastAsia="Arial" w:hAnsi="Arial"/>
          <w:sz w:val="19"/>
          <w:szCs w:val="19"/>
          <w:u w:val="single" w:color="auto"/>
          <w:color w:val="auto"/>
        </w:rPr>
        <w:t>Section 2(z)</w:t>
      </w:r>
    </w:p>
    <w:p>
      <w:pPr>
        <w:spacing w:after="0" w:line="3" w:lineRule="exact"/>
        <w:rPr>
          <w:rFonts w:ascii="Arial" w:cs="Arial" w:eastAsia="Arial" w:hAnsi="Arial"/>
          <w:sz w:val="19"/>
          <w:szCs w:val="19"/>
          <w:color w:val="010000"/>
        </w:rPr>
      </w:pPr>
    </w:p>
    <w:p>
      <w:pPr>
        <w:ind w:left="1960"/>
        <w:spacing w:after="0" w:line="323" w:lineRule="auto"/>
        <w:rPr>
          <w:rFonts w:ascii="Arial" w:cs="Arial" w:eastAsia="Arial" w:hAnsi="Arial"/>
          <w:sz w:val="19"/>
          <w:szCs w:val="19"/>
          <w:color w:val="010000"/>
        </w:rPr>
      </w:pPr>
      <w:r>
        <w:rPr>
          <w:rFonts w:ascii="Arial" w:cs="Arial" w:eastAsia="Arial" w:hAnsi="Arial"/>
          <w:sz w:val="19"/>
          <w:szCs w:val="19"/>
          <w:u w:val="single" w:color="auto"/>
          <w:color w:val="auto"/>
        </w:rPr>
        <w:t>(i)</w:t>
      </w:r>
      <w:r>
        <w:rPr>
          <w:rFonts w:ascii="Arial" w:cs="Arial" w:eastAsia="Arial" w:hAnsi="Arial"/>
          <w:sz w:val="19"/>
          <w:szCs w:val="19"/>
          <w:color w:val="auto"/>
        </w:rPr>
        <w:t xml:space="preserve"> (without regard to whether the reduction applies on an across-the-board basis as described above), then such reduction shall be deemed to constitute Good Reason for purposes of the Plan; or</w:t>
      </w:r>
    </w:p>
    <w:p>
      <w:pPr>
        <w:spacing w:after="0" w:line="122" w:lineRule="exact"/>
        <w:rPr>
          <w:rFonts w:ascii="Arial" w:cs="Arial" w:eastAsia="Arial" w:hAnsi="Arial"/>
          <w:sz w:val="19"/>
          <w:szCs w:val="19"/>
          <w:color w:val="010000"/>
        </w:rPr>
      </w:pPr>
    </w:p>
    <w:p>
      <w:pPr>
        <w:jc w:val="both"/>
        <w:ind w:left="1960" w:hanging="938"/>
        <w:spacing w:after="0" w:line="250" w:lineRule="auto"/>
        <w:tabs>
          <w:tab w:leader="none" w:pos="1960" w:val="left"/>
        </w:tabs>
        <w:numPr>
          <w:ilvl w:val="2"/>
          <w:numId w:val="250"/>
        </w:numPr>
        <w:rPr>
          <w:rFonts w:ascii="Arial" w:cs="Arial" w:eastAsia="Arial" w:hAnsi="Arial"/>
          <w:sz w:val="22"/>
          <w:szCs w:val="22"/>
          <w:color w:val="010000"/>
        </w:rPr>
      </w:pPr>
      <w:r>
        <w:rPr>
          <w:rFonts w:ascii="Arial" w:cs="Arial" w:eastAsia="Arial" w:hAnsi="Arial"/>
          <w:sz w:val="22"/>
          <w:szCs w:val="22"/>
          <w:color w:val="auto"/>
        </w:rPr>
        <w:t>A material reduction in the Executive’s benefits under or relative level of participation in the Company’s employee benefit or retirement plans, policies, practices, or arrangements in which the Executive participates as of the Effective Date of this Plan, or as of the commencement of Executive’s participation in this Plan, as applicable; or</w:t>
      </w:r>
    </w:p>
    <w:p>
      <w:pPr>
        <w:spacing w:after="0" w:line="187" w:lineRule="exact"/>
        <w:rPr>
          <w:rFonts w:ascii="Arial" w:cs="Arial" w:eastAsia="Arial" w:hAnsi="Arial"/>
          <w:sz w:val="22"/>
          <w:szCs w:val="22"/>
          <w:color w:val="010000"/>
        </w:rPr>
      </w:pPr>
    </w:p>
    <w:p>
      <w:pPr>
        <w:ind w:left="1960" w:right="20" w:hanging="998"/>
        <w:spacing w:after="0" w:line="263" w:lineRule="auto"/>
        <w:tabs>
          <w:tab w:leader="none" w:pos="1960" w:val="left"/>
        </w:tabs>
        <w:numPr>
          <w:ilvl w:val="2"/>
          <w:numId w:val="250"/>
        </w:numPr>
        <w:rPr>
          <w:rFonts w:ascii="Arial" w:cs="Arial" w:eastAsia="Arial" w:hAnsi="Arial"/>
          <w:sz w:val="22"/>
          <w:szCs w:val="22"/>
          <w:color w:val="010000"/>
        </w:rPr>
      </w:pPr>
      <w:r>
        <w:rPr>
          <w:rFonts w:ascii="Arial" w:cs="Arial" w:eastAsia="Arial" w:hAnsi="Arial"/>
          <w:sz w:val="22"/>
          <w:szCs w:val="22"/>
          <w:color w:val="auto"/>
        </w:rPr>
        <w:t>A material diminution in the Executive’s title, authority, duties, or responsibilities or the assignment of duties to the Executive which are materially inconsistent with his position; or</w:t>
      </w:r>
    </w:p>
    <w:p>
      <w:pPr>
        <w:spacing w:after="0" w:line="174" w:lineRule="exact"/>
        <w:rPr>
          <w:rFonts w:ascii="Arial" w:cs="Arial" w:eastAsia="Arial" w:hAnsi="Arial"/>
          <w:sz w:val="22"/>
          <w:szCs w:val="22"/>
          <w:color w:val="010000"/>
        </w:rPr>
      </w:pPr>
    </w:p>
    <w:p>
      <w:pPr>
        <w:ind w:left="1960" w:hanging="986"/>
        <w:spacing w:after="0" w:line="343" w:lineRule="auto"/>
        <w:tabs>
          <w:tab w:leader="none" w:pos="1946" w:val="left"/>
        </w:tabs>
        <w:numPr>
          <w:ilvl w:val="1"/>
          <w:numId w:val="250"/>
        </w:numPr>
        <w:rPr>
          <w:rFonts w:ascii="Arial" w:cs="Arial" w:eastAsia="Arial" w:hAnsi="Arial"/>
          <w:sz w:val="19"/>
          <w:szCs w:val="19"/>
          <w:color w:val="010000"/>
        </w:rPr>
      </w:pPr>
      <w:r>
        <w:rPr>
          <w:rFonts w:ascii="Arial" w:cs="Arial" w:eastAsia="Arial" w:hAnsi="Arial"/>
          <w:sz w:val="19"/>
          <w:szCs w:val="19"/>
          <w:color w:val="auto"/>
        </w:rPr>
        <w:t>Any relocation of the Executive’s principal place of employment to a location that is more than fifty (50) miles from the Executive’s place of employment as of the Effective Date of this Plan, or as of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5</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2" w:right="339" w:bottom="1440" w:gutter="0" w:footer="0" w:header="0"/>
        </w:sectPr>
      </w:pPr>
    </w:p>
    <w:bookmarkStart w:id="240" w:name="page241"/>
    <w:bookmarkEnd w:id="240"/>
    <w:p>
      <w:pPr>
        <w:ind w:left="1960"/>
        <w:spacing w:after="0" w:line="263" w:lineRule="auto"/>
        <w:rPr>
          <w:sz w:val="20"/>
          <w:szCs w:val="20"/>
          <w:color w:val="auto"/>
        </w:rPr>
      </w:pPr>
      <w:r>
        <w:rPr>
          <w:rFonts w:ascii="Arial" w:cs="Arial" w:eastAsia="Arial" w:hAnsi="Arial"/>
          <w:sz w:val="22"/>
          <w:szCs w:val="22"/>
          <w:color w:val="auto"/>
        </w:rPr>
        <w:t>commencement of Executive’s participation in this Plan, as applicable, but only if such new location is not closer to the Executive’s primary residence; or</w:t>
      </w:r>
    </w:p>
    <w:p>
      <w:pPr>
        <w:spacing w:after="0" w:line="175" w:lineRule="exact"/>
        <w:rPr>
          <w:sz w:val="20"/>
          <w:szCs w:val="20"/>
          <w:color w:val="auto"/>
        </w:rPr>
      </w:pPr>
    </w:p>
    <w:p>
      <w:pPr>
        <w:jc w:val="both"/>
        <w:ind w:left="1960" w:hanging="926"/>
        <w:spacing w:after="0" w:line="271" w:lineRule="auto"/>
        <w:tabs>
          <w:tab w:leader="none" w:pos="1946" w:val="left"/>
        </w:tabs>
        <w:numPr>
          <w:ilvl w:val="0"/>
          <w:numId w:val="251"/>
        </w:numPr>
        <w:rPr>
          <w:rFonts w:ascii="Arial" w:cs="Arial" w:eastAsia="Arial" w:hAnsi="Arial"/>
          <w:sz w:val="21"/>
          <w:szCs w:val="21"/>
          <w:color w:val="010000"/>
        </w:rPr>
      </w:pPr>
      <w:r>
        <w:rPr>
          <w:rFonts w:ascii="Arial" w:cs="Arial" w:eastAsia="Arial" w:hAnsi="Arial"/>
          <w:sz w:val="21"/>
          <w:szCs w:val="21"/>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67" w:lineRule="exact"/>
        <w:rPr>
          <w:sz w:val="20"/>
          <w:szCs w:val="20"/>
          <w:color w:val="auto"/>
        </w:rPr>
      </w:pPr>
    </w:p>
    <w:p>
      <w:pPr>
        <w:ind w:left="1300"/>
        <w:spacing w:after="0" w:line="291" w:lineRule="auto"/>
        <w:rPr>
          <w:sz w:val="20"/>
          <w:szCs w:val="20"/>
          <w:color w:val="auto"/>
        </w:rPr>
      </w:pPr>
      <w:r>
        <w:rPr>
          <w:rFonts w:ascii="Arial" w:cs="Arial" w:eastAsia="Arial" w:hAnsi="Arial"/>
          <w:sz w:val="19"/>
          <w:szCs w:val="19"/>
          <w:color w:val="auto"/>
        </w:rPr>
        <w:t>For purposes of this Plan, the Executive is not entitled to assert that his termination is for Good Reason unless the Executive gives the Board written notice of the event or events which are the basis for such claim within ninety</w:t>
      </w:r>
    </w:p>
    <w:p>
      <w:pPr>
        <w:spacing w:after="0" w:line="1" w:lineRule="exact"/>
        <w:rPr>
          <w:sz w:val="20"/>
          <w:szCs w:val="20"/>
          <w:color w:val="auto"/>
        </w:rPr>
      </w:pPr>
    </w:p>
    <w:p>
      <w:pPr>
        <w:jc w:val="both"/>
        <w:ind w:left="1300" w:firstLine="4"/>
        <w:spacing w:after="0" w:line="245" w:lineRule="auto"/>
        <w:tabs>
          <w:tab w:leader="none" w:pos="1725" w:val="left"/>
        </w:tabs>
        <w:numPr>
          <w:ilvl w:val="2"/>
          <w:numId w:val="252"/>
        </w:numPr>
        <w:rPr>
          <w:rFonts w:ascii="Arial" w:cs="Arial" w:eastAsia="Arial" w:hAnsi="Arial"/>
          <w:sz w:val="22"/>
          <w:szCs w:val="22"/>
          <w:color w:val="auto"/>
        </w:rPr>
      </w:pPr>
      <w:r>
        <w:rPr>
          <w:rFonts w:ascii="Arial" w:cs="Arial" w:eastAsia="Arial" w:hAnsi="Arial"/>
          <w:sz w:val="22"/>
          <w:szCs w:val="22"/>
          <w:color w:val="auto"/>
        </w:rPr>
        <w:t>days after the event or events occur, describing such claim in reasonably sufficient detail to allow the Board to address the event or events and a period of not less than thirty (30) days after to cure or fully remedy the alleged condition.</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25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Initial Term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5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Nonsolicitation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5(c)</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hanging="644"/>
        <w:spacing w:after="0" w:line="274" w:lineRule="auto"/>
        <w:tabs>
          <w:tab w:leader="none" w:pos="1300" w:val="left"/>
        </w:tabs>
        <w:numPr>
          <w:ilvl w:val="0"/>
          <w:numId w:val="253"/>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Notice of Termination</w:t>
      </w:r>
      <w:r>
        <w:rPr>
          <w:rFonts w:ascii="Arial" w:cs="Arial" w:eastAsia="Arial" w:hAnsi="Arial"/>
          <w:sz w:val="21"/>
          <w:szCs w:val="21"/>
          <w:color w:val="auto"/>
        </w:rPr>
        <w:t>” shall mean a written notice which shall indicate the specific termination provision in this Plan relied upon, and shall set forth in reasonable detail the facts and circumstances claimed to provide a basis for termination of the Executive’s employment under the provision so indicated.</w:t>
      </w:r>
    </w:p>
    <w:p>
      <w:pPr>
        <w:spacing w:after="0" w:line="158" w:lineRule="exact"/>
        <w:rPr>
          <w:rFonts w:ascii="Arial" w:cs="Arial" w:eastAsia="Arial" w:hAnsi="Arial"/>
          <w:sz w:val="21"/>
          <w:szCs w:val="21"/>
          <w:color w:val="010000"/>
        </w:rPr>
      </w:pPr>
    </w:p>
    <w:p>
      <w:pPr>
        <w:ind w:left="1300" w:hanging="644"/>
        <w:spacing w:after="0"/>
        <w:tabs>
          <w:tab w:leader="none" w:pos="1300" w:val="left"/>
        </w:tabs>
        <w:numPr>
          <w:ilvl w:val="0"/>
          <w:numId w:val="253"/>
        </w:numPr>
        <w:rPr>
          <w:rFonts w:ascii="Arial" w:cs="Arial" w:eastAsia="Arial" w:hAnsi="Arial"/>
          <w:sz w:val="22"/>
          <w:szCs w:val="22"/>
          <w:color w:val="010000"/>
        </w:rPr>
      </w:pPr>
      <w:r>
        <w:rPr>
          <w:rFonts w:ascii="Arial" w:cs="Arial" w:eastAsia="Arial" w:hAnsi="Arial"/>
          <w:sz w:val="22"/>
          <w:szCs w:val="22"/>
          <w:b w:val="1"/>
          <w:bCs w:val="1"/>
          <w:color w:val="auto"/>
        </w:rPr>
        <w:t>“Parachute Payment Ratio</w:t>
      </w:r>
      <w:r>
        <w:rPr>
          <w:rFonts w:ascii="Arial" w:cs="Arial" w:eastAsia="Arial" w:hAnsi="Arial"/>
          <w:sz w:val="22"/>
          <w:szCs w:val="22"/>
          <w:color w:val="auto"/>
        </w:rPr>
        <w:t>” 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5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5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w:t>
      </w:r>
    </w:p>
    <w:p>
      <w:pPr>
        <w:spacing w:after="0" w:line="225" w:lineRule="exact"/>
        <w:rPr>
          <w:rFonts w:ascii="Arial" w:cs="Arial" w:eastAsia="Arial" w:hAnsi="Arial"/>
          <w:sz w:val="22"/>
          <w:szCs w:val="22"/>
          <w:color w:val="010000"/>
        </w:rPr>
      </w:pPr>
    </w:p>
    <w:p>
      <w:pPr>
        <w:ind w:left="1960" w:hanging="986"/>
        <w:spacing w:after="0" w:line="263" w:lineRule="auto"/>
        <w:tabs>
          <w:tab w:leader="none" w:pos="1960" w:val="left"/>
        </w:tabs>
        <w:numPr>
          <w:ilvl w:val="1"/>
          <w:numId w:val="253"/>
        </w:numPr>
        <w:rPr>
          <w:rFonts w:ascii="Arial" w:cs="Arial" w:eastAsia="Arial" w:hAnsi="Arial"/>
          <w:sz w:val="22"/>
          <w:szCs w:val="22"/>
          <w:color w:val="010000"/>
        </w:rPr>
      </w:pPr>
      <w:r>
        <w:rPr>
          <w:rFonts w:ascii="Arial" w:cs="Arial" w:eastAsia="Arial" w:hAnsi="Arial"/>
          <w:sz w:val="22"/>
          <w:szCs w:val="22"/>
          <w:color w:val="auto"/>
        </w:rPr>
        <w:t>If such event occurs within the time period that is six (6) months immediately prior to, or twelve (12) months immediately following a Change in Control:</w:t>
      </w:r>
    </w:p>
    <w:p>
      <w:pPr>
        <w:spacing w:after="0" w:line="174" w:lineRule="exact"/>
        <w:rPr>
          <w:rFonts w:ascii="Arial" w:cs="Arial" w:eastAsia="Arial" w:hAnsi="Arial"/>
          <w:sz w:val="22"/>
          <w:szCs w:val="22"/>
          <w:color w:val="010000"/>
        </w:rPr>
      </w:pPr>
    </w:p>
    <w:p>
      <w:pPr>
        <w:jc w:val="both"/>
        <w:ind w:left="2600" w:hanging="648"/>
        <w:spacing w:after="0" w:line="253" w:lineRule="auto"/>
        <w:tabs>
          <w:tab w:leader="none" w:pos="2588" w:val="left"/>
        </w:tabs>
        <w:numPr>
          <w:ilvl w:val="3"/>
          <w:numId w:val="253"/>
        </w:numPr>
        <w:rPr>
          <w:rFonts w:ascii="Arial" w:cs="Arial" w:eastAsia="Arial" w:hAnsi="Arial"/>
          <w:sz w:val="22"/>
          <w:szCs w:val="22"/>
          <w:color w:val="010000"/>
        </w:rPr>
      </w:pPr>
      <w:r>
        <w:rPr>
          <w:rFonts w:ascii="Arial" w:cs="Arial" w:eastAsia="Arial" w:hAnsi="Arial"/>
          <w:sz w:val="22"/>
          <w:szCs w:val="22"/>
          <w:color w:val="auto"/>
        </w:rPr>
        <w:t>An involuntary termination of the Executive’s employment by the Company for reasons other than Cause, death, or Disability pursuant to a Notice of Termination delivered to the Executive by the Company; or</w:t>
      </w:r>
    </w:p>
    <w:p>
      <w:pPr>
        <w:spacing w:after="0" w:line="185" w:lineRule="exact"/>
        <w:rPr>
          <w:rFonts w:ascii="Arial" w:cs="Arial" w:eastAsia="Arial" w:hAnsi="Arial"/>
          <w:sz w:val="22"/>
          <w:szCs w:val="22"/>
          <w:color w:val="010000"/>
        </w:rPr>
      </w:pPr>
    </w:p>
    <w:p>
      <w:pPr>
        <w:ind w:left="2600" w:right="20" w:hanging="648"/>
        <w:spacing w:after="0" w:line="263" w:lineRule="auto"/>
        <w:tabs>
          <w:tab w:leader="none" w:pos="2600" w:val="left"/>
        </w:tabs>
        <w:numPr>
          <w:ilvl w:val="3"/>
          <w:numId w:val="253"/>
        </w:numPr>
        <w:rPr>
          <w:rFonts w:ascii="Arial" w:cs="Arial" w:eastAsia="Arial" w:hAnsi="Arial"/>
          <w:sz w:val="22"/>
          <w:szCs w:val="22"/>
          <w:color w:val="010000"/>
        </w:rPr>
      </w:pPr>
      <w:r>
        <w:rPr>
          <w:rFonts w:ascii="Arial" w:cs="Arial" w:eastAsia="Arial" w:hAnsi="Arial"/>
          <w:sz w:val="22"/>
          <w:szCs w:val="22"/>
          <w:color w:val="auto"/>
        </w:rPr>
        <w:t>A voluntary termination by the Executive for Good Reason pursuant to a Notice of Termination delivered to the Company by the Executive; or</w:t>
      </w:r>
    </w:p>
    <w:p>
      <w:pPr>
        <w:spacing w:after="0" w:line="174" w:lineRule="exact"/>
        <w:rPr>
          <w:rFonts w:ascii="Arial" w:cs="Arial" w:eastAsia="Arial" w:hAnsi="Arial"/>
          <w:sz w:val="22"/>
          <w:szCs w:val="22"/>
          <w:color w:val="010000"/>
        </w:rPr>
      </w:pPr>
    </w:p>
    <w:p>
      <w:pPr>
        <w:ind w:left="1960" w:hanging="1046"/>
        <w:spacing w:after="0"/>
        <w:tabs>
          <w:tab w:leader="none" w:pos="1960" w:val="left"/>
        </w:tabs>
        <w:numPr>
          <w:ilvl w:val="1"/>
          <w:numId w:val="253"/>
        </w:numPr>
        <w:rPr>
          <w:rFonts w:ascii="Arial" w:cs="Arial" w:eastAsia="Arial" w:hAnsi="Arial"/>
          <w:sz w:val="22"/>
          <w:szCs w:val="22"/>
          <w:color w:val="010000"/>
        </w:rPr>
      </w:pPr>
      <w:r>
        <w:rPr>
          <w:rFonts w:ascii="Arial" w:cs="Arial" w:eastAsia="Arial" w:hAnsi="Arial"/>
          <w:sz w:val="22"/>
          <w:szCs w:val="22"/>
          <w:color w:val="auto"/>
        </w:rPr>
        <w:t>If such event occurs at any 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6</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41" w:name="page242"/>
    <w:bookmarkEnd w:id="241"/>
    <w:p>
      <w:pPr>
        <w:ind w:left="2600" w:right="20" w:hanging="648"/>
        <w:spacing w:after="0" w:line="263" w:lineRule="auto"/>
        <w:tabs>
          <w:tab w:leader="none" w:pos="2588" w:val="left"/>
        </w:tabs>
        <w:numPr>
          <w:ilvl w:val="1"/>
          <w:numId w:val="254"/>
        </w:numPr>
        <w:rPr>
          <w:rFonts w:ascii="Arial" w:cs="Arial" w:eastAsia="Arial" w:hAnsi="Arial"/>
          <w:sz w:val="22"/>
          <w:szCs w:val="22"/>
          <w:color w:val="010000"/>
        </w:rPr>
      </w:pPr>
      <w:r>
        <w:rPr>
          <w:rFonts w:ascii="Arial" w:cs="Arial" w:eastAsia="Arial" w:hAnsi="Arial"/>
          <w:sz w:val="22"/>
          <w:szCs w:val="22"/>
          <w:color w:val="auto"/>
        </w:rPr>
        <w:t>An involuntary termination of the Executive’s employment by the Company due to reductions in force or other factors as a result of a Company restructuring.</w:t>
      </w:r>
    </w:p>
    <w:p>
      <w:pPr>
        <w:spacing w:after="0" w:line="168" w:lineRule="exact"/>
        <w:rPr>
          <w:rFonts w:ascii="Arial" w:cs="Arial" w:eastAsia="Arial" w:hAnsi="Arial"/>
          <w:sz w:val="22"/>
          <w:szCs w:val="22"/>
          <w:color w:val="010000"/>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Release Effective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3.1(d).</w:t>
      </w:r>
    </w:p>
    <w:p>
      <w:pPr>
        <w:spacing w:after="0" w:line="219" w:lineRule="exact"/>
        <w:rPr>
          <w:rFonts w:ascii="Arial" w:cs="Arial" w:eastAsia="Arial" w:hAnsi="Arial"/>
          <w:sz w:val="22"/>
          <w:szCs w:val="22"/>
          <w:color w:val="010000"/>
        </w:rPr>
      </w:pPr>
    </w:p>
    <w:p>
      <w:pPr>
        <w:jc w:val="both"/>
        <w:ind w:left="1300" w:hanging="644"/>
        <w:spacing w:after="0" w:line="274" w:lineRule="auto"/>
        <w:tabs>
          <w:tab w:leader="none" w:pos="1300" w:val="left"/>
        </w:tabs>
        <w:numPr>
          <w:ilvl w:val="0"/>
          <w:numId w:val="255"/>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Senior Director</w:t>
      </w:r>
      <w:r>
        <w:rPr>
          <w:rFonts w:ascii="Arial" w:cs="Arial" w:eastAsia="Arial" w:hAnsi="Arial"/>
          <w:sz w:val="21"/>
          <w:szCs w:val="21"/>
          <w:color w:val="auto"/>
        </w:rPr>
        <w:t>” shall include those employees of the Company with the Job Level of Senior Director immediately prior to the Change in Control, or such other employee who is designated as a Senior Director in the Company’s human resources information system immediately prior to the Change in Control.</w:t>
      </w:r>
    </w:p>
    <w:p>
      <w:pPr>
        <w:spacing w:after="0" w:line="158" w:lineRule="exact"/>
        <w:rPr>
          <w:rFonts w:ascii="Arial" w:cs="Arial" w:eastAsia="Arial" w:hAnsi="Arial"/>
          <w:sz w:val="21"/>
          <w:szCs w:val="21"/>
          <w:color w:val="010000"/>
        </w:rPr>
      </w:pPr>
    </w:p>
    <w:p>
      <w:pPr>
        <w:ind w:left="1300" w:hanging="644"/>
        <w:spacing w:after="0" w:line="269" w:lineRule="auto"/>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Severance Benefits</w:t>
      </w:r>
      <w:r>
        <w:rPr>
          <w:rFonts w:ascii="Arial" w:cs="Arial" w:eastAsia="Arial" w:hAnsi="Arial"/>
          <w:sz w:val="22"/>
          <w:szCs w:val="22"/>
          <w:color w:val="auto"/>
        </w:rPr>
        <w:t xml:space="preserve">” means the payment of Change-in-Control or General (as appropriate) Severance compensation as provided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herein.</w:t>
      </w:r>
    </w:p>
    <w:p>
      <w:pPr>
        <w:spacing w:after="0" w:line="161" w:lineRule="exact"/>
        <w:rPr>
          <w:rFonts w:ascii="Arial" w:cs="Arial" w:eastAsia="Arial" w:hAnsi="Arial"/>
          <w:sz w:val="22"/>
          <w:szCs w:val="22"/>
          <w:color w:val="010000"/>
        </w:rPr>
      </w:pPr>
    </w:p>
    <w:p>
      <w:pPr>
        <w:jc w:val="both"/>
        <w:ind w:left="1300" w:hanging="644"/>
        <w:spacing w:after="0" w:line="256" w:lineRule="auto"/>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Severance Weeks</w:t>
      </w:r>
      <w:r>
        <w:rPr>
          <w:rFonts w:ascii="Arial" w:cs="Arial" w:eastAsia="Arial" w:hAnsi="Arial"/>
          <w:sz w:val="22"/>
          <w:szCs w:val="22"/>
          <w:color w:val="auto"/>
        </w:rPr>
        <w:t>” means the greater of (i) twenty-four (24) or (ii) the product of one and one half (1.5) and the number of Executive’s Years of Service, provided that the maximum number of Severance Weeks shall be fifty-two (52).</w:t>
      </w:r>
    </w:p>
    <w:p>
      <w:pPr>
        <w:spacing w:after="0" w:line="176" w:lineRule="exact"/>
        <w:rPr>
          <w:rFonts w:ascii="Arial" w:cs="Arial" w:eastAsia="Arial" w:hAnsi="Arial"/>
          <w:sz w:val="22"/>
          <w:szCs w:val="22"/>
          <w:color w:val="010000"/>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Specified Employee</w:t>
      </w:r>
      <w:r>
        <w:rPr>
          <w:rFonts w:ascii="Arial" w:cs="Arial" w:eastAsia="Arial" w:hAnsi="Arial"/>
          <w:sz w:val="22"/>
          <w:szCs w:val="22"/>
          <w:color w:val="auto"/>
        </w:rPr>
        <w:t>” means any Executive described in Code Section 409A(a)(2)(B)(i).</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Successive Periods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Third Party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5(a)</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hanging="644"/>
        <w:spacing w:after="0" w:line="256" w:lineRule="auto"/>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Vice President</w:t>
      </w:r>
      <w:r>
        <w:rPr>
          <w:rFonts w:ascii="Arial" w:cs="Arial" w:eastAsia="Arial" w:hAnsi="Arial"/>
          <w:sz w:val="22"/>
          <w:szCs w:val="22"/>
          <w:color w:val="auto"/>
        </w:rPr>
        <w:t>” shall include those employees of the Company with the Job Level of VP immediately prior to the Change in Control, or such other employee who is designated as a VP in the Company’s human resources information system immediately prior to the Change in Control.</w:t>
      </w:r>
    </w:p>
    <w:p>
      <w:pPr>
        <w:spacing w:after="0" w:line="176" w:lineRule="exact"/>
        <w:rPr>
          <w:rFonts w:ascii="Arial" w:cs="Arial" w:eastAsia="Arial" w:hAnsi="Arial"/>
          <w:sz w:val="22"/>
          <w:szCs w:val="22"/>
          <w:color w:val="010000"/>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Weekly Compensation</w:t>
      </w:r>
      <w:r>
        <w:rPr>
          <w:rFonts w:ascii="Arial" w:cs="Arial" w:eastAsia="Arial" w:hAnsi="Arial"/>
          <w:sz w:val="22"/>
          <w:szCs w:val="22"/>
          <w:color w:val="auto"/>
        </w:rPr>
        <w:t>” means the Executive’s Base Salary divided by fifty-two (52).</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Total Payments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Work Product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5(b)</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hanging="644"/>
        <w:spacing w:after="0" w:line="293" w:lineRule="auto"/>
        <w:tabs>
          <w:tab w:leader="none" w:pos="1300"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Year of Service</w:t>
      </w:r>
      <w:r>
        <w:rPr>
          <w:rFonts w:ascii="Arial" w:cs="Arial" w:eastAsia="Arial" w:hAnsi="Arial"/>
          <w:sz w:val="19"/>
          <w:szCs w:val="19"/>
          <w:color w:val="auto"/>
        </w:rPr>
        <w:t>” shall mean an Executive’s completed and partial calendar years of continuous service for the Company and its Affiliates (including with any predecessor thereof). Years of Service shall include time on a leave of absence to the extent required by law. Years of Service shall not include any accrued but unused paid time off benefits as of the Executive’s Qualifying Termination. Service as a temporary or temporary/part-time employee will not be considered a termination or interruption of employment, but will not count toward Years of Service. Years of Service will terminate on the Executive’s Qualifying Termination. An Executive who terminates employment and is rehired by the Company or an Affiliate will not receive credit for any prior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7</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42" w:name="page243"/>
    <w:bookmarkEnd w:id="242"/>
    <w:p>
      <w:pPr>
        <w:spacing w:after="0"/>
        <w:tabs>
          <w:tab w:leader="none" w:pos="1280" w:val="left"/>
        </w:tabs>
        <w:rPr>
          <w:sz w:val="20"/>
          <w:szCs w:val="20"/>
          <w:color w:val="auto"/>
        </w:rPr>
      </w:pPr>
      <w:r>
        <w:rPr>
          <w:rFonts w:ascii="Arial" w:cs="Arial" w:eastAsia="Arial" w:hAnsi="Arial"/>
          <w:sz w:val="22"/>
          <w:szCs w:val="22"/>
          <w:b w:val="1"/>
          <w:bCs w:val="1"/>
          <w:color w:val="010000"/>
        </w:rPr>
        <w:t>Article 3.</w:t>
      </w:r>
      <w:r>
        <w:rPr>
          <w:sz w:val="20"/>
          <w:szCs w:val="20"/>
          <w:color w:val="auto"/>
        </w:rPr>
        <w:tab/>
      </w:r>
      <w:r>
        <w:rPr>
          <w:rFonts w:ascii="Arial" w:cs="Arial" w:eastAsia="Arial" w:hAnsi="Arial"/>
          <w:sz w:val="18"/>
          <w:szCs w:val="18"/>
          <w:b w:val="1"/>
          <w:bCs w:val="1"/>
          <w:color w:val="auto"/>
        </w:rPr>
        <w:t>Severance Benefits</w:t>
      </w:r>
    </w:p>
    <w:p>
      <w:pPr>
        <w:spacing w:after="0" w:line="220" w:lineRule="exact"/>
        <w:rPr>
          <w:sz w:val="20"/>
          <w:szCs w:val="20"/>
          <w:color w:val="auto"/>
        </w:rPr>
      </w:pPr>
    </w:p>
    <w:p>
      <w:pPr>
        <w:ind w:left="1080" w:hanging="424"/>
        <w:spacing w:after="0"/>
        <w:tabs>
          <w:tab w:leader="none" w:pos="1080"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Right to Severance Benefits</w:t>
      </w:r>
    </w:p>
    <w:p>
      <w:pPr>
        <w:spacing w:after="0" w:line="220" w:lineRule="exact"/>
        <w:rPr>
          <w:sz w:val="20"/>
          <w:szCs w:val="20"/>
          <w:color w:val="auto"/>
        </w:rPr>
      </w:pPr>
    </w:p>
    <w:p>
      <w:pPr>
        <w:jc w:val="both"/>
        <w:ind w:left="1300" w:hanging="644"/>
        <w:spacing w:after="0" w:line="252" w:lineRule="auto"/>
        <w:tabs>
          <w:tab w:leader="none" w:pos="1300" w:val="left"/>
        </w:tabs>
        <w:numPr>
          <w:ilvl w:val="0"/>
          <w:numId w:val="257"/>
        </w:numPr>
        <w:rPr>
          <w:rFonts w:ascii="Arial" w:cs="Arial" w:eastAsia="Arial" w:hAnsi="Arial"/>
          <w:sz w:val="22"/>
          <w:szCs w:val="22"/>
          <w:color w:val="010000"/>
        </w:rPr>
      </w:pPr>
      <w:r>
        <w:rPr>
          <w:rFonts w:ascii="Arial" w:cs="Arial" w:eastAsia="Arial" w:hAnsi="Arial"/>
          <w:sz w:val="22"/>
          <w:szCs w:val="22"/>
          <w:b w:val="1"/>
          <w:bCs w:val="1"/>
          <w:color w:val="auto"/>
        </w:rPr>
        <w:t>Change-in-Control Severance Benefits</w:t>
      </w:r>
      <w:r>
        <w:rPr>
          <w:rFonts w:ascii="Arial" w:cs="Arial" w:eastAsia="Arial" w:hAnsi="Arial"/>
          <w:sz w:val="22"/>
          <w:szCs w:val="22"/>
          <w:color w:val="auto"/>
        </w:rPr>
        <w:t xml:space="preserve">. The Executive shall be entitled to receive from the Company Change-in-Control Severance Benefits, as described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herein, if a Qualifying Termination of the Executive’s employment has occurred within six (6) months immediately prior to, or twelve (12) months immediately following, a Change in Control of the Company.</w:t>
      </w:r>
    </w:p>
    <w:p>
      <w:pPr>
        <w:spacing w:after="0" w:line="179" w:lineRule="exact"/>
        <w:rPr>
          <w:rFonts w:ascii="Arial" w:cs="Arial" w:eastAsia="Arial" w:hAnsi="Arial"/>
          <w:sz w:val="22"/>
          <w:szCs w:val="22"/>
          <w:color w:val="010000"/>
        </w:rPr>
      </w:pPr>
    </w:p>
    <w:p>
      <w:pPr>
        <w:jc w:val="both"/>
        <w:ind w:left="1300" w:hanging="644"/>
        <w:spacing w:after="0" w:line="252" w:lineRule="auto"/>
        <w:tabs>
          <w:tab w:leader="none" w:pos="1300" w:val="left"/>
        </w:tabs>
        <w:numPr>
          <w:ilvl w:val="0"/>
          <w:numId w:val="257"/>
        </w:numPr>
        <w:rPr>
          <w:rFonts w:ascii="Arial" w:cs="Arial" w:eastAsia="Arial" w:hAnsi="Arial"/>
          <w:sz w:val="22"/>
          <w:szCs w:val="22"/>
          <w:color w:val="010000"/>
        </w:rPr>
      </w:pPr>
      <w:r>
        <w:rPr>
          <w:rFonts w:ascii="Arial" w:cs="Arial" w:eastAsia="Arial" w:hAnsi="Arial"/>
          <w:sz w:val="22"/>
          <w:szCs w:val="22"/>
          <w:b w:val="1"/>
          <w:bCs w:val="1"/>
          <w:color w:val="auto"/>
        </w:rPr>
        <w:t>General Severance Benefits</w:t>
      </w:r>
      <w:r>
        <w:rPr>
          <w:rFonts w:ascii="Arial" w:cs="Arial" w:eastAsia="Arial" w:hAnsi="Arial"/>
          <w:sz w:val="22"/>
          <w:szCs w:val="22"/>
          <w:color w:val="auto"/>
        </w:rPr>
        <w:t>. The Executive shall be entitled to receive from the Company General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Benefits, as described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herein, if a Qualifying Termination of the Executive’s employment has occurred other than during the six (6) months immediately prior to, or twelve (12) months immediately following, a Change in Control.</w:t>
      </w:r>
    </w:p>
    <w:p>
      <w:pPr>
        <w:spacing w:after="0" w:line="179" w:lineRule="exact"/>
        <w:rPr>
          <w:rFonts w:ascii="Arial" w:cs="Arial" w:eastAsia="Arial" w:hAnsi="Arial"/>
          <w:sz w:val="22"/>
          <w:szCs w:val="22"/>
          <w:color w:val="010000"/>
        </w:rPr>
      </w:pPr>
    </w:p>
    <w:p>
      <w:pPr>
        <w:ind w:left="1300" w:right="20" w:hanging="644"/>
        <w:spacing w:after="0" w:line="269" w:lineRule="auto"/>
        <w:tabs>
          <w:tab w:leader="none" w:pos="1300" w:val="left"/>
        </w:tabs>
        <w:numPr>
          <w:ilvl w:val="0"/>
          <w:numId w:val="257"/>
        </w:numPr>
        <w:rPr>
          <w:rFonts w:ascii="Arial" w:cs="Arial" w:eastAsia="Arial" w:hAnsi="Arial"/>
          <w:sz w:val="22"/>
          <w:szCs w:val="22"/>
          <w:color w:val="010000"/>
        </w:rPr>
      </w:pPr>
      <w:r>
        <w:rPr>
          <w:rFonts w:ascii="Arial" w:cs="Arial" w:eastAsia="Arial" w:hAnsi="Arial"/>
          <w:sz w:val="22"/>
          <w:szCs w:val="22"/>
          <w:b w:val="1"/>
          <w:bCs w:val="1"/>
          <w:color w:val="auto"/>
        </w:rPr>
        <w:t>No Severance Benefits</w:t>
      </w:r>
      <w:r>
        <w:rPr>
          <w:rFonts w:ascii="Arial" w:cs="Arial" w:eastAsia="Arial" w:hAnsi="Arial"/>
          <w:sz w:val="22"/>
          <w:szCs w:val="22"/>
          <w:color w:val="auto"/>
        </w:rPr>
        <w:t>. The Executive shall not be entitled to receive Severance Benefits if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ends for reasons other than a Qualifying Termination.</w:t>
      </w:r>
    </w:p>
    <w:p>
      <w:pPr>
        <w:spacing w:after="0" w:line="161" w:lineRule="exact"/>
        <w:rPr>
          <w:rFonts w:ascii="Arial" w:cs="Arial" w:eastAsia="Arial" w:hAnsi="Arial"/>
          <w:sz w:val="22"/>
          <w:szCs w:val="22"/>
          <w:color w:val="010000"/>
        </w:rPr>
      </w:pPr>
    </w:p>
    <w:p>
      <w:pPr>
        <w:jc w:val="both"/>
        <w:ind w:left="1300" w:hanging="644"/>
        <w:spacing w:after="0" w:line="287" w:lineRule="auto"/>
        <w:tabs>
          <w:tab w:leader="none" w:pos="1300" w:val="left"/>
        </w:tabs>
        <w:numPr>
          <w:ilvl w:val="0"/>
          <w:numId w:val="257"/>
        </w:numPr>
        <w:rPr>
          <w:rFonts w:ascii="Arial" w:cs="Arial" w:eastAsia="Arial" w:hAnsi="Arial"/>
          <w:sz w:val="19"/>
          <w:szCs w:val="19"/>
          <w:color w:val="010000"/>
        </w:rPr>
      </w:pPr>
      <w:r>
        <w:rPr>
          <w:rFonts w:ascii="Arial" w:cs="Arial" w:eastAsia="Arial" w:hAnsi="Arial"/>
          <w:sz w:val="19"/>
          <w:szCs w:val="19"/>
          <w:b w:val="1"/>
          <w:bCs w:val="1"/>
          <w:color w:val="auto"/>
        </w:rPr>
        <w:t>General Release and Acknowledgement of Restrictive Covenants</w:t>
      </w:r>
      <w:r>
        <w:rPr>
          <w:rFonts w:ascii="Arial" w:cs="Arial" w:eastAsia="Arial" w:hAnsi="Arial"/>
          <w:sz w:val="19"/>
          <w:szCs w:val="19"/>
          <w:color w:val="auto"/>
        </w:rPr>
        <w:t>. As a condition to receiving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Benefits under either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herein, the Executive shall be obligated to execute a general waiver and 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 (60) days of the date of termination. The date upon which the executed release is no longer subject to revocation shall be referred to herein as the “</w:t>
      </w:r>
      <w:r>
        <w:rPr>
          <w:rFonts w:ascii="Arial" w:cs="Arial" w:eastAsia="Arial" w:hAnsi="Arial"/>
          <w:sz w:val="19"/>
          <w:szCs w:val="19"/>
          <w:u w:val="single" w:color="auto"/>
          <w:color w:val="auto"/>
        </w:rPr>
        <w:t>Release Effective Date</w:t>
      </w:r>
      <w:r>
        <w:rPr>
          <w:rFonts w:ascii="Arial" w:cs="Arial" w:eastAsia="Arial" w:hAnsi="Arial"/>
          <w:sz w:val="19"/>
          <w:szCs w:val="19"/>
          <w:color w:val="auto"/>
        </w:rPr>
        <w:t xml:space="preserve">”. The Executive must also execute a notice acknowledging the restrictive covenants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within sixty (60) days of the date of termination. Any payments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shall commence only after execution of the release and acknowledgement, and in the manner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58" w:lineRule="exact"/>
        <w:rPr>
          <w:rFonts w:ascii="Arial" w:cs="Arial" w:eastAsia="Arial" w:hAnsi="Arial"/>
          <w:sz w:val="19"/>
          <w:szCs w:val="19"/>
          <w:color w:val="010000"/>
        </w:rPr>
      </w:pPr>
    </w:p>
    <w:p>
      <w:pPr>
        <w:jc w:val="both"/>
        <w:ind w:left="1300" w:hanging="644"/>
        <w:spacing w:after="0" w:line="261" w:lineRule="auto"/>
        <w:tabs>
          <w:tab w:leader="none" w:pos="1300" w:val="left"/>
        </w:tabs>
        <w:numPr>
          <w:ilvl w:val="0"/>
          <w:numId w:val="257"/>
        </w:numPr>
        <w:rPr>
          <w:rFonts w:ascii="Arial" w:cs="Arial" w:eastAsia="Arial" w:hAnsi="Arial"/>
          <w:sz w:val="21"/>
          <w:szCs w:val="21"/>
          <w:color w:val="010000"/>
        </w:rPr>
      </w:pPr>
      <w:r>
        <w:rPr>
          <w:rFonts w:ascii="Arial" w:cs="Arial" w:eastAsia="Arial" w:hAnsi="Arial"/>
          <w:sz w:val="21"/>
          <w:szCs w:val="21"/>
          <w:b w:val="1"/>
          <w:bCs w:val="1"/>
          <w:color w:val="auto"/>
        </w:rPr>
        <w:t>No Duplication of Severance Benefits; Reduction of Other Benefits</w:t>
      </w:r>
      <w:r>
        <w:rPr>
          <w:rFonts w:ascii="Arial" w:cs="Arial" w:eastAsia="Arial" w:hAnsi="Arial"/>
          <w:sz w:val="21"/>
          <w:szCs w:val="21"/>
          <w:color w:val="auto"/>
        </w:rPr>
        <w:t>. If the Executive becomes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Change-in-Control Severance Benefits, the Severance Benefits provided for under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hereunder shall be in lieu of all other Severance Benefits provided to the Executive under the provisions of this Plan and any other Company-related or Former Parent Company-related severance plans, programs, or agreements including, but not limited to, the Severance Benefits under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herein. Likewise, if the Executive becomes entitled to General Severance Benefits, the Severance Benefits provided under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hereunder shall be in lieu of all other Severance Benefits provided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8</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2" w:right="339" w:bottom="1440" w:gutter="0" w:footer="0" w:header="0"/>
        </w:sectPr>
      </w:pPr>
    </w:p>
    <w:bookmarkStart w:id="243" w:name="page244"/>
    <w:bookmarkEnd w:id="243"/>
    <w:p>
      <w:pPr>
        <w:jc w:val="both"/>
        <w:ind w:left="1300"/>
        <w:spacing w:after="0" w:line="288" w:lineRule="auto"/>
        <w:rPr>
          <w:sz w:val="20"/>
          <w:szCs w:val="20"/>
          <w:color w:val="auto"/>
        </w:rPr>
      </w:pPr>
      <w:r>
        <w:rPr>
          <w:rFonts w:ascii="Arial" w:cs="Arial" w:eastAsia="Arial" w:hAnsi="Arial"/>
          <w:sz w:val="19"/>
          <w:szCs w:val="19"/>
          <w:color w:val="auto"/>
        </w:rPr>
        <w:t xml:space="preserve">the Executive under the provisions of this Plan and any other Company-related severance plans, programs, or other agreements including, but not limited to, the Severance Benefits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herein. Any benefits provided under this Plan will, to the extent permitted by law, be reduced by the value of any severance benefit required to be paid to the Executive under federal, state or local stature, ordinance or regulation, including any payments or extended periods of employment required to comply with any law governing plant closings, layoffs or similar events. If benefits are paid under this Plan, and, subsequent to such payment, an amount is determined to be payable to the Executive which would under the terms of this section reduce the benefit payable under the Plan, the Company shall be entitled to recover from the Executive the overpayment made under this Plan and shall, to the extent permitted by law, be entitled to offset such overpayment against any amount owed to the Executive (other than any amount that constitutes “deferred compensation” for purposes of Code Section 409A).</w:t>
      </w:r>
    </w:p>
    <w:p>
      <w:pPr>
        <w:spacing w:after="0" w:line="153" w:lineRule="exact"/>
        <w:rPr>
          <w:sz w:val="20"/>
          <w:szCs w:val="20"/>
          <w:color w:val="auto"/>
        </w:rPr>
      </w:pPr>
    </w:p>
    <w:p>
      <w:pPr>
        <w:ind w:left="1080" w:hanging="424"/>
        <w:spacing w:after="0"/>
        <w:tabs>
          <w:tab w:leader="none" w:pos="1080"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Change-in-Control Severance Benefits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In the event the Executive becomes entitled to receive Change-in-Control Severance Benefits, as provided in</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u w:val="single" w:color="auto"/>
          <w:color w:val="auto"/>
        </w:rPr>
        <w:t>Section 3.1(a)</w:t>
      </w:r>
      <w:r>
        <w:rPr>
          <w:rFonts w:ascii="Arial" w:cs="Arial" w:eastAsia="Arial" w:hAnsi="Arial"/>
          <w:sz w:val="22"/>
          <w:szCs w:val="22"/>
          <w:b w:val="1"/>
          <w:bCs w:val="1"/>
          <w:color w:val="auto"/>
        </w:rPr>
        <w:t xml:space="preserve"> herein, the Company shall provide the Executive with the following:</w:t>
      </w:r>
    </w:p>
    <w:p>
      <w:pPr>
        <w:spacing w:after="0" w:line="202" w:lineRule="exact"/>
        <w:rPr>
          <w:sz w:val="20"/>
          <w:szCs w:val="20"/>
          <w:color w:val="auto"/>
        </w:rPr>
      </w:pPr>
    </w:p>
    <w:p>
      <w:pPr>
        <w:jc w:val="both"/>
        <w:ind w:left="1300" w:hanging="644"/>
        <w:spacing w:after="0" w:line="259" w:lineRule="auto"/>
        <w:tabs>
          <w:tab w:leader="none" w:pos="1300" w:val="left"/>
        </w:tabs>
        <w:numPr>
          <w:ilvl w:val="0"/>
          <w:numId w:val="259"/>
        </w:numPr>
        <w:rPr>
          <w:rFonts w:ascii="Arial" w:cs="Arial" w:eastAsia="Arial" w:hAnsi="Arial"/>
          <w:sz w:val="21"/>
          <w:szCs w:val="21"/>
          <w:color w:val="010000"/>
        </w:rPr>
      </w:pPr>
      <w:r>
        <w:rPr>
          <w:rFonts w:ascii="Arial" w:cs="Arial" w:eastAsia="Arial" w:hAnsi="Arial"/>
          <w:sz w:val="21"/>
          <w:szCs w:val="21"/>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21"/>
          <w:szCs w:val="21"/>
          <w:u w:val="single" w:color="auto"/>
          <w:color w:val="auto"/>
        </w:rPr>
        <w:t>Section 3.2(a)</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3" w:lineRule="exact"/>
        <w:rPr>
          <w:rFonts w:ascii="Arial" w:cs="Arial" w:eastAsia="Arial" w:hAnsi="Arial"/>
          <w:sz w:val="21"/>
          <w:szCs w:val="21"/>
          <w:color w:val="010000"/>
        </w:rPr>
      </w:pPr>
    </w:p>
    <w:p>
      <w:pPr>
        <w:jc w:val="both"/>
        <w:ind w:left="1300" w:hanging="644"/>
        <w:spacing w:after="0" w:line="259" w:lineRule="auto"/>
        <w:tabs>
          <w:tab w:leader="none" w:pos="1300" w:val="left"/>
        </w:tabs>
        <w:numPr>
          <w:ilvl w:val="0"/>
          <w:numId w:val="259"/>
        </w:numPr>
        <w:rPr>
          <w:rFonts w:ascii="Arial" w:cs="Arial" w:eastAsia="Arial" w:hAnsi="Arial"/>
          <w:sz w:val="21"/>
          <w:szCs w:val="21"/>
          <w:color w:val="010000"/>
        </w:rPr>
      </w:pPr>
      <w:r>
        <w:rPr>
          <w:rFonts w:ascii="Arial" w:cs="Arial" w:eastAsia="Arial" w:hAnsi="Arial"/>
          <w:sz w:val="21"/>
          <w:szCs w:val="21"/>
          <w:color w:val="auto"/>
        </w:rPr>
        <w:t xml:space="preserve">A lump-sum amount, paid upon the date that is sixty (60) calendar days following the Effective Date of Termination, equal to: (i) one and one-half (1.5) for VPs, (ii) one (1) for Senior Directors times the sum of the following: (A) the Executive’s Base Salary and (B) the Executive’s annual target bonus opportunity in the year of termination; provided that to the extent the payment of any amounts pursuant to this </w:t>
      </w:r>
      <w:r>
        <w:rPr>
          <w:rFonts w:ascii="Arial" w:cs="Arial" w:eastAsia="Arial" w:hAnsi="Arial"/>
          <w:sz w:val="21"/>
          <w:szCs w:val="21"/>
          <w:u w:val="single" w:color="auto"/>
          <w:color w:val="auto"/>
        </w:rPr>
        <w:t>Section 3.2(b)</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9</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44" w:name="page245"/>
    <w:bookmarkEnd w:id="244"/>
    <w:p>
      <w:pPr>
        <w:jc w:val="both"/>
        <w:ind w:left="1300" w:hanging="644"/>
        <w:spacing w:after="0" w:line="289" w:lineRule="auto"/>
        <w:tabs>
          <w:tab w:leader="none" w:pos="1300" w:val="left"/>
        </w:tabs>
        <w:numPr>
          <w:ilvl w:val="0"/>
          <w:numId w:val="260"/>
        </w:numPr>
        <w:rPr>
          <w:rFonts w:ascii="Arial" w:cs="Arial" w:eastAsia="Arial" w:hAnsi="Arial"/>
          <w:sz w:val="19"/>
          <w:szCs w:val="19"/>
          <w:color w:val="010000"/>
        </w:rPr>
      </w:pPr>
      <w:r>
        <w:rPr>
          <w:rFonts w:ascii="Arial" w:cs="Arial" w:eastAsia="Arial" w:hAnsi="Arial"/>
          <w:sz w:val="19"/>
          <w:szCs w:val="19"/>
          <w:color w:val="auto"/>
        </w:rPr>
        <w:t xml:space="preserve">A lump-sum amount, paid upon the date that is sixty (60) calendar days following the Effective Date of Termination, equal to the Executive’s then current target bonus opportunity established under the bonus plan in which the Executive is then participating, for the plan year in which a Qualifying Termination occurs, adjusted on a pro rata basis based on the number of days the Executive was actually employed during the bonus plan year in which the Qualifying Termination occurs, provided that to the extent the payment of any amounts pursuant to this </w:t>
      </w:r>
      <w:r>
        <w:rPr>
          <w:rFonts w:ascii="Arial" w:cs="Arial" w:eastAsia="Arial" w:hAnsi="Arial"/>
          <w:sz w:val="19"/>
          <w:szCs w:val="19"/>
          <w:u w:val="single" w:color="auto"/>
          <w:color w:val="auto"/>
        </w:rPr>
        <w:t>Section 3.2(c)</w:t>
      </w:r>
      <w:r>
        <w:rPr>
          <w:rFonts w:ascii="Arial" w:cs="Arial" w:eastAsia="Arial" w:hAnsi="Arial"/>
          <w:sz w:val="19"/>
          <w:szCs w:val="19"/>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56" w:lineRule="exact"/>
        <w:rPr>
          <w:rFonts w:ascii="Arial" w:cs="Arial" w:eastAsia="Arial" w:hAnsi="Arial"/>
          <w:sz w:val="19"/>
          <w:szCs w:val="19"/>
          <w:color w:val="010000"/>
        </w:rPr>
      </w:pPr>
    </w:p>
    <w:p>
      <w:pPr>
        <w:jc w:val="both"/>
        <w:ind w:left="1300" w:hanging="644"/>
        <w:spacing w:after="0" w:line="248" w:lineRule="auto"/>
        <w:tabs>
          <w:tab w:leader="none" w:pos="1300" w:val="left"/>
        </w:tabs>
        <w:numPr>
          <w:ilvl w:val="0"/>
          <w:numId w:val="260"/>
        </w:numPr>
        <w:rPr>
          <w:rFonts w:ascii="Arial" w:cs="Arial" w:eastAsia="Arial" w:hAnsi="Arial"/>
          <w:sz w:val="22"/>
          <w:szCs w:val="22"/>
          <w:color w:val="010000"/>
        </w:rPr>
      </w:pPr>
      <w:r>
        <w:rPr>
          <w:rFonts w:ascii="Arial" w:cs="Arial" w:eastAsia="Arial" w:hAnsi="Arial"/>
          <w:sz w:val="22"/>
          <w:szCs w:val="22"/>
          <w:color w:val="auto"/>
        </w:rPr>
        <w:t>Payment for all or a portion of the Executive’s cost to participate in COBRA health and/or dental continuation coverage for a period equal to (i) eighteen (18) months for VPs and (ii) twelve (12) months for Senior Directors, in each case following the Executive’s Effective Date of Termination, such that Executive maintains the same coverage level and cost, on an after tax basis, as in effect immediately prior to the Executive’s Effective Date of Termination.</w:t>
      </w:r>
    </w:p>
    <w:p>
      <w:pPr>
        <w:spacing w:after="0" w:line="191" w:lineRule="exact"/>
        <w:rPr>
          <w:rFonts w:ascii="Arial" w:cs="Arial" w:eastAsia="Arial" w:hAnsi="Arial"/>
          <w:sz w:val="22"/>
          <w:szCs w:val="22"/>
          <w:color w:val="010000"/>
        </w:rPr>
      </w:pPr>
    </w:p>
    <w:p>
      <w:pPr>
        <w:jc w:val="both"/>
        <w:ind w:left="1300"/>
        <w:spacing w:after="0" w:line="259" w:lineRule="auto"/>
        <w:rPr>
          <w:rFonts w:ascii="Arial" w:cs="Arial" w:eastAsia="Arial" w:hAnsi="Arial"/>
          <w:sz w:val="22"/>
          <w:szCs w:val="22"/>
          <w:color w:val="010000"/>
        </w:rPr>
      </w:pPr>
      <w:r>
        <w:rPr>
          <w:rFonts w:ascii="Arial" w:cs="Arial" w:eastAsia="Arial" w:hAnsi="Arial"/>
          <w:sz w:val="21"/>
          <w:szCs w:val="21"/>
          <w:color w:val="auto"/>
        </w:rPr>
        <w:t>Notwithstanding the above, these health and/or dental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 Treatment of outstanding long-term incentives shall be in accordance with the governing plan document and award agreements, if any.</w:t>
      </w:r>
    </w:p>
    <w:p>
      <w:pPr>
        <w:spacing w:after="0" w:line="177" w:lineRule="exact"/>
        <w:rPr>
          <w:sz w:val="20"/>
          <w:szCs w:val="20"/>
          <w:color w:val="auto"/>
        </w:rPr>
      </w:pPr>
    </w:p>
    <w:p>
      <w:pPr>
        <w:ind w:left="1080" w:hanging="424"/>
        <w:spacing w:after="0"/>
        <w:tabs>
          <w:tab w:leader="none" w:pos="108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General Severance Benefits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In the event the Executive becomes entitled to receive General Severance Benefits as provided in </w:t>
      </w:r>
      <w:r>
        <w:rPr>
          <w:rFonts w:ascii="Arial" w:cs="Arial" w:eastAsia="Arial" w:hAnsi="Arial"/>
          <w:sz w:val="19"/>
          <w:szCs w:val="19"/>
          <w:u w:val="single" w:color="auto"/>
          <w:color w:val="auto"/>
        </w:rPr>
        <w:t>Section 3.1(b)</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 the Company shall provide the Executive with the following:</w:t>
      </w:r>
    </w:p>
    <w:p>
      <w:pPr>
        <w:spacing w:after="0" w:line="202" w:lineRule="exact"/>
        <w:rPr>
          <w:sz w:val="20"/>
          <w:szCs w:val="20"/>
          <w:color w:val="auto"/>
        </w:rPr>
      </w:pPr>
    </w:p>
    <w:p>
      <w:pPr>
        <w:jc w:val="both"/>
        <w:ind w:left="1300" w:hanging="644"/>
        <w:spacing w:after="0" w:line="247" w:lineRule="auto"/>
        <w:tabs>
          <w:tab w:leader="none" w:pos="1300" w:val="left"/>
        </w:tabs>
        <w:numPr>
          <w:ilvl w:val="0"/>
          <w:numId w:val="262"/>
        </w:numPr>
        <w:rPr>
          <w:rFonts w:ascii="Arial" w:cs="Arial" w:eastAsia="Arial" w:hAnsi="Arial"/>
          <w:sz w:val="22"/>
          <w:szCs w:val="22"/>
          <w:color w:val="010000"/>
        </w:rPr>
      </w:pPr>
      <w:r>
        <w:rPr>
          <w:rFonts w:ascii="Arial" w:cs="Arial" w:eastAsia="Arial" w:hAnsi="Arial"/>
          <w:sz w:val="22"/>
          <w:szCs w:val="22"/>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22"/>
          <w:szCs w:val="22"/>
          <w:u w:val="single" w:color="auto"/>
          <w:color w:val="auto"/>
        </w:rPr>
        <w:t>Section 3.3(a)</w:t>
      </w:r>
      <w:r>
        <w:rPr>
          <w:rFonts w:ascii="Arial" w:cs="Arial" w:eastAsia="Arial" w:hAnsi="Arial"/>
          <w:sz w:val="22"/>
          <w:szCs w:val="22"/>
          <w:color w:val="auto"/>
        </w:rPr>
        <w:t xml:space="preserve"> does not constitute “deferred compensation” for purposes of Code Section 409A, such amounts shall be paid upon the Release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10</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45" w:name="page246"/>
    <w:bookmarkEnd w:id="245"/>
    <w:p>
      <w:pPr>
        <w:jc w:val="both"/>
        <w:ind w:left="1300"/>
        <w:spacing w:after="0" w:line="253" w:lineRule="auto"/>
        <w:rPr>
          <w:sz w:val="20"/>
          <w:szCs w:val="20"/>
          <w:color w:val="auto"/>
        </w:rPr>
      </w:pPr>
      <w:r>
        <w:rPr>
          <w:rFonts w:ascii="Arial" w:cs="Arial" w:eastAsia="Arial" w:hAnsi="Arial"/>
          <w:sz w:val="22"/>
          <w:szCs w:val="22"/>
          <w:color w:val="auto"/>
        </w:rPr>
        <w:t>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5" w:lineRule="exact"/>
        <w:rPr>
          <w:sz w:val="20"/>
          <w:szCs w:val="20"/>
          <w:color w:val="auto"/>
        </w:rPr>
      </w:pPr>
    </w:p>
    <w:p>
      <w:pPr>
        <w:jc w:val="both"/>
        <w:ind w:left="1300" w:hanging="644"/>
        <w:spacing w:after="0" w:line="246" w:lineRule="auto"/>
        <w:tabs>
          <w:tab w:leader="none" w:pos="1300" w:val="left"/>
        </w:tabs>
        <w:numPr>
          <w:ilvl w:val="0"/>
          <w:numId w:val="263"/>
        </w:numPr>
        <w:rPr>
          <w:rFonts w:ascii="Arial" w:cs="Arial" w:eastAsia="Arial" w:hAnsi="Arial"/>
          <w:sz w:val="22"/>
          <w:szCs w:val="22"/>
          <w:color w:val="010000"/>
        </w:rPr>
      </w:pPr>
      <w:r>
        <w:rPr>
          <w:rFonts w:ascii="Arial" w:cs="Arial" w:eastAsia="Arial" w:hAnsi="Arial"/>
          <w:sz w:val="22"/>
          <w:szCs w:val="22"/>
          <w:color w:val="auto"/>
        </w:rPr>
        <w:t xml:space="preserve">A lump-sum amount, paid upon the date that is sixty (60) calendar days following the Effective Date of Termination, equal to the product of (i) the Executive’s Weekly Compensation and (ii) the Executive’s Severance Weeks; provided that to the extent the payment of any amounts pursuant to this </w:t>
      </w:r>
      <w:r>
        <w:rPr>
          <w:rFonts w:ascii="Arial" w:cs="Arial" w:eastAsia="Arial" w:hAnsi="Arial"/>
          <w:sz w:val="22"/>
          <w:szCs w:val="22"/>
          <w:u w:val="single" w:color="auto"/>
          <w:color w:val="auto"/>
        </w:rPr>
        <w:t>Section 3.3(b)</w:t>
      </w:r>
      <w:r>
        <w:rPr>
          <w:rFonts w:ascii="Arial" w:cs="Arial" w:eastAsia="Arial" w:hAnsi="Arial"/>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96" w:lineRule="exact"/>
        <w:rPr>
          <w:rFonts w:ascii="Arial" w:cs="Arial" w:eastAsia="Arial" w:hAnsi="Arial"/>
          <w:sz w:val="22"/>
          <w:szCs w:val="22"/>
          <w:color w:val="010000"/>
        </w:rPr>
      </w:pPr>
    </w:p>
    <w:p>
      <w:pPr>
        <w:jc w:val="both"/>
        <w:ind w:left="1300" w:hanging="644"/>
        <w:spacing w:after="0" w:line="302" w:lineRule="auto"/>
        <w:tabs>
          <w:tab w:leader="none" w:pos="1300" w:val="left"/>
        </w:tabs>
        <w:numPr>
          <w:ilvl w:val="0"/>
          <w:numId w:val="263"/>
        </w:numPr>
        <w:rPr>
          <w:rFonts w:ascii="Arial" w:cs="Arial" w:eastAsia="Arial" w:hAnsi="Arial"/>
          <w:sz w:val="19"/>
          <w:szCs w:val="19"/>
          <w:color w:val="010000"/>
        </w:rPr>
      </w:pPr>
      <w:r>
        <w:rPr>
          <w:rFonts w:ascii="Arial" w:cs="Arial" w:eastAsia="Arial" w:hAnsi="Arial"/>
          <w:sz w:val="19"/>
          <w:szCs w:val="19"/>
          <w:color w:val="auto"/>
        </w:rPr>
        <w:t>Payment of all or a portion of the Executive’s cost to participate in COBRA health and/or dental continuation coverage for a number of weeks equal to the Executive’s Severance Weeks commencing upon the Executive’s Effective Date of Termination, such that Executive maintains the same coverage level and cost, on an after tax basis, as in effect immediately prior to the Executive’s Effective Date of Termination.</w:t>
      </w:r>
    </w:p>
    <w:p>
      <w:pPr>
        <w:spacing w:after="0" w:line="142" w:lineRule="exact"/>
        <w:rPr>
          <w:rFonts w:ascii="Arial" w:cs="Arial" w:eastAsia="Arial" w:hAnsi="Arial"/>
          <w:sz w:val="19"/>
          <w:szCs w:val="19"/>
          <w:color w:val="010000"/>
        </w:rPr>
      </w:pPr>
    </w:p>
    <w:p>
      <w:pPr>
        <w:jc w:val="both"/>
        <w:ind w:left="1300"/>
        <w:spacing w:after="0" w:line="259" w:lineRule="auto"/>
        <w:rPr>
          <w:rFonts w:ascii="Arial" w:cs="Arial" w:eastAsia="Arial" w:hAnsi="Arial"/>
          <w:sz w:val="19"/>
          <w:szCs w:val="19"/>
          <w:color w:val="010000"/>
        </w:rPr>
      </w:pPr>
      <w:r>
        <w:rPr>
          <w:rFonts w:ascii="Arial" w:cs="Arial" w:eastAsia="Arial" w:hAnsi="Arial"/>
          <w:sz w:val="21"/>
          <w:szCs w:val="21"/>
          <w:color w:val="auto"/>
        </w:rPr>
        <w:t>Notwithstanding the above, these health and/or dental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 Treatment of outstanding long-term incentives shall be in accordance with the governing plan document and award agreements, if any.</w:t>
      </w:r>
    </w:p>
    <w:p>
      <w:pPr>
        <w:spacing w:after="0" w:line="177" w:lineRule="exact"/>
        <w:rPr>
          <w:sz w:val="20"/>
          <w:szCs w:val="20"/>
          <w:color w:val="auto"/>
        </w:rPr>
      </w:pPr>
    </w:p>
    <w:p>
      <w:pPr>
        <w:ind w:left="1080" w:hanging="424"/>
        <w:spacing w:after="0"/>
        <w:tabs>
          <w:tab w:leader="none" w:pos="1080" w:val="left"/>
        </w:tabs>
        <w:numPr>
          <w:ilvl w:val="0"/>
          <w:numId w:val="264"/>
        </w:numPr>
        <w:rPr>
          <w:rFonts w:ascii="Arial" w:cs="Arial" w:eastAsia="Arial" w:hAnsi="Arial"/>
          <w:sz w:val="22"/>
          <w:szCs w:val="22"/>
          <w:b w:val="1"/>
          <w:bCs w:val="1"/>
          <w:color w:val="auto"/>
        </w:rPr>
      </w:pPr>
      <w:r>
        <w:rPr>
          <w:rFonts w:ascii="Arial" w:cs="Arial" w:eastAsia="Arial" w:hAnsi="Arial"/>
          <w:sz w:val="22"/>
          <w:szCs w:val="22"/>
          <w:b w:val="1"/>
          <w:bCs w:val="1"/>
          <w:color w:val="auto"/>
        </w:rPr>
        <w:t>Coordination with Release and Delay Required by Code Section 409A.</w:t>
      </w:r>
    </w:p>
    <w:p>
      <w:pPr>
        <w:spacing w:after="0" w:line="226" w:lineRule="exact"/>
        <w:rPr>
          <w:sz w:val="20"/>
          <w:szCs w:val="20"/>
          <w:color w:val="auto"/>
        </w:rPr>
      </w:pPr>
    </w:p>
    <w:p>
      <w:pPr>
        <w:jc w:val="both"/>
        <w:ind w:left="1300" w:hanging="644"/>
        <w:spacing w:after="0" w:line="260" w:lineRule="auto"/>
        <w:tabs>
          <w:tab w:leader="none" w:pos="1300" w:val="left"/>
        </w:tabs>
        <w:numPr>
          <w:ilvl w:val="0"/>
          <w:numId w:val="265"/>
        </w:numPr>
        <w:rPr>
          <w:rFonts w:ascii="Arial" w:cs="Arial" w:eastAsia="Arial" w:hAnsi="Arial"/>
          <w:sz w:val="21"/>
          <w:szCs w:val="21"/>
          <w:color w:val="010000"/>
        </w:rPr>
      </w:pPr>
      <w:r>
        <w:rPr>
          <w:rFonts w:ascii="Arial" w:cs="Arial" w:eastAsia="Arial" w:hAnsi="Arial"/>
          <w:sz w:val="21"/>
          <w:szCs w:val="21"/>
          <w:color w:val="auto"/>
        </w:rPr>
        <w:t>To the extent any continuing benefit (or reimbursement thereof) to be provided is not “deferred compensation” for purposes of Code Section 409A, then such benefit shall commence or be made immediately after the Release 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 would have expired had the benefits commenced immediately upon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11</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46" w:name="page247"/>
    <w:bookmarkEnd w:id="246"/>
    <w:p>
      <w:pPr>
        <w:jc w:val="both"/>
        <w:ind w:left="1300" w:hanging="644"/>
        <w:spacing w:after="0" w:line="288" w:lineRule="auto"/>
        <w:tabs>
          <w:tab w:leader="none" w:pos="1300" w:val="left"/>
        </w:tabs>
        <w:numPr>
          <w:ilvl w:val="0"/>
          <w:numId w:val="266"/>
        </w:numPr>
        <w:rPr>
          <w:rFonts w:ascii="Arial" w:cs="Arial" w:eastAsia="Arial" w:hAnsi="Arial"/>
          <w:sz w:val="19"/>
          <w:szCs w:val="19"/>
          <w:color w:val="010000"/>
        </w:rPr>
      </w:pPr>
      <w:r>
        <w:rPr>
          <w:rFonts w:ascii="Arial" w:cs="Arial" w:eastAsia="Arial" w:hAnsi="Arial"/>
          <w:sz w:val="19"/>
          <w:szCs w:val="19"/>
          <w:color w:val="auto"/>
        </w:rPr>
        <w:t xml:space="preserve">Notwithstanding any other payment schedule provided herein to the contrary, if the Executive is deemed on the date of termination to be a Specified Employee, then, once the release and acknowledgement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3.1(d)</w:t>
      </w:r>
      <w:r>
        <w:rPr>
          <w:rFonts w:ascii="Arial" w:cs="Arial" w:eastAsia="Arial" w:hAnsi="Arial"/>
          <w:sz w:val="19"/>
          <w:szCs w:val="19"/>
          <w:color w:val="auto"/>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 of the Executive, and (B) the date of the Executive’s death (the “</w:t>
      </w:r>
      <w:r>
        <w:rPr>
          <w:rFonts w:ascii="Arial" w:cs="Arial" w:eastAsia="Arial" w:hAnsi="Arial"/>
          <w:sz w:val="19"/>
          <w:szCs w:val="19"/>
          <w:u w:val="single" w:color="auto"/>
          <w:color w:val="auto"/>
        </w:rPr>
        <w:t>Delay Period</w:t>
      </w:r>
      <w:r>
        <w:rPr>
          <w:rFonts w:ascii="Arial" w:cs="Arial" w:eastAsia="Arial" w:hAnsi="Arial"/>
          <w:sz w:val="19"/>
          <w:szCs w:val="19"/>
          <w:color w:val="auto"/>
        </w:rPr>
        <w:t xml:space="preserve">”) to the extent required under Code Section 409A. Upon the expiration of the Delay Period, all payments delayed pursuant to this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(whether they would have otherwise been payable in a single sum or in installments in the absence of such delay) shall be paid to the Executive in a lump sum, and any remaining payments due under this Plan shall be paid or provided in accordance with the normal payment dates specified for them herein.</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4.</w:t>
      </w:r>
      <w:r>
        <w:rPr>
          <w:sz w:val="20"/>
          <w:szCs w:val="20"/>
          <w:color w:val="auto"/>
        </w:rPr>
        <w:tab/>
      </w:r>
      <w:r>
        <w:rPr>
          <w:rFonts w:ascii="Arial" w:cs="Arial" w:eastAsia="Arial" w:hAnsi="Arial"/>
          <w:sz w:val="19"/>
          <w:szCs w:val="19"/>
          <w:b w:val="1"/>
          <w:bCs w:val="1"/>
          <w:color w:val="auto"/>
        </w:rPr>
        <w:t>Ineligibility</w:t>
      </w:r>
    </w:p>
    <w:p>
      <w:pPr>
        <w:spacing w:after="0" w:line="220" w:lineRule="exact"/>
        <w:rPr>
          <w:sz w:val="20"/>
          <w:szCs w:val="20"/>
          <w:color w:val="auto"/>
        </w:rPr>
      </w:pPr>
    </w:p>
    <w:p>
      <w:pPr>
        <w:ind w:left="1080" w:hanging="424"/>
        <w:spacing w:after="0"/>
        <w:tabs>
          <w:tab w:leader="none" w:pos="1080"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color w:val="auto"/>
        </w:rPr>
        <w:t>Comparable Position.</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Subject to the provisions of </w:t>
      </w:r>
      <w:r>
        <w:rPr>
          <w:rFonts w:ascii="Arial" w:cs="Arial" w:eastAsia="Arial" w:hAnsi="Arial"/>
          <w:sz w:val="19"/>
          <w:szCs w:val="19"/>
          <w:b w:val="1"/>
          <w:bCs w:val="1"/>
          <w:u w:val="single" w:color="auto"/>
          <w:color w:val="auto"/>
        </w:rPr>
        <w:t>Article 2(z)(i)(B)</w:t>
      </w:r>
      <w:r>
        <w:rPr>
          <w:rFonts w:ascii="Arial" w:cs="Arial" w:eastAsia="Arial" w:hAnsi="Arial"/>
          <w:sz w:val="19"/>
          <w:szCs w:val="19"/>
          <w:b w:val="1"/>
          <w:bCs w:val="1"/>
          <w:color w:val="auto"/>
        </w:rPr>
        <w:t xml:space="preserve">, the Company may offer, or cause to be offered, an Executive a comparable position, may require an Executive to apply for a comparable position with the Company, any Affiliate or Clearway Energy Group LLC, or a successor of the Company, any Affiliate or Clearway Energy Group LLC, or may reassign an Executive to a new position or a reclassification of the Executive’s current position;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Arial" w:cs="Arial" w:eastAsia="Arial" w:hAnsi="Arial"/>
          <w:sz w:val="19"/>
          <w:szCs w:val="19"/>
          <w:b w:val="1"/>
          <w:bCs w:val="1"/>
          <w:u w:val="single" w:color="auto"/>
          <w:color w:val="auto"/>
        </w:rPr>
        <w:t>Section 4.1</w:t>
      </w:r>
      <w:r>
        <w:rPr>
          <w:rFonts w:ascii="Arial" w:cs="Arial" w:eastAsia="Arial" w:hAnsi="Arial"/>
          <w:sz w:val="19"/>
          <w:szCs w:val="19"/>
          <w:b w:val="1"/>
          <w:bCs w:val="1"/>
          <w:color w:val="auto"/>
        </w:rPr>
        <w:t>. The failure of an Executive to accept the position, or apply for the position when required by the Company will render the Executive ineligible for benefits under this Plan.</w:t>
      </w:r>
    </w:p>
    <w:p>
      <w:pPr>
        <w:spacing w:after="0" w:line="149" w:lineRule="exact"/>
        <w:rPr>
          <w:sz w:val="20"/>
          <w:szCs w:val="20"/>
          <w:color w:val="auto"/>
        </w:rPr>
      </w:pPr>
    </w:p>
    <w:p>
      <w:pPr>
        <w:ind w:left="1080" w:hanging="424"/>
        <w:spacing w:after="0"/>
        <w:tabs>
          <w:tab w:leader="none" w:pos="1080" w:val="left"/>
        </w:tabs>
        <w:numPr>
          <w:ilvl w:val="0"/>
          <w:numId w:val="268"/>
        </w:numPr>
        <w:rPr>
          <w:rFonts w:ascii="Arial" w:cs="Arial" w:eastAsia="Arial" w:hAnsi="Arial"/>
          <w:sz w:val="22"/>
          <w:szCs w:val="22"/>
          <w:b w:val="1"/>
          <w:bCs w:val="1"/>
          <w:color w:val="auto"/>
        </w:rPr>
      </w:pPr>
      <w:r>
        <w:rPr>
          <w:rFonts w:ascii="Arial" w:cs="Arial" w:eastAsia="Arial" w:hAnsi="Arial"/>
          <w:sz w:val="22"/>
          <w:szCs w:val="22"/>
          <w:b w:val="1"/>
          <w:bCs w:val="1"/>
          <w:color w:val="auto"/>
        </w:rPr>
        <w:t>Other Circumstances.</w:t>
      </w:r>
    </w:p>
    <w:p>
      <w:pPr>
        <w:spacing w:after="0" w:line="220"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Unless otherwise determined by the Committee, an Executive shall also be ineligible for benefits under this Plan if the Executive:</w:t>
      </w:r>
    </w:p>
    <w:p>
      <w:pPr>
        <w:spacing w:after="0" w:line="168" w:lineRule="exact"/>
        <w:rPr>
          <w:sz w:val="20"/>
          <w:szCs w:val="20"/>
          <w:color w:val="auto"/>
        </w:rPr>
      </w:pPr>
    </w:p>
    <w:p>
      <w:pPr>
        <w:ind w:left="1300" w:hanging="644"/>
        <w:spacing w:after="0"/>
        <w:tabs>
          <w:tab w:leader="none" w:pos="1300"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voluntarily terminates employment or retires prior to the Qualifying Termination;</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is receiving long-term Disability benefits;</w:t>
      </w:r>
    </w:p>
    <w:p>
      <w:pPr>
        <w:spacing w:after="0" w:line="219" w:lineRule="exact"/>
        <w:rPr>
          <w:rFonts w:ascii="Arial" w:cs="Arial" w:eastAsia="Arial" w:hAnsi="Arial"/>
          <w:sz w:val="22"/>
          <w:szCs w:val="22"/>
          <w:color w:val="010000"/>
        </w:rPr>
      </w:pPr>
    </w:p>
    <w:p>
      <w:pPr>
        <w:ind w:left="1300" w:hanging="644"/>
        <w:spacing w:after="0" w:line="263" w:lineRule="auto"/>
        <w:tabs>
          <w:tab w:leader="none" w:pos="1300"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is entitled to any other compensation or benefit which is determined, in the Company’s sole discretion, to supersede the Severance Benefits offered under this Plan;</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was discharged for Cause;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12</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47" w:name="page248"/>
    <w:bookmarkEnd w:id="247"/>
    <w:p>
      <w:pPr>
        <w:jc w:val="both"/>
        <w:ind w:left="1300" w:hanging="644"/>
        <w:spacing w:after="0" w:line="253" w:lineRule="auto"/>
        <w:tabs>
          <w:tab w:leader="none" w:pos="1300" w:val="left"/>
        </w:tabs>
        <w:numPr>
          <w:ilvl w:val="0"/>
          <w:numId w:val="270"/>
        </w:numPr>
        <w:rPr>
          <w:rFonts w:ascii="Arial" w:cs="Arial" w:eastAsia="Arial" w:hAnsi="Arial"/>
          <w:sz w:val="22"/>
          <w:szCs w:val="22"/>
          <w:color w:val="010000"/>
        </w:rPr>
      </w:pPr>
      <w:r>
        <w:rPr>
          <w:rFonts w:ascii="Arial" w:cs="Arial" w:eastAsia="Arial" w:hAnsi="Arial"/>
          <w:sz w:val="22"/>
          <w:szCs w:val="22"/>
          <w:color w:val="auto"/>
        </w:rPr>
        <w:t>was offered employment by a successor employer or by a purchaser in the event of a spin-off or sale of a subsidiary, business unit or business assets of the Company or its subsidiaries, whether or not the Executive accepts or declines the offer of employment.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5.</w:t>
      </w:r>
      <w:r>
        <w:rPr>
          <w:sz w:val="20"/>
          <w:szCs w:val="20"/>
          <w:color w:val="auto"/>
        </w:rPr>
        <w:tab/>
      </w:r>
      <w:r>
        <w:rPr>
          <w:rFonts w:ascii="Arial" w:cs="Arial" w:eastAsia="Arial" w:hAnsi="Arial"/>
          <w:sz w:val="19"/>
          <w:szCs w:val="19"/>
          <w:b w:val="1"/>
          <w:bCs w:val="1"/>
          <w:color w:val="auto"/>
        </w:rPr>
        <w:t>Restrictive Covenants</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In the event the Executive becomes entitled to receive Change-in-Control Severance Benefits as provided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herein or General Severance Benefits as provided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herein, the following shall apply:</w:t>
      </w:r>
    </w:p>
    <w:p>
      <w:pPr>
        <w:spacing w:after="0" w:line="169" w:lineRule="exact"/>
        <w:rPr>
          <w:sz w:val="20"/>
          <w:szCs w:val="20"/>
          <w:color w:val="auto"/>
        </w:rPr>
      </w:pPr>
    </w:p>
    <w:p>
      <w:pPr>
        <w:jc w:val="both"/>
        <w:ind w:left="1300" w:hanging="644"/>
        <w:spacing w:after="0" w:line="286" w:lineRule="auto"/>
        <w:tabs>
          <w:tab w:leader="none" w:pos="1300" w:val="left"/>
        </w:tabs>
        <w:numPr>
          <w:ilvl w:val="0"/>
          <w:numId w:val="271"/>
        </w:numPr>
        <w:rPr>
          <w:rFonts w:ascii="Arial" w:cs="Arial" w:eastAsia="Arial" w:hAnsi="Arial"/>
          <w:sz w:val="19"/>
          <w:szCs w:val="19"/>
          <w:color w:val="010000"/>
        </w:rPr>
      </w:pPr>
      <w:r>
        <w:rPr>
          <w:rFonts w:ascii="Arial" w:cs="Arial" w:eastAsia="Arial" w:hAnsi="Arial"/>
          <w:sz w:val="19"/>
          <w:szCs w:val="19"/>
          <w:b w:val="1"/>
          <w:bCs w:val="1"/>
          <w:color w:val="auto"/>
        </w:rPr>
        <w:t>Confidential Information</w:t>
      </w:r>
      <w:r>
        <w:rPr>
          <w:rFonts w:ascii="Arial" w:cs="Arial" w:eastAsia="Arial" w:hAnsi="Arial"/>
          <w:sz w:val="19"/>
          <w:szCs w:val="19"/>
          <w:color w:val="auto"/>
        </w:rPr>
        <w:t>. The Executive acknowledges that the information, observations, and data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trade secrets) obtained by him while employed by the Company concerning the business or affairs of the Company or any of its affiliates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 in the possession of the Company and its affiliates (“</w:t>
      </w:r>
      <w:r>
        <w:rPr>
          <w:rFonts w:ascii="Arial" w:cs="Arial" w:eastAsia="Arial" w:hAnsi="Arial"/>
          <w:sz w:val="19"/>
          <w:szCs w:val="19"/>
          <w:u w:val="single" w:color="auto"/>
          <w:color w:val="auto"/>
        </w:rPr>
        <w:t>Third Party Information</w:t>
      </w:r>
      <w:r>
        <w:rPr>
          <w:rFonts w:ascii="Arial" w:cs="Arial" w:eastAsia="Arial" w:hAnsi="Arial"/>
          <w:sz w:val="19"/>
          <w:szCs w:val="19"/>
          <w:color w:val="auto"/>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150" w:lineRule="exact"/>
        <w:rPr>
          <w:rFonts w:ascii="Arial" w:cs="Arial" w:eastAsia="Arial" w:hAnsi="Arial"/>
          <w:sz w:val="19"/>
          <w:szCs w:val="19"/>
          <w:color w:val="010000"/>
        </w:rPr>
      </w:pPr>
    </w:p>
    <w:p>
      <w:pPr>
        <w:jc w:val="both"/>
        <w:ind w:left="1300" w:hanging="644"/>
        <w:spacing w:after="0" w:line="261" w:lineRule="auto"/>
        <w:tabs>
          <w:tab w:leader="none" w:pos="1300" w:val="left"/>
        </w:tabs>
        <w:numPr>
          <w:ilvl w:val="0"/>
          <w:numId w:val="271"/>
        </w:numPr>
        <w:rPr>
          <w:rFonts w:ascii="Arial" w:cs="Arial" w:eastAsia="Arial" w:hAnsi="Arial"/>
          <w:sz w:val="21"/>
          <w:szCs w:val="21"/>
          <w:color w:val="010000"/>
        </w:rPr>
      </w:pPr>
      <w:r>
        <w:rPr>
          <w:rFonts w:ascii="Arial" w:cs="Arial" w:eastAsia="Arial" w:hAnsi="Arial"/>
          <w:sz w:val="21"/>
          <w:szCs w:val="21"/>
          <w:b w:val="1"/>
          <w:bCs w:val="1"/>
          <w:color w:val="auto"/>
        </w:rPr>
        <w:t>Intellectual Property, Inventions, and Patents</w:t>
      </w:r>
      <w:r>
        <w:rPr>
          <w:rFonts w:ascii="Arial" w:cs="Arial" w:eastAsia="Arial" w:hAnsi="Arial"/>
          <w:sz w:val="21"/>
          <w:szCs w:val="21"/>
          <w:color w:val="auto"/>
        </w:rPr>
        <w:t>. The Executive acknowledges that all discoveries, concepts,</w:t>
      </w:r>
      <w:r>
        <w:rPr>
          <w:rFonts w:ascii="Arial" w:cs="Arial" w:eastAsia="Arial" w:hAnsi="Arial"/>
          <w:sz w:val="21"/>
          <w:szCs w:val="21"/>
          <w:b w:val="1"/>
          <w:bCs w:val="1"/>
          <w:color w:val="auto"/>
        </w:rPr>
        <w:t xml:space="preserve"> </w:t>
      </w:r>
      <w:r>
        <w:rPr>
          <w:rFonts w:ascii="Arial" w:cs="Arial" w:eastAsia="Arial" w:hAnsi="Arial"/>
          <w:sz w:val="21"/>
          <w:szCs w:val="21"/>
          <w:color w:val="auto"/>
        </w:rPr>
        <w:t>ideas, inventions, innovations, improvements, developments, methods, 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13</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48" w:name="page249"/>
    <w:bookmarkEnd w:id="248"/>
    <w:p>
      <w:pPr>
        <w:jc w:val="both"/>
        <w:ind w:left="1300"/>
        <w:spacing w:after="0" w:line="259" w:lineRule="auto"/>
        <w:rPr>
          <w:sz w:val="20"/>
          <w:szCs w:val="20"/>
          <w:color w:val="auto"/>
        </w:rPr>
      </w:pPr>
      <w:r>
        <w:rPr>
          <w:rFonts w:ascii="Arial" w:cs="Arial" w:eastAsia="Arial" w:hAnsi="Arial"/>
          <w:sz w:val="21"/>
          <w:szCs w:val="21"/>
          <w:color w:val="auto"/>
        </w:rPr>
        <w:t>(whether alone or jointly with others) while employed by the Company and its affiliates (“</w:t>
      </w:r>
      <w:r>
        <w:rPr>
          <w:rFonts w:ascii="Arial" w:cs="Arial" w:eastAsia="Arial" w:hAnsi="Arial"/>
          <w:sz w:val="21"/>
          <w:szCs w:val="21"/>
          <w:u w:val="single" w:color="auto"/>
          <w:color w:val="auto"/>
        </w:rPr>
        <w:t>Work Product</w:t>
      </w:r>
      <w:r>
        <w:rPr>
          <w:rFonts w:ascii="Arial" w:cs="Arial" w:eastAsia="Arial" w:hAnsi="Arial"/>
          <w:sz w:val="21"/>
          <w:szCs w:val="21"/>
          <w:color w:val="auto"/>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179"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color w:val="auto"/>
        </w:rPr>
        <w:t>The Executive is hereby advised that the above paragraph regarding the Company’s and its affiliates’ ownership of Work Product does not apply to any invention for which no equipment, supplies, 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 or development, or (ii) the invention results from any work performed by the Executive for the Company or any affiliate.</w:t>
      </w:r>
    </w:p>
    <w:p>
      <w:pPr>
        <w:spacing w:after="0" w:line="173" w:lineRule="exact"/>
        <w:rPr>
          <w:sz w:val="20"/>
          <w:szCs w:val="20"/>
          <w:color w:val="auto"/>
        </w:rPr>
      </w:pPr>
    </w:p>
    <w:p>
      <w:pPr>
        <w:jc w:val="both"/>
        <w:ind w:left="1300" w:hanging="644"/>
        <w:spacing w:after="0" w:line="289" w:lineRule="auto"/>
        <w:tabs>
          <w:tab w:leader="none" w:pos="1300" w:val="left"/>
        </w:tabs>
        <w:numPr>
          <w:ilvl w:val="0"/>
          <w:numId w:val="272"/>
        </w:numPr>
        <w:rPr>
          <w:rFonts w:ascii="Arial" w:cs="Arial" w:eastAsia="Arial" w:hAnsi="Arial"/>
          <w:sz w:val="19"/>
          <w:szCs w:val="19"/>
          <w:color w:val="010000"/>
        </w:rPr>
      </w:pPr>
      <w:r>
        <w:rPr>
          <w:rFonts w:ascii="Arial" w:cs="Arial" w:eastAsia="Arial" w:hAnsi="Arial"/>
          <w:sz w:val="19"/>
          <w:szCs w:val="19"/>
          <w:b w:val="1"/>
          <w:bCs w:val="1"/>
          <w:color w:val="auto"/>
        </w:rPr>
        <w:t>Nonsolicitation</w:t>
      </w:r>
      <w:r>
        <w:rPr>
          <w:rFonts w:ascii="Arial" w:cs="Arial" w:eastAsia="Arial" w:hAnsi="Arial"/>
          <w:sz w:val="19"/>
          <w:szCs w:val="19"/>
          <w:color w:val="auto"/>
        </w:rPr>
        <w:t>. During Executive’s employment with the Company and for one (1) year thereafter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Nonsolicitation Period</w:t>
      </w:r>
      <w:r>
        <w:rPr>
          <w:rFonts w:ascii="Arial" w:cs="Arial" w:eastAsia="Arial" w:hAnsi="Arial"/>
          <w:sz w:val="19"/>
          <w:szCs w:val="19"/>
          <w:color w:val="auto"/>
        </w:rPr>
        <w:t>”), the Executive shall not directly or indirectly through another person or entity: (i) induce or attempt to induce any employee of the Company or any of its affiliates to leave the 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 affiliate (including, without limitation, making any negative or disparaging statements or communications regarding the Company or its affiliates).</w:t>
      </w:r>
    </w:p>
    <w:p>
      <w:pPr>
        <w:spacing w:after="0" w:line="150" w:lineRule="exact"/>
        <w:rPr>
          <w:rFonts w:ascii="Arial" w:cs="Arial" w:eastAsia="Arial" w:hAnsi="Arial"/>
          <w:sz w:val="19"/>
          <w:szCs w:val="19"/>
          <w:color w:val="010000"/>
        </w:rPr>
      </w:pPr>
    </w:p>
    <w:p>
      <w:pPr>
        <w:jc w:val="both"/>
        <w:ind w:left="1300" w:hanging="644"/>
        <w:spacing w:after="0" w:line="248" w:lineRule="auto"/>
        <w:tabs>
          <w:tab w:leader="none" w:pos="1300" w:val="left"/>
        </w:tabs>
        <w:numPr>
          <w:ilvl w:val="0"/>
          <w:numId w:val="272"/>
        </w:numPr>
        <w:rPr>
          <w:rFonts w:ascii="Arial" w:cs="Arial" w:eastAsia="Arial" w:hAnsi="Arial"/>
          <w:sz w:val="22"/>
          <w:szCs w:val="22"/>
          <w:color w:val="010000"/>
        </w:rPr>
      </w:pPr>
      <w:r>
        <w:rPr>
          <w:rFonts w:ascii="Arial" w:cs="Arial" w:eastAsia="Arial" w:hAnsi="Arial"/>
          <w:sz w:val="22"/>
          <w:szCs w:val="22"/>
          <w:b w:val="1"/>
          <w:bCs w:val="1"/>
          <w:color w:val="auto"/>
        </w:rPr>
        <w:t xml:space="preserve">Nondisparagement. </w:t>
      </w:r>
      <w:r>
        <w:rPr>
          <w:rFonts w:ascii="Arial" w:cs="Arial" w:eastAsia="Arial" w:hAnsi="Arial"/>
          <w:sz w:val="22"/>
          <w:szCs w:val="22"/>
          <w:color w:val="auto"/>
        </w:rPr>
        <w:t>During the Nonsolicitation Period, Executive shall not disparage the Company,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and parents, and their respective officers, managers and employees, or make any public statement (whether 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14</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49" w:name="page250"/>
    <w:bookmarkEnd w:id="249"/>
    <w:p>
      <w:pPr>
        <w:jc w:val="both"/>
        <w:ind w:left="1300"/>
        <w:spacing w:after="0" w:line="289" w:lineRule="auto"/>
        <w:rPr>
          <w:sz w:val="20"/>
          <w:szCs w:val="20"/>
          <w:color w:val="auto"/>
        </w:rPr>
      </w:pPr>
      <w:r>
        <w:rPr>
          <w:rFonts w:ascii="Arial" w:cs="Arial" w:eastAsia="Arial" w:hAnsi="Arial"/>
          <w:sz w:val="19"/>
          <w:szCs w:val="19"/>
          <w:color w:val="auto"/>
        </w:rPr>
        <w:t xml:space="preserve">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Nonsolicitation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 </w:t>
      </w:r>
      <w:r>
        <w:rPr>
          <w:rFonts w:ascii="Arial" w:cs="Arial" w:eastAsia="Arial" w:hAnsi="Arial"/>
          <w:sz w:val="19"/>
          <w:szCs w:val="19"/>
          <w:u w:val="single" w:color="auto"/>
          <w:color w:val="auto"/>
        </w:rPr>
        <w:t>Section 5(d)</w:t>
      </w:r>
      <w:r>
        <w:rPr>
          <w:rFonts w:ascii="Arial" w:cs="Arial" w:eastAsia="Arial" w:hAnsi="Arial"/>
          <w:sz w:val="19"/>
          <w:szCs w:val="19"/>
          <w:color w:val="auto"/>
        </w:rPr>
        <w:t xml:space="preserve"> shall restrict either party's ability to: (i) consult with counsel, (ii) make truthful statements under oath or to a government agency or official, or (iii) take any legal action with respect to his employment or termination of employment with the Company.</w:t>
      </w:r>
    </w:p>
    <w:p>
      <w:pPr>
        <w:spacing w:after="0" w:line="151" w:lineRule="exact"/>
        <w:rPr>
          <w:sz w:val="20"/>
          <w:szCs w:val="20"/>
          <w:color w:val="auto"/>
        </w:rPr>
      </w:pPr>
    </w:p>
    <w:p>
      <w:pPr>
        <w:jc w:val="both"/>
        <w:ind w:left="1300" w:hanging="644"/>
        <w:spacing w:after="0" w:line="295" w:lineRule="auto"/>
        <w:tabs>
          <w:tab w:leader="none" w:pos="1300" w:val="left"/>
        </w:tabs>
        <w:numPr>
          <w:ilvl w:val="0"/>
          <w:numId w:val="273"/>
        </w:numPr>
        <w:rPr>
          <w:rFonts w:ascii="Arial" w:cs="Arial" w:eastAsia="Arial" w:hAnsi="Arial"/>
          <w:sz w:val="19"/>
          <w:szCs w:val="19"/>
          <w:color w:val="010000"/>
        </w:rPr>
      </w:pPr>
      <w:r>
        <w:rPr>
          <w:rFonts w:ascii="Arial" w:cs="Arial" w:eastAsia="Arial" w:hAnsi="Arial"/>
          <w:sz w:val="19"/>
          <w:szCs w:val="19"/>
          <w:b w:val="1"/>
          <w:bCs w:val="1"/>
          <w:color w:val="auto"/>
        </w:rPr>
        <w:t>Duration, Scope, or Area</w:t>
      </w:r>
      <w:r>
        <w:rPr>
          <w:rFonts w:ascii="Arial" w:cs="Arial" w:eastAsia="Arial" w:hAnsi="Arial"/>
          <w:sz w:val="19"/>
          <w:szCs w:val="19"/>
          <w:color w:val="auto"/>
        </w:rPr>
        <w:t>. If, at the time of enforcement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5</w:t>
      </w:r>
      <w:r>
        <w:rPr>
          <w:rFonts w:ascii="Arial" w:cs="Arial" w:eastAsia="Arial" w:hAnsi="Arial"/>
          <w:sz w:val="19"/>
          <w:szCs w:val="19"/>
          <w:color w:val="auto"/>
        </w:rPr>
        <w:t>, a court shall hold that the duration,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shall not apply to any Executive whose principal work location for the Company at the time of termination was in the State of California.</w:t>
      </w:r>
    </w:p>
    <w:p>
      <w:pPr>
        <w:spacing w:after="0" w:line="143" w:lineRule="exact"/>
        <w:rPr>
          <w:rFonts w:ascii="Arial" w:cs="Arial" w:eastAsia="Arial" w:hAnsi="Arial"/>
          <w:sz w:val="19"/>
          <w:szCs w:val="19"/>
          <w:color w:val="010000"/>
        </w:rPr>
      </w:pPr>
    </w:p>
    <w:p>
      <w:pPr>
        <w:jc w:val="both"/>
        <w:ind w:left="1300" w:hanging="644"/>
        <w:spacing w:after="0" w:line="264" w:lineRule="auto"/>
        <w:tabs>
          <w:tab w:leader="none" w:pos="1300" w:val="left"/>
        </w:tabs>
        <w:numPr>
          <w:ilvl w:val="0"/>
          <w:numId w:val="273"/>
        </w:numPr>
        <w:rPr>
          <w:rFonts w:ascii="Arial" w:cs="Arial" w:eastAsia="Arial" w:hAnsi="Arial"/>
          <w:sz w:val="21"/>
          <w:szCs w:val="21"/>
          <w:color w:val="010000"/>
        </w:rPr>
      </w:pPr>
      <w:r>
        <w:rPr>
          <w:rFonts w:ascii="Arial" w:cs="Arial" w:eastAsia="Arial" w:hAnsi="Arial"/>
          <w:sz w:val="21"/>
          <w:szCs w:val="21"/>
          <w:b w:val="1"/>
          <w:bCs w:val="1"/>
          <w:color w:val="auto"/>
        </w:rPr>
        <w:t>Company Enforcement</w:t>
      </w:r>
      <w:r>
        <w:rPr>
          <w:rFonts w:ascii="Arial" w:cs="Arial" w:eastAsia="Arial" w:hAnsi="Arial"/>
          <w:sz w:val="21"/>
          <w:szCs w:val="21"/>
          <w:color w:val="auto"/>
        </w:rPr>
        <w:t>. In the event of a breach or a threatened breach by the Executive of any of the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this </w:t>
      </w:r>
      <w:r>
        <w:rPr>
          <w:rFonts w:ascii="Arial" w:cs="Arial" w:eastAsia="Arial" w:hAnsi="Arial"/>
          <w:sz w:val="21"/>
          <w:szCs w:val="21"/>
          <w:u w:val="single" w:color="auto"/>
          <w:color w:val="auto"/>
        </w:rPr>
        <w:t>Article 5</w:t>
      </w:r>
      <w:r>
        <w:rPr>
          <w:rFonts w:ascii="Arial" w:cs="Arial" w:eastAsia="Arial" w:hAnsi="Arial"/>
          <w:sz w:val="21"/>
          <w:szCs w:val="21"/>
          <w:color w:val="auto"/>
        </w:rPr>
        <w:t>, the Company would suffer irreparable harm, and in addition and 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6.</w:t>
      </w:r>
      <w:r>
        <w:rPr>
          <w:sz w:val="20"/>
          <w:szCs w:val="20"/>
          <w:color w:val="auto"/>
        </w:rPr>
        <w:tab/>
      </w:r>
      <w:r>
        <w:rPr>
          <w:rFonts w:ascii="Arial" w:cs="Arial" w:eastAsia="Arial" w:hAnsi="Arial"/>
          <w:sz w:val="19"/>
          <w:szCs w:val="19"/>
          <w:b w:val="1"/>
          <w:bCs w:val="1"/>
          <w:color w:val="auto"/>
        </w:rPr>
        <w:t>Certain Change in Control Payments</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Notwithstanding any provision of the Plan to the contrary, if any payments or benefits an Executive would receive from the Company under the Plan or otherwise in connection with the Change in Control (the “</w:t>
      </w:r>
      <w:r>
        <w:rPr>
          <w:rFonts w:ascii="Arial" w:cs="Arial" w:eastAsia="Arial" w:hAnsi="Arial"/>
          <w:sz w:val="19"/>
          <w:szCs w:val="19"/>
          <w:u w:val="single" w:color="auto"/>
          <w:color w:val="auto"/>
        </w:rPr>
        <w:t>Total Payments</w:t>
      </w:r>
      <w:r>
        <w:rPr>
          <w:rFonts w:ascii="Arial" w:cs="Arial" w:eastAsia="Arial" w:hAnsi="Arial"/>
          <w:sz w:val="19"/>
          <w:szCs w:val="19"/>
          <w:color w:val="auto"/>
        </w:rPr>
        <w:t xml:space="preserve">”) (a) constitute “parachute payments” within the meaning of Code Section 280G, and (b) but for this </w:t>
      </w:r>
      <w:r>
        <w:rPr>
          <w:rFonts w:ascii="Arial" w:cs="Arial" w:eastAsia="Arial" w:hAnsi="Arial"/>
          <w:sz w:val="19"/>
          <w:szCs w:val="19"/>
          <w:u w:val="single" w:color="auto"/>
          <w:color w:val="auto"/>
        </w:rPr>
        <w:t>Article 6</w:t>
      </w:r>
      <w:r>
        <w:rPr>
          <w:rFonts w:ascii="Arial" w:cs="Arial" w:eastAsia="Arial" w:hAnsi="Arial"/>
          <w:sz w:val="19"/>
          <w:szCs w:val="19"/>
          <w:color w:val="auto"/>
        </w:rPr>
        <w:t>, would be subject to the excise tax imposed by Code Section 4999, then such Executive will be entitled to receive either (i) the full amount of the Total Payments or</w:t>
      </w:r>
    </w:p>
    <w:p>
      <w:pPr>
        <w:spacing w:after="0" w:line="3" w:lineRule="exact"/>
        <w:rPr>
          <w:sz w:val="20"/>
          <w:szCs w:val="20"/>
          <w:color w:val="auto"/>
        </w:rPr>
      </w:pPr>
    </w:p>
    <w:p>
      <w:pPr>
        <w:jc w:val="both"/>
        <w:ind w:firstLine="8"/>
        <w:spacing w:after="0" w:line="244" w:lineRule="auto"/>
        <w:tabs>
          <w:tab w:leader="none" w:pos="32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 xml:space="preserve">a portion of the Total Payments having a value equal to $1 less than three (3) times such individual’s “base amount” (as such term is defined in Code Section 280G(b)(3)(A)), whichever of (i) and (ii), after taking into account applicable federal, state, and local income taxes and the excise tax imposed by Code Section 4999, results in the receipt by such employee on an after-tax basis, of the greatest portion of the Total Payments. Any determination required under this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shall be made in writing by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15</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50" w:name="page251"/>
    <w:bookmarkEnd w:id="250"/>
    <w:p>
      <w:pPr>
        <w:jc w:val="both"/>
        <w:spacing w:after="0" w:line="286" w:lineRule="auto"/>
        <w:rPr>
          <w:sz w:val="20"/>
          <w:szCs w:val="20"/>
          <w:color w:val="auto"/>
        </w:rPr>
      </w:pPr>
      <w:r>
        <w:rPr>
          <w:rFonts w:ascii="Arial" w:cs="Arial" w:eastAsia="Arial" w:hAnsi="Arial"/>
          <w:sz w:val="19"/>
          <w:szCs w:val="19"/>
          <w:color w:val="auto"/>
        </w:rPr>
        <w:t>independent certified public accountants appointed prior to any change in ownership (as defined under Code Section 280G(b)(2)) or tax counsel selected by such accountants (the “</w:t>
      </w:r>
      <w:r>
        <w:rPr>
          <w:rFonts w:ascii="Arial" w:cs="Arial" w:eastAsia="Arial" w:hAnsi="Arial"/>
          <w:sz w:val="19"/>
          <w:szCs w:val="19"/>
          <w:u w:val="single" w:color="auto"/>
          <w:color w:val="auto"/>
        </w:rPr>
        <w:t>Accountants</w:t>
      </w:r>
      <w:r>
        <w:rPr>
          <w:rFonts w:ascii="Arial" w:cs="Arial" w:eastAsia="Arial" w:hAnsi="Arial"/>
          <w:sz w:val="19"/>
          <w:szCs w:val="19"/>
          <w:color w:val="auto"/>
        </w:rPr>
        <w:t xml:space="preserve">”), whose determination shall be conclusive and binding for all purposes upon the applicable Executive. For purposes of making the calculations required by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the Accountants may make reasonable assumptions and approximations concerning applicable taxes and may rely on reasonable, good-faith interpretations concerning the application of Code Sections 280G and 4999. If there is a reduction pursuant to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Arial" w:cs="Arial" w:eastAsia="Arial" w:hAnsi="Arial"/>
          <w:sz w:val="19"/>
          <w:szCs w:val="19"/>
          <w:u w:val="single" w:color="auto"/>
          <w:color w:val="auto"/>
        </w:rPr>
        <w:t>Parachute Payment Ratio</w:t>
      </w:r>
      <w:r>
        <w:rPr>
          <w:rFonts w:ascii="Arial" w:cs="Arial" w:eastAsia="Arial" w:hAnsi="Arial"/>
          <w:sz w:val="19"/>
          <w:szCs w:val="19"/>
          <w:color w:val="auto"/>
        </w:rPr>
        <w:t>” shall mean a fraction the numerator of which is the value of the applicable “parachute payment” for purposes of Code Section 280G and the denominator of which is the actual present value of such payment.</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7.</w:t>
      </w:r>
      <w:r>
        <w:rPr>
          <w:sz w:val="20"/>
          <w:szCs w:val="20"/>
          <w:color w:val="auto"/>
        </w:rPr>
        <w:tab/>
      </w:r>
      <w:r>
        <w:rPr>
          <w:rFonts w:ascii="Arial" w:cs="Arial" w:eastAsia="Arial" w:hAnsi="Arial"/>
          <w:sz w:val="19"/>
          <w:szCs w:val="19"/>
          <w:b w:val="1"/>
          <w:bCs w:val="1"/>
          <w:color w:val="auto"/>
        </w:rPr>
        <w:t>Legal Fees and Notice</w:t>
      </w:r>
    </w:p>
    <w:p>
      <w:pPr>
        <w:spacing w:after="0" w:line="220" w:lineRule="exact"/>
        <w:rPr>
          <w:sz w:val="20"/>
          <w:szCs w:val="20"/>
          <w:color w:val="auto"/>
        </w:rPr>
      </w:pPr>
    </w:p>
    <w:p>
      <w:pPr>
        <w:ind w:left="1080" w:hanging="424"/>
        <w:spacing w:after="0"/>
        <w:tabs>
          <w:tab w:leader="none" w:pos="1080" w:val="left"/>
        </w:tabs>
        <w:numPr>
          <w:ilvl w:val="0"/>
          <w:numId w:val="275"/>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Legal Fees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Except as otherwise agreed to by the parties, the Company shall pay the Executive for costs of litigation or other disputes including, without limitation, reasonable attorneys’ fees incurred by the 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136" w:lineRule="exact"/>
        <w:rPr>
          <w:sz w:val="20"/>
          <w:szCs w:val="20"/>
          <w:color w:val="auto"/>
        </w:rPr>
      </w:pPr>
    </w:p>
    <w:p>
      <w:pPr>
        <w:ind w:left="1080" w:hanging="424"/>
        <w:spacing w:after="0"/>
        <w:tabs>
          <w:tab w:leader="none" w:pos="1080"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Notice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notices, requests, demands, or other communications provided for by this Plan shall be sufficient if in writing and if sent by registered or certified mail to the Executive at the last address he or she has filed in writing with the Company or, in the case of the Company, at its principal offices.</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8.</w:t>
      </w:r>
      <w:r>
        <w:rPr>
          <w:sz w:val="20"/>
          <w:szCs w:val="20"/>
          <w:color w:val="auto"/>
        </w:rPr>
        <w:tab/>
      </w:r>
      <w:r>
        <w:rPr>
          <w:rFonts w:ascii="Arial" w:cs="Arial" w:eastAsia="Arial" w:hAnsi="Arial"/>
          <w:sz w:val="18"/>
          <w:szCs w:val="18"/>
          <w:b w:val="1"/>
          <w:bCs w:val="1"/>
          <w:color w:val="auto"/>
        </w:rPr>
        <w:t>Successors and Assignment</w:t>
      </w:r>
    </w:p>
    <w:p>
      <w:pPr>
        <w:spacing w:after="0" w:line="220" w:lineRule="exact"/>
        <w:rPr>
          <w:sz w:val="20"/>
          <w:szCs w:val="20"/>
          <w:color w:val="auto"/>
        </w:rPr>
      </w:pPr>
    </w:p>
    <w:p>
      <w:pPr>
        <w:ind w:left="1080" w:hanging="424"/>
        <w:spacing w:after="0"/>
        <w:tabs>
          <w:tab w:leader="none" w:pos="1080" w:val="left"/>
        </w:tabs>
        <w:numPr>
          <w:ilvl w:val="0"/>
          <w:numId w:val="277"/>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to the Company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shall require any successor (whether direct or indirect, by purchase, merger, reorganization, consolidation, acquisition of property or stock, liquidation, or otherwise) of all or a significant portion of the assets of the Company by agreement,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16</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51" w:name="page252"/>
    <w:bookmarkEnd w:id="251"/>
    <w:p>
      <w:pPr>
        <w:jc w:val="both"/>
        <w:spacing w:after="0" w:line="250" w:lineRule="auto"/>
        <w:rPr>
          <w:sz w:val="20"/>
          <w:szCs w:val="20"/>
          <w:color w:val="auto"/>
        </w:rPr>
      </w:pPr>
      <w:r>
        <w:rPr>
          <w:rFonts w:ascii="Arial" w:cs="Arial" w:eastAsia="Arial" w:hAnsi="Arial"/>
          <w:sz w:val="22"/>
          <w:szCs w:val="22"/>
          <w:color w:val="auto"/>
        </w:rPr>
        <w:t>satisfactory to the Executive, to expressly assume and agree to 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82" w:lineRule="exact"/>
        <w:rPr>
          <w:sz w:val="20"/>
          <w:szCs w:val="20"/>
          <w:color w:val="auto"/>
        </w:rPr>
      </w:pPr>
    </w:p>
    <w:p>
      <w:pPr>
        <w:ind w:left="1080" w:hanging="424"/>
        <w:spacing w:after="0"/>
        <w:tabs>
          <w:tab w:leader="none" w:pos="1080" w:val="left"/>
        </w:tabs>
        <w:numPr>
          <w:ilvl w:val="0"/>
          <w:numId w:val="278"/>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by the Executive</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Plan shall inure to the benefit of and be enforceable by the Executive’s personal or legal representatives, executors, administrators, successors, heirs, distributees, devisees, and legatees. If 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9.</w:t>
      </w:r>
      <w:r>
        <w:rPr>
          <w:sz w:val="20"/>
          <w:szCs w:val="20"/>
          <w:color w:val="auto"/>
        </w:rPr>
        <w:tab/>
      </w:r>
      <w:r>
        <w:rPr>
          <w:rFonts w:ascii="Arial" w:cs="Arial" w:eastAsia="Arial" w:hAnsi="Arial"/>
          <w:sz w:val="18"/>
          <w:szCs w:val="18"/>
          <w:b w:val="1"/>
          <w:bCs w:val="1"/>
          <w:color w:val="auto"/>
        </w:rPr>
        <w:t>Miscellaneous</w:t>
      </w:r>
    </w:p>
    <w:p>
      <w:pPr>
        <w:spacing w:after="0" w:line="220" w:lineRule="exact"/>
        <w:rPr>
          <w:sz w:val="20"/>
          <w:szCs w:val="20"/>
          <w:color w:val="auto"/>
        </w:rPr>
      </w:pPr>
    </w:p>
    <w:p>
      <w:pPr>
        <w:ind w:left="1080" w:hanging="424"/>
        <w:spacing w:after="0"/>
        <w:tabs>
          <w:tab w:leader="none" w:pos="1080" w:val="left"/>
        </w:tabs>
        <w:numPr>
          <w:ilvl w:val="0"/>
          <w:numId w:val="279"/>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Status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79" w:lineRule="exact"/>
        <w:rPr>
          <w:sz w:val="20"/>
          <w:szCs w:val="20"/>
          <w:color w:val="auto"/>
        </w:rPr>
      </w:pPr>
    </w:p>
    <w:p>
      <w:pPr>
        <w:ind w:left="1080" w:hanging="424"/>
        <w:spacing w:after="0"/>
        <w:tabs>
          <w:tab w:leader="none" w:pos="1080" w:val="left"/>
        </w:tabs>
        <w:numPr>
          <w:ilvl w:val="0"/>
          <w:numId w:val="280"/>
        </w:numPr>
        <w:rPr>
          <w:rFonts w:ascii="Arial" w:cs="Arial" w:eastAsia="Arial" w:hAnsi="Arial"/>
          <w:sz w:val="22"/>
          <w:szCs w:val="22"/>
          <w:b w:val="1"/>
          <w:bCs w:val="1"/>
          <w:color w:val="auto"/>
        </w:rPr>
      </w:pPr>
      <w:r>
        <w:rPr>
          <w:rFonts w:ascii="Arial" w:cs="Arial" w:eastAsia="Arial" w:hAnsi="Arial"/>
          <w:sz w:val="22"/>
          <w:szCs w:val="22"/>
          <w:b w:val="1"/>
          <w:bCs w:val="1"/>
          <w:color w:val="auto"/>
        </w:rPr>
        <w:t>Code Section 409A.</w:t>
      </w:r>
    </w:p>
    <w:p>
      <w:pPr>
        <w:spacing w:after="0" w:line="226" w:lineRule="exact"/>
        <w:rPr>
          <w:sz w:val="20"/>
          <w:szCs w:val="20"/>
          <w:color w:val="auto"/>
        </w:rPr>
      </w:pPr>
    </w:p>
    <w:p>
      <w:pPr>
        <w:jc w:val="both"/>
        <w:ind w:left="1300" w:hanging="644"/>
        <w:spacing w:after="0" w:line="261" w:lineRule="auto"/>
        <w:tabs>
          <w:tab w:leader="none" w:pos="1300" w:val="left"/>
        </w:tabs>
        <w:numPr>
          <w:ilvl w:val="0"/>
          <w:numId w:val="281"/>
        </w:numPr>
        <w:rPr>
          <w:rFonts w:ascii="Arial" w:cs="Arial" w:eastAsia="Arial" w:hAnsi="Arial"/>
          <w:sz w:val="21"/>
          <w:szCs w:val="21"/>
          <w:color w:val="010000"/>
        </w:rPr>
      </w:pPr>
      <w:r>
        <w:rPr>
          <w:rFonts w:ascii="Arial" w:cs="Arial" w:eastAsia="Arial" w:hAnsi="Arial"/>
          <w:sz w:val="21"/>
          <w:szCs w:val="21"/>
          <w:color w:val="auto"/>
        </w:rPr>
        <w:t>All expenses or other reimbursements under this Plan shall be made on or prior to the last day of the taxable year following the taxable year in which such expenses were incurred by the Executive (provided that if any such reimbursements constitute taxable income to the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79" w:lineRule="exact"/>
        <w:rPr>
          <w:rFonts w:ascii="Arial" w:cs="Arial" w:eastAsia="Arial" w:hAnsi="Arial"/>
          <w:sz w:val="21"/>
          <w:szCs w:val="21"/>
          <w:color w:val="010000"/>
        </w:rPr>
      </w:pPr>
    </w:p>
    <w:p>
      <w:pPr>
        <w:ind w:left="1300" w:right="20" w:hanging="644"/>
        <w:spacing w:after="0" w:line="263" w:lineRule="auto"/>
        <w:tabs>
          <w:tab w:leader="none" w:pos="1300" w:val="left"/>
        </w:tabs>
        <w:numPr>
          <w:ilvl w:val="0"/>
          <w:numId w:val="281"/>
        </w:numPr>
        <w:rPr>
          <w:rFonts w:ascii="Arial" w:cs="Arial" w:eastAsia="Arial" w:hAnsi="Arial"/>
          <w:sz w:val="22"/>
          <w:szCs w:val="22"/>
          <w:color w:val="010000"/>
        </w:rPr>
      </w:pPr>
      <w:r>
        <w:rPr>
          <w:rFonts w:ascii="Arial" w:cs="Arial" w:eastAsia="Arial" w:hAnsi="Arial"/>
          <w:sz w:val="22"/>
          <w:szCs w:val="22"/>
          <w:color w:val="auto"/>
        </w:rPr>
        <w:t>For purposes of Code Section 409A, the Executive’s right to receive any installment payment pursuant to this Plan shall be treated as a right to receive a series of separate and distinct payments.</w:t>
      </w:r>
    </w:p>
    <w:p>
      <w:pPr>
        <w:spacing w:after="0" w:line="174" w:lineRule="exact"/>
        <w:rPr>
          <w:rFonts w:ascii="Arial" w:cs="Arial" w:eastAsia="Arial" w:hAnsi="Arial"/>
          <w:sz w:val="22"/>
          <w:szCs w:val="22"/>
          <w:color w:val="010000"/>
        </w:rPr>
      </w:pPr>
    </w:p>
    <w:p>
      <w:pPr>
        <w:jc w:val="both"/>
        <w:ind w:left="1300" w:hanging="644"/>
        <w:spacing w:after="0" w:line="253" w:lineRule="auto"/>
        <w:tabs>
          <w:tab w:leader="none" w:pos="1300" w:val="left"/>
        </w:tabs>
        <w:numPr>
          <w:ilvl w:val="0"/>
          <w:numId w:val="281"/>
        </w:numPr>
        <w:rPr>
          <w:rFonts w:ascii="Arial" w:cs="Arial" w:eastAsia="Arial" w:hAnsi="Arial"/>
          <w:sz w:val="22"/>
          <w:szCs w:val="22"/>
          <w:color w:val="010000"/>
        </w:rPr>
      </w:pPr>
      <w:r>
        <w:rPr>
          <w:rFonts w:ascii="Arial" w:cs="Arial" w:eastAsia="Arial" w:hAnsi="Arial"/>
          <w:sz w:val="22"/>
          <w:szCs w:val="22"/>
          <w:color w:val="auto"/>
        </w:rPr>
        <w:t>Whenever a payment under this Plan specifies a payment period with reference to a number of days (</w:t>
      </w:r>
      <w:r>
        <w:rPr>
          <w:rFonts w:ascii="Arial" w:cs="Arial" w:eastAsia="Arial" w:hAnsi="Arial"/>
          <w:sz w:val="22"/>
          <w:szCs w:val="22"/>
          <w:u w:val="single" w:color="auto"/>
          <w:color w:val="auto"/>
        </w:rPr>
        <w:t>e.g.</w:t>
      </w:r>
      <w:r>
        <w:rPr>
          <w:rFonts w:ascii="Arial" w:cs="Arial" w:eastAsia="Arial" w:hAnsi="Arial"/>
          <w:sz w:val="22"/>
          <w:szCs w:val="22"/>
          <w:color w:val="auto"/>
        </w:rPr>
        <w:t>, “payment shall be made within thirty (30) days following the date of termination”), the actual date of payment within the specified period shall be within the sole discretion of the Company.</w:t>
      </w:r>
    </w:p>
    <w:p>
      <w:pPr>
        <w:spacing w:after="0" w:line="185" w:lineRule="exact"/>
        <w:rPr>
          <w:rFonts w:ascii="Arial" w:cs="Arial" w:eastAsia="Arial" w:hAnsi="Arial"/>
          <w:sz w:val="22"/>
          <w:szCs w:val="22"/>
          <w:color w:val="010000"/>
        </w:rPr>
      </w:pPr>
    </w:p>
    <w:p>
      <w:pPr>
        <w:ind w:left="1300" w:right="20" w:hanging="644"/>
        <w:spacing w:after="0" w:line="263" w:lineRule="auto"/>
        <w:tabs>
          <w:tab w:leader="none" w:pos="1300" w:val="left"/>
        </w:tabs>
        <w:numPr>
          <w:ilvl w:val="0"/>
          <w:numId w:val="281"/>
        </w:numPr>
        <w:rPr>
          <w:rFonts w:ascii="Arial" w:cs="Arial" w:eastAsia="Arial" w:hAnsi="Arial"/>
          <w:sz w:val="22"/>
          <w:szCs w:val="22"/>
          <w:color w:val="010000"/>
        </w:rPr>
      </w:pPr>
      <w:r>
        <w:rPr>
          <w:rFonts w:ascii="Arial" w:cs="Arial" w:eastAsia="Arial" w:hAnsi="Arial"/>
          <w:sz w:val="22"/>
          <w:szCs w:val="22"/>
          <w:color w:val="auto"/>
        </w:rPr>
        <w:t>A termination of employment shall not be deemed to have occurred for purposes of any provision of this Plan providing for the payment of any amounts 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17</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52" w:name="page253"/>
    <w:bookmarkEnd w:id="252"/>
    <w:p>
      <w:pPr>
        <w:jc w:val="both"/>
        <w:ind w:left="1300"/>
        <w:spacing w:after="0" w:line="271" w:lineRule="auto"/>
        <w:rPr>
          <w:sz w:val="20"/>
          <w:szCs w:val="20"/>
          <w:color w:val="auto"/>
        </w:rPr>
      </w:pPr>
      <w:r>
        <w:rPr>
          <w:rFonts w:ascii="Arial" w:cs="Arial" w:eastAsia="Arial" w:hAnsi="Arial"/>
          <w:sz w:val="21"/>
          <w:szCs w:val="21"/>
          <w:color w:val="auto"/>
        </w:rPr>
        <w:t>upon or following a termination of employment unless such termination is also a “separation from service” within the meaning of Code Section 409A and, for purposes of any such provision of this Plan, references to a “termination,” “termination of employment” or like terms shall mean “separation from service.”</w:t>
      </w:r>
    </w:p>
    <w:p>
      <w:pPr>
        <w:spacing w:after="0" w:line="167" w:lineRule="exact"/>
        <w:rPr>
          <w:sz w:val="20"/>
          <w:szCs w:val="20"/>
          <w:color w:val="auto"/>
        </w:rPr>
      </w:pPr>
    </w:p>
    <w:p>
      <w:pPr>
        <w:jc w:val="both"/>
        <w:ind w:left="1300" w:hanging="644"/>
        <w:spacing w:after="0" w:line="253" w:lineRule="auto"/>
        <w:tabs>
          <w:tab w:leader="none" w:pos="1300" w:val="left"/>
        </w:tabs>
        <w:numPr>
          <w:ilvl w:val="0"/>
          <w:numId w:val="282"/>
        </w:numPr>
        <w:rPr>
          <w:rFonts w:ascii="Arial" w:cs="Arial" w:eastAsia="Arial" w:hAnsi="Arial"/>
          <w:sz w:val="22"/>
          <w:szCs w:val="22"/>
          <w:color w:val="010000"/>
        </w:rPr>
      </w:pPr>
      <w:r>
        <w:rPr>
          <w:rFonts w:ascii="Arial" w:cs="Arial" w:eastAsia="Arial" w:hAnsi="Arial"/>
          <w:sz w:val="22"/>
          <w:szCs w:val="22"/>
          <w:color w:val="auto"/>
        </w:rPr>
        <w:t>Notwithstanding any other provision of this Plan to the contrary, in no event shall any payment under this Plan that constitutes “deferred compensation” for purposes of Code Section 409A be subject to offset unless otherwise permitted by Code Section 409A.</w:t>
      </w:r>
    </w:p>
    <w:p>
      <w:pPr>
        <w:spacing w:after="0" w:line="185" w:lineRule="exact"/>
        <w:rPr>
          <w:rFonts w:ascii="Arial" w:cs="Arial" w:eastAsia="Arial" w:hAnsi="Arial"/>
          <w:sz w:val="22"/>
          <w:szCs w:val="22"/>
          <w:color w:val="010000"/>
        </w:rPr>
      </w:pPr>
    </w:p>
    <w:p>
      <w:pPr>
        <w:jc w:val="both"/>
        <w:ind w:left="1300" w:hanging="644"/>
        <w:spacing w:after="0" w:line="250" w:lineRule="auto"/>
        <w:tabs>
          <w:tab w:leader="none" w:pos="1300" w:val="left"/>
        </w:tabs>
        <w:numPr>
          <w:ilvl w:val="0"/>
          <w:numId w:val="282"/>
        </w:numPr>
        <w:rPr>
          <w:rFonts w:ascii="Arial" w:cs="Arial" w:eastAsia="Arial" w:hAnsi="Arial"/>
          <w:sz w:val="22"/>
          <w:szCs w:val="22"/>
          <w:color w:val="010000"/>
        </w:rPr>
      </w:pPr>
      <w:r>
        <w:rPr>
          <w:rFonts w:ascii="Arial" w:cs="Arial" w:eastAsia="Arial" w:hAnsi="Arial"/>
          <w:sz w:val="22"/>
          <w:szCs w:val="22"/>
          <w:color w:val="auto"/>
        </w:rPr>
        <w:t>Notwithstanding any provisions in this Plan to the contrary, whenever a payment under this Plan may be made upon the Release Effective Date, and the period in which the Executive could adopt the release (along with its accompany revocation period) crosses calendar years, no payments shall be made until the succeeding calendar year.</w:t>
      </w:r>
    </w:p>
    <w:p>
      <w:pPr>
        <w:spacing w:after="0" w:line="182" w:lineRule="exact"/>
        <w:rPr>
          <w:sz w:val="20"/>
          <w:szCs w:val="20"/>
          <w:color w:val="auto"/>
        </w:rPr>
      </w:pPr>
    </w:p>
    <w:p>
      <w:pPr>
        <w:ind w:left="1080" w:hanging="424"/>
        <w:spacing w:after="0"/>
        <w:tabs>
          <w:tab w:leader="none" w:pos="108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color w:val="auto"/>
        </w:rPr>
        <w:t>Entire Plan</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Plan supersedes any prior agreements or understandings, oral or written, between the parties hereto, with respect to the subject matter hereof, and constitutes the entire agreement of the parties with respect 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174" w:lineRule="exact"/>
        <w:rPr>
          <w:sz w:val="20"/>
          <w:szCs w:val="20"/>
          <w:color w:val="auto"/>
        </w:rPr>
      </w:pPr>
    </w:p>
    <w:p>
      <w:pPr>
        <w:ind w:left="1080" w:hanging="424"/>
        <w:spacing w:after="0"/>
        <w:tabs>
          <w:tab w:leader="none" w:pos="1080" w:val="left"/>
        </w:tabs>
        <w:numPr>
          <w:ilvl w:val="0"/>
          <w:numId w:val="284"/>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26"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In the event that any provision or portion of this Plan shall be determined to be invalid or unenforceable for any reason, the remaining provisions of this Plan shall be unaffected thereby and shall remain in full force and effect.</w:t>
      </w:r>
    </w:p>
    <w:p>
      <w:pPr>
        <w:spacing w:after="0" w:line="145" w:lineRule="exact"/>
        <w:rPr>
          <w:sz w:val="20"/>
          <w:szCs w:val="20"/>
          <w:color w:val="auto"/>
        </w:rPr>
      </w:pPr>
    </w:p>
    <w:p>
      <w:pPr>
        <w:ind w:left="1080" w:hanging="424"/>
        <w:spacing w:after="0"/>
        <w:tabs>
          <w:tab w:leader="none" w:pos="1080" w:val="left"/>
        </w:tabs>
        <w:numPr>
          <w:ilvl w:val="0"/>
          <w:numId w:val="285"/>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may withhold from any benefits payable under this Plan all federal, state, city, or other taxes as may be required pursuant to any law or governmental regulation or ruling.</w:t>
      </w:r>
    </w:p>
    <w:p>
      <w:pPr>
        <w:spacing w:after="0" w:line="169" w:lineRule="exact"/>
        <w:rPr>
          <w:sz w:val="20"/>
          <w:szCs w:val="20"/>
          <w:color w:val="auto"/>
        </w:rPr>
      </w:pPr>
    </w:p>
    <w:p>
      <w:pPr>
        <w:ind w:left="1080" w:hanging="424"/>
        <w:spacing w:after="0"/>
        <w:tabs>
          <w:tab w:leader="none" w:pos="1080" w:val="left"/>
        </w:tabs>
        <w:numPr>
          <w:ilvl w:val="0"/>
          <w:numId w:val="286"/>
        </w:numPr>
        <w:rPr>
          <w:rFonts w:ascii="Arial" w:cs="Arial" w:eastAsia="Arial" w:hAnsi="Arial"/>
          <w:sz w:val="22"/>
          <w:szCs w:val="22"/>
          <w:b w:val="1"/>
          <w:bCs w:val="1"/>
          <w:color w:val="auto"/>
        </w:rPr>
      </w:pPr>
      <w:r>
        <w:rPr>
          <w:rFonts w:ascii="Arial" w:cs="Arial" w:eastAsia="Arial" w:hAnsi="Arial"/>
          <w:sz w:val="22"/>
          <w:szCs w:val="22"/>
          <w:b w:val="1"/>
          <w:bCs w:val="1"/>
          <w:color w:val="auto"/>
        </w:rPr>
        <w:t>Beneficiaries</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Executive may designate one (1) or more persons or entities as the primary and/or contingent beneficiaries of any amounts to be received under this Plan. Such designation must be in the form of a signed writing acceptable to the Board or the Board’s designee. The Executive may make or change such designation at any time.</w:t>
      </w:r>
    </w:p>
    <w:p>
      <w:pPr>
        <w:spacing w:after="0" w:line="161" w:lineRule="exact"/>
        <w:rPr>
          <w:sz w:val="20"/>
          <w:szCs w:val="20"/>
          <w:color w:val="auto"/>
        </w:rPr>
      </w:pPr>
    </w:p>
    <w:p>
      <w:pPr>
        <w:ind w:left="1080" w:hanging="424"/>
        <w:spacing w:after="0"/>
        <w:tabs>
          <w:tab w:leader="none" w:pos="1080" w:val="left"/>
        </w:tabs>
        <w:numPr>
          <w:ilvl w:val="0"/>
          <w:numId w:val="287"/>
        </w:numPr>
        <w:rPr>
          <w:rFonts w:ascii="Arial" w:cs="Arial" w:eastAsia="Arial" w:hAnsi="Arial"/>
          <w:sz w:val="22"/>
          <w:szCs w:val="22"/>
          <w:b w:val="1"/>
          <w:bCs w:val="1"/>
          <w:color w:val="auto"/>
        </w:rPr>
      </w:pPr>
      <w:r>
        <w:rPr>
          <w:rFonts w:ascii="Arial" w:cs="Arial" w:eastAsia="Arial" w:hAnsi="Arial"/>
          <w:sz w:val="22"/>
          <w:szCs w:val="22"/>
          <w:b w:val="1"/>
          <w:bCs w:val="1"/>
          <w:color w:val="auto"/>
        </w:rPr>
        <w:t>Payment Obligation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18</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53" w:name="page254"/>
    <w:bookmarkEnd w:id="253"/>
    <w:p>
      <w:pPr>
        <w:jc w:val="both"/>
        <w:ind w:firstLine="648"/>
        <w:spacing w:after="0" w:line="253" w:lineRule="auto"/>
        <w:rPr>
          <w:sz w:val="20"/>
          <w:szCs w:val="20"/>
          <w:color w:val="auto"/>
        </w:rPr>
      </w:pPr>
      <w:r>
        <w:rPr>
          <w:rFonts w:ascii="Arial" w:cs="Arial" w:eastAsia="Arial" w:hAnsi="Arial"/>
          <w:sz w:val="22"/>
          <w:szCs w:val="22"/>
          <w:color w:val="auto"/>
        </w:rPr>
        <w:t>The Company’s obligation to make the payments provided for herein shall be absolute and unconditional, and shall not be affected by any circumstances, including, without limitation, any offset, counterclaim, recoupment, defense, or other right which the Company may have against the Executive or anyone else.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Executive shall not be obligated to seek other employment in mitigation of the amounts payable or arrangements made under any provision of this Plan, and except as provided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of this Plan, the obtaining of any such other employment shall in no event effect any reduction of the Company’s obligations to make the payments and arrangements required to be made under this Plan.</w:t>
      </w:r>
    </w:p>
    <w:p>
      <w:pPr>
        <w:spacing w:after="0" w:line="182" w:lineRule="exact"/>
        <w:rPr>
          <w:sz w:val="20"/>
          <w:szCs w:val="20"/>
          <w:color w:val="auto"/>
        </w:rPr>
      </w:pPr>
    </w:p>
    <w:p>
      <w:pPr>
        <w:ind w:left="1080" w:hanging="424"/>
        <w:spacing w:after="0"/>
        <w:tabs>
          <w:tab w:leader="none" w:pos="1080" w:val="left"/>
        </w:tabs>
        <w:numPr>
          <w:ilvl w:val="0"/>
          <w:numId w:val="288"/>
        </w:numPr>
        <w:rPr>
          <w:rFonts w:ascii="Arial" w:cs="Arial" w:eastAsia="Arial" w:hAnsi="Arial"/>
          <w:sz w:val="22"/>
          <w:szCs w:val="22"/>
          <w:b w:val="1"/>
          <w:bCs w:val="1"/>
          <w:color w:val="auto"/>
        </w:rPr>
      </w:pPr>
      <w:r>
        <w:rPr>
          <w:rFonts w:ascii="Arial" w:cs="Arial" w:eastAsia="Arial" w:hAnsi="Arial"/>
          <w:sz w:val="22"/>
          <w:szCs w:val="22"/>
          <w:b w:val="1"/>
          <w:bCs w:val="1"/>
          <w:color w:val="auto"/>
        </w:rPr>
        <w:t>Contractual Rights to Benefits</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Subject to approval and ratification by the Board, this Plan establishes and vests in the Executive a contractual right to the benefits to which he or she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69" w:lineRule="exact"/>
        <w:rPr>
          <w:sz w:val="20"/>
          <w:szCs w:val="20"/>
          <w:color w:val="auto"/>
        </w:rPr>
      </w:pPr>
    </w:p>
    <w:p>
      <w:pPr>
        <w:ind w:left="1080" w:hanging="424"/>
        <w:spacing w:after="0"/>
        <w:tabs>
          <w:tab w:leader="none" w:pos="1080" w:val="left"/>
        </w:tabs>
        <w:numPr>
          <w:ilvl w:val="0"/>
          <w:numId w:val="289"/>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 provision of this Plan may be modified, waived, or discharged with respect to any particular Executive unless such modification, waiver, or discharge is agreed to in writing and signed by such Executive 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169" w:lineRule="exact"/>
        <w:rPr>
          <w:sz w:val="20"/>
          <w:szCs w:val="20"/>
          <w:color w:val="auto"/>
        </w:rPr>
      </w:pPr>
    </w:p>
    <w:p>
      <w:pPr>
        <w:ind w:left="1080" w:hanging="424"/>
        <w:spacing w:after="0"/>
        <w:tabs>
          <w:tab w:leader="none" w:pos="1080" w:val="left"/>
        </w:tabs>
        <w:numPr>
          <w:ilvl w:val="0"/>
          <w:numId w:val="290"/>
        </w:numPr>
        <w:rPr>
          <w:rFonts w:ascii="Arial" w:cs="Arial" w:eastAsia="Arial" w:hAnsi="Arial"/>
          <w:sz w:val="22"/>
          <w:szCs w:val="22"/>
          <w:b w:val="1"/>
          <w:bCs w:val="1"/>
          <w:color w:val="auto"/>
        </w:rPr>
      </w:pPr>
      <w:r>
        <w:rPr>
          <w:rFonts w:ascii="Arial" w:cs="Arial" w:eastAsia="Arial" w:hAnsi="Arial"/>
          <w:sz w:val="22"/>
          <w:szCs w:val="22"/>
          <w:b w:val="1"/>
          <w:bCs w:val="1"/>
          <w:color w:val="auto"/>
        </w:rPr>
        <w:t>Gender and Number</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Except where otherwise indicated by the context, any masculine term used herein also shall include the feminine; the plural shall include the singular and the singular shall include the plural.</w:t>
      </w:r>
    </w:p>
    <w:p>
      <w:pPr>
        <w:spacing w:after="0" w:line="169" w:lineRule="exact"/>
        <w:rPr>
          <w:sz w:val="20"/>
          <w:szCs w:val="20"/>
          <w:color w:val="auto"/>
        </w:rPr>
      </w:pPr>
    </w:p>
    <w:p>
      <w:pPr>
        <w:ind w:left="1080" w:hanging="424"/>
        <w:spacing w:after="0"/>
        <w:tabs>
          <w:tab w:leader="none" w:pos="1080" w:val="left"/>
        </w:tabs>
        <w:numPr>
          <w:ilvl w:val="0"/>
          <w:numId w:val="291"/>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Law</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To the extent not preempted by the laws of the United States, the laws of the state of New Jersey shall be the controlling law in all matters relating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19</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263056338v.1</w:t>
      </w:r>
    </w:p>
    <w:p>
      <w:pPr>
        <w:sectPr>
          <w:pgSz w:w="11900" w:h="16838" w:orient="portrait"/>
          <w:cols w:equalWidth="0" w:num="1">
            <w:col w:w="11240"/>
          </w:cols>
          <w:pgMar w:left="320" w:top="1428" w:right="339" w:bottom="1440" w:gutter="0" w:footer="0" w:header="0"/>
        </w:sectPr>
      </w:pPr>
    </w:p>
    <w:bookmarkStart w:id="254" w:name="page255"/>
    <w:bookmarkEnd w:id="254"/>
    <w:p>
      <w:pPr>
        <w:ind w:left="10020"/>
        <w:spacing w:after="0"/>
        <w:rPr>
          <w:sz w:val="20"/>
          <w:szCs w:val="20"/>
          <w:color w:val="auto"/>
        </w:rPr>
      </w:pPr>
      <w:r>
        <w:rPr>
          <w:rFonts w:ascii="Arial" w:cs="Arial" w:eastAsia="Arial" w:hAnsi="Arial"/>
          <w:sz w:val="19"/>
          <w:szCs w:val="19"/>
          <w:b w:val="1"/>
          <w:bCs w:val="1"/>
          <w:color w:val="auto"/>
        </w:rPr>
        <w:t>Exhibit 10.27</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have been redacted pursuant to Item 601(b)(10) of Regulation S-K and, where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have been marked with “[***]” to indicate where redactions have been made. The marked information has been redacted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LIMITED LIABILITY COMPANY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PINNACLE REPOWERING PARTNERSHIP LLC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Limited Liability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February 26, 2021</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THE SECURITIES (MEMBERSHIP INTERESTS) REPRESENTED BY THIS AGREEMENT HAVE NOT BEEN REGISTERED UNDER THE SECURITIES ACT OF 1933 OR REGISTERED OR QUALIFIED UNDER ANY SECURITIES OR BLUE SKY LAWS OF ANY STATE OR JURISDICTION. THEREFORE, THE SECURITIES MAY NOT BE SOLD, PLEDGED, HYPOTHECATED OR OTHERWISE TRANSFERRED UNTIL A REGISTRATION STATEMENT UNDER THE SECURITIES ACT OR THE APPLICABLE STATE SECURITIES OR BLUE SKY LAWS SHALL HAVE BECOME EFFECTIVE WITH REGARD TO THE PROPOSED TRANSFER, OR UNLESS REGISTRATION OR QUALIFICATION UNDER THE SECURITIES ACT OR BLUE SKY LAWS IS NOT REQUIRED IN CONNECTION WITH THE PROPOSED TRANSFER.</w:t>
      </w:r>
    </w:p>
    <w:p>
      <w:pPr>
        <w:sectPr>
          <w:pgSz w:w="11900" w:h="16838" w:orient="portrait"/>
          <w:cols w:equalWidth="0" w:num="1">
            <w:col w:w="11240"/>
          </w:cols>
          <w:pgMar w:left="320" w:top="126" w:right="339" w:bottom="1440" w:gutter="0" w:footer="0" w:header="0"/>
        </w:sectPr>
      </w:pPr>
    </w:p>
    <w:bookmarkStart w:id="255" w:name="page256"/>
    <w:bookmarkEnd w:id="255"/>
    <w:p>
      <w:pPr>
        <w:jc w:val="center"/>
        <w:ind w:right="-599"/>
        <w:spacing w:after="0"/>
        <w:rPr>
          <w:sz w:val="20"/>
          <w:szCs w:val="20"/>
          <w:color w:val="auto"/>
        </w:rPr>
      </w:pPr>
      <w:r>
        <w:rPr>
          <w:rFonts w:ascii="Arial" w:cs="Arial" w:eastAsia="Arial" w:hAnsi="Arial"/>
          <w:sz w:val="22"/>
          <w:szCs w:val="22"/>
          <w:b w:val="1"/>
          <w:bCs w:val="1"/>
          <w:color w:val="auto"/>
        </w:rPr>
        <w:t>SECOND AMENDED &amp; RESTATED LIMITED LIABILITY COMPANY AGREEMENT</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PINNACLE REPOWERING PARTNERSHIP LLC</w:t>
      </w:r>
    </w:p>
    <w:p>
      <w:pPr>
        <w:spacing w:after="0" w:line="155"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160" w:type="dxa"/>
            <w:vAlign w:val="bottom"/>
            <w:gridSpan w:val="8"/>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1 DEFINITIONS</w:t>
              </w:r>
            </w:hyperlink>
          </w:p>
        </w:tc>
        <w:tc>
          <w:tcPr>
            <w:tcW w:w="1440" w:type="dxa"/>
            <w:vAlign w:val="bottom"/>
          </w:tcPr>
          <w:p>
            <w:pPr>
              <w:ind w:left="1220"/>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w:t>
              </w:r>
            </w:hyperlink>
          </w:p>
        </w:tc>
      </w:tr>
      <w:tr>
        <w:trPr>
          <w:trHeight w:val="46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1.1</w:t>
              </w:r>
            </w:hyperlink>
          </w:p>
        </w:tc>
        <w:tc>
          <w:tcPr>
            <w:tcW w:w="1720" w:type="dxa"/>
            <w:vAlign w:val="bottom"/>
            <w:tcBorders>
              <w:bottom w:val="single" w:sz="8" w:color="0563C1"/>
            </w:tcBorders>
            <w:gridSpan w:val="5"/>
          </w:tcPr>
          <w:p>
            <w:pPr>
              <w:spacing w:after="0"/>
              <w:rPr>
                <w:rFonts w:ascii="Arial" w:cs="Arial" w:eastAsia="Arial" w:hAnsi="Arial"/>
                <w:sz w:val="22"/>
                <w:szCs w:val="22"/>
                <w:color w:val="0563C1"/>
                <w:w w:val="91"/>
              </w:rPr>
            </w:pPr>
            <w:hyperlink w:anchor="page261">
              <w:r>
                <w:rPr>
                  <w:rFonts w:ascii="Arial" w:cs="Arial" w:eastAsia="Arial" w:hAnsi="Arial"/>
                  <w:sz w:val="22"/>
                  <w:szCs w:val="22"/>
                  <w:color w:val="0563C1"/>
                  <w:w w:val="91"/>
                </w:rPr>
                <w:t>Certain Definitions.</w:t>
              </w:r>
            </w:hyperlink>
          </w:p>
        </w:tc>
        <w:tc>
          <w:tcPr>
            <w:tcW w:w="6240" w:type="dxa"/>
            <w:vAlign w:val="bottom"/>
            <w:gridSpan w:val="2"/>
          </w:tcPr>
          <w:p>
            <w:pPr>
              <w:spacing w:after="0"/>
              <w:rPr>
                <w:sz w:val="24"/>
                <w:szCs w:val="24"/>
                <w:color w:val="auto"/>
              </w:rPr>
            </w:pPr>
          </w:p>
        </w:tc>
        <w:tc>
          <w:tcPr>
            <w:tcW w:w="1440" w:type="dxa"/>
            <w:vAlign w:val="bottom"/>
          </w:tcPr>
          <w:p>
            <w:pPr>
              <w:ind w:left="1220"/>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w:t>
              </w:r>
            </w:hyperlink>
          </w:p>
        </w:tc>
      </w:tr>
      <w:tr>
        <w:trPr>
          <w:trHeight w:val="493"/>
        </w:trPr>
        <w:tc>
          <w:tcPr>
            <w:tcW w:w="916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1.2  Other Definitional Provisions.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17</w:t>
              </w:r>
            </w:hyperlink>
          </w:p>
        </w:tc>
      </w:tr>
      <w:tr>
        <w:trPr>
          <w:trHeight w:val="544"/>
        </w:trPr>
        <w:tc>
          <w:tcPr>
            <w:tcW w:w="3800" w:type="dxa"/>
            <w:vAlign w:val="bottom"/>
            <w:tcBorders>
              <w:top w:val="single" w:sz="8" w:color="0563C1"/>
            </w:tcBorders>
            <w:gridSpan w:val="7"/>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2 THE COMPANY</w:t>
              </w:r>
            </w:hyperlink>
          </w:p>
        </w:tc>
        <w:tc>
          <w:tcPr>
            <w:tcW w:w="5360" w:type="dxa"/>
            <w:vAlign w:val="bottom"/>
          </w:tcPr>
          <w:p>
            <w:pPr>
              <w:spacing w:after="0"/>
              <w:rPr>
                <w:sz w:val="24"/>
                <w:szCs w:val="24"/>
                <w:color w:val="auto"/>
              </w:rPr>
            </w:pPr>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18</w:t>
              </w:r>
            </w:hyperlink>
          </w:p>
        </w:tc>
      </w:tr>
      <w:tr>
        <w:trPr>
          <w:trHeight w:val="462"/>
        </w:trPr>
        <w:tc>
          <w:tcPr>
            <w:tcW w:w="916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2.1  </w:t>
              </w:r>
              <w:r>
                <w:rPr>
                  <w:rFonts w:ascii="Arial" w:cs="Arial" w:eastAsia="Arial" w:hAnsi="Arial"/>
                  <w:sz w:val="22"/>
                  <w:szCs w:val="22"/>
                  <w:u w:val="single" w:color="auto"/>
                  <w:color w:val="0563C1"/>
                </w:rPr>
                <w:t>Organization of Limited Liability Company.</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18</w:t>
              </w:r>
            </w:hyperlink>
          </w:p>
        </w:tc>
      </w:tr>
      <w:tr>
        <w:trPr>
          <w:trHeight w:val="493"/>
        </w:trPr>
        <w:tc>
          <w:tcPr>
            <w:tcW w:w="1200" w:type="dxa"/>
            <w:vAlign w:val="bottom"/>
            <w:tcBorders>
              <w:top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2.2</w:t>
              </w:r>
            </w:hyperlink>
          </w:p>
        </w:tc>
        <w:tc>
          <w:tcPr>
            <w:tcW w:w="7960" w:type="dxa"/>
            <w:vAlign w:val="bottom"/>
            <w:gridSpan w:val="7"/>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Name.</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18</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540" w:type="dxa"/>
            <w:vAlign w:val="bottom"/>
            <w:tcBorders>
              <w:left w:val="single" w:sz="8" w:color="0563C1"/>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2.3</w:t>
              </w:r>
            </w:hyperlink>
          </w:p>
        </w:tc>
        <w:tc>
          <w:tcPr>
            <w:tcW w:w="7960" w:type="dxa"/>
            <w:vAlign w:val="bottom"/>
            <w:gridSpan w:val="7"/>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Principal Office.</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19</w:t>
              </w:r>
            </w:hyperlink>
          </w:p>
        </w:tc>
      </w:tr>
      <w:tr>
        <w:trPr>
          <w:trHeight w:val="493"/>
        </w:trPr>
        <w:tc>
          <w:tcPr>
            <w:tcW w:w="916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2.4  </w:t>
              </w:r>
              <w:r>
                <w:rPr>
                  <w:rFonts w:ascii="Arial" w:cs="Arial" w:eastAsia="Arial" w:hAnsi="Arial"/>
                  <w:sz w:val="22"/>
                  <w:szCs w:val="22"/>
                  <w:u w:val="single" w:color="auto"/>
                  <w:color w:val="0563C1"/>
                </w:rPr>
                <w:t>Registered Office; Registered Agent.</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19</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2.5</w:t>
              </w:r>
            </w:hyperlink>
          </w:p>
        </w:tc>
        <w:tc>
          <w:tcPr>
            <w:tcW w:w="7960" w:type="dxa"/>
            <w:vAlign w:val="bottom"/>
            <w:gridSpan w:val="7"/>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Purposes.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19</w:t>
              </w:r>
            </w:hyperlink>
          </w:p>
        </w:tc>
      </w:tr>
      <w:tr>
        <w:trPr>
          <w:trHeight w:val="493"/>
        </w:trPr>
        <w:tc>
          <w:tcPr>
            <w:tcW w:w="1200" w:type="dxa"/>
            <w:vAlign w:val="bottom"/>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2.6</w:t>
              </w:r>
            </w:hyperlink>
          </w:p>
        </w:tc>
        <w:tc>
          <w:tcPr>
            <w:tcW w:w="7960" w:type="dxa"/>
            <w:vAlign w:val="bottom"/>
            <w:gridSpan w:val="7"/>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Term.</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19</w:t>
              </w:r>
            </w:hyperlink>
          </w:p>
        </w:tc>
      </w:tr>
      <w:tr>
        <w:trPr>
          <w:trHeight w:val="20"/>
        </w:trPr>
        <w:tc>
          <w:tcPr>
            <w:tcW w:w="1700" w:type="dxa"/>
            <w:vAlign w:val="bottom"/>
            <w:gridSpan w:val="2"/>
            <w:shd w:val="clear" w:color="auto" w:fill="0563C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916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2.7  </w:t>
              </w:r>
              <w:r>
                <w:rPr>
                  <w:rFonts w:ascii="Arial" w:cs="Arial" w:eastAsia="Arial" w:hAnsi="Arial"/>
                  <w:sz w:val="22"/>
                  <w:szCs w:val="22"/>
                  <w:u w:val="single" w:color="auto"/>
                  <w:color w:val="0563C1"/>
                </w:rPr>
                <w:t>Title to Property.</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19</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916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2.8  </w:t>
              </w:r>
              <w:r>
                <w:rPr>
                  <w:rFonts w:ascii="Arial" w:cs="Arial" w:eastAsia="Arial" w:hAnsi="Arial"/>
                  <w:sz w:val="22"/>
                  <w:szCs w:val="22"/>
                  <w:u w:val="single" w:color="auto"/>
                  <w:color w:val="0563C1"/>
                </w:rPr>
                <w:t>Units; Certificates of Membership Interest; Applicability of Article 8 of UCC</w:t>
              </w:r>
              <w:r>
                <w:rPr>
                  <w:rFonts w:ascii="Arial" w:cs="Arial" w:eastAsia="Arial" w:hAnsi="Arial"/>
                  <w:sz w:val="22"/>
                  <w:szCs w:val="22"/>
                  <w:color w:val="0563C1"/>
                </w:rPr>
                <w:t>.</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19</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2.9</w:t>
              </w:r>
            </w:hyperlink>
          </w:p>
        </w:tc>
        <w:tc>
          <w:tcPr>
            <w:tcW w:w="7960" w:type="dxa"/>
            <w:vAlign w:val="bottom"/>
            <w:gridSpan w:val="7"/>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No Partnership.</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20</w:t>
              </w:r>
            </w:hyperlink>
          </w:p>
        </w:tc>
      </w:tr>
      <w:tr>
        <w:trPr>
          <w:trHeight w:val="543"/>
        </w:trPr>
        <w:tc>
          <w:tcPr>
            <w:tcW w:w="9160" w:type="dxa"/>
            <w:vAlign w:val="bottom"/>
            <w:gridSpan w:val="8"/>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3 CAPITAL CONTRIBUTIONS; CREDIT SUPPORT</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20</w:t>
              </w:r>
            </w:hyperlink>
          </w:p>
        </w:tc>
      </w:tr>
      <w:tr>
        <w:trPr>
          <w:trHeight w:val="463"/>
        </w:trPr>
        <w:tc>
          <w:tcPr>
            <w:tcW w:w="2640" w:type="dxa"/>
            <w:vAlign w:val="bottom"/>
            <w:tcBorders>
              <w:bottom w:val="single" w:sz="8" w:color="0563C1"/>
            </w:tcBorders>
            <w:gridSpan w:val="5"/>
          </w:tcPr>
          <w:p>
            <w:pPr>
              <w:spacing w:after="0"/>
              <w:rPr>
                <w:rFonts w:ascii="Arial" w:cs="Arial" w:eastAsia="Arial" w:hAnsi="Arial"/>
                <w:sz w:val="22"/>
                <w:szCs w:val="22"/>
                <w:color w:val="0563C1"/>
                <w:w w:val="92"/>
              </w:rPr>
            </w:pPr>
            <w:hyperlink w:anchor="page261">
              <w:r>
                <w:rPr>
                  <w:rFonts w:ascii="Arial" w:cs="Arial" w:eastAsia="Arial" w:hAnsi="Arial"/>
                  <w:sz w:val="22"/>
                  <w:szCs w:val="22"/>
                  <w:color w:val="0563C1"/>
                  <w:w w:val="92"/>
                </w:rPr>
                <w:t>Section 3.1  Class A Interest.</w:t>
              </w:r>
            </w:hyperlink>
          </w:p>
        </w:tc>
        <w:tc>
          <w:tcPr>
            <w:tcW w:w="6520" w:type="dxa"/>
            <w:vAlign w:val="bottom"/>
            <w:gridSpan w:val="3"/>
          </w:tcPr>
          <w:p>
            <w:pPr>
              <w:spacing w:after="0"/>
              <w:rPr>
                <w:sz w:val="24"/>
                <w:szCs w:val="24"/>
                <w:color w:val="auto"/>
              </w:rPr>
            </w:pPr>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20</w:t>
              </w:r>
            </w:hyperlink>
          </w:p>
        </w:tc>
      </w:tr>
      <w:tr>
        <w:trPr>
          <w:trHeight w:val="493"/>
        </w:trPr>
        <w:tc>
          <w:tcPr>
            <w:tcW w:w="2560" w:type="dxa"/>
            <w:vAlign w:val="bottom"/>
            <w:tcBorders>
              <w:bottom w:val="single" w:sz="8" w:color="0563C1"/>
            </w:tcBorders>
            <w:gridSpan w:val="4"/>
          </w:tcPr>
          <w:p>
            <w:pPr>
              <w:spacing w:after="0"/>
              <w:rPr>
                <w:rFonts w:ascii="Arial" w:cs="Arial" w:eastAsia="Arial" w:hAnsi="Arial"/>
                <w:sz w:val="22"/>
                <w:szCs w:val="22"/>
                <w:color w:val="0563C1"/>
                <w:w w:val="88"/>
              </w:rPr>
            </w:pPr>
            <w:hyperlink w:anchor="page261">
              <w:r>
                <w:rPr>
                  <w:rFonts w:ascii="Arial" w:cs="Arial" w:eastAsia="Arial" w:hAnsi="Arial"/>
                  <w:sz w:val="22"/>
                  <w:szCs w:val="22"/>
                  <w:color w:val="0563C1"/>
                  <w:w w:val="88"/>
                </w:rPr>
                <w:t>Section 3.2  Class B Interest.</w:t>
              </w:r>
            </w:hyperlink>
          </w:p>
        </w:tc>
        <w:tc>
          <w:tcPr>
            <w:tcW w:w="6600" w:type="dxa"/>
            <w:vAlign w:val="bottom"/>
            <w:gridSpan w:val="4"/>
          </w:tcPr>
          <w:p>
            <w:pPr>
              <w:spacing w:after="0"/>
              <w:rPr>
                <w:sz w:val="24"/>
                <w:szCs w:val="24"/>
                <w:color w:val="auto"/>
              </w:rPr>
            </w:pPr>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20</w:t>
              </w:r>
            </w:hyperlink>
          </w:p>
        </w:tc>
      </w:tr>
      <w:tr>
        <w:trPr>
          <w:trHeight w:val="493"/>
        </w:trPr>
        <w:tc>
          <w:tcPr>
            <w:tcW w:w="916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3.3  </w:t>
              </w:r>
              <w:r>
                <w:rPr>
                  <w:rFonts w:ascii="Arial" w:cs="Arial" w:eastAsia="Arial" w:hAnsi="Arial"/>
                  <w:sz w:val="22"/>
                  <w:szCs w:val="22"/>
                  <w:u w:val="single" w:color="auto"/>
                  <w:color w:val="0563C1"/>
                </w:rPr>
                <w:t>Other Required Capital Contributions; Credit Support.</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20</w:t>
              </w:r>
            </w:hyperlink>
          </w:p>
        </w:tc>
      </w:tr>
      <w:tr>
        <w:trPr>
          <w:trHeight w:val="493"/>
        </w:trPr>
        <w:tc>
          <w:tcPr>
            <w:tcW w:w="1200" w:type="dxa"/>
            <w:vAlign w:val="bottom"/>
            <w:tcBorders>
              <w:top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3.4</w:t>
              </w:r>
            </w:hyperlink>
          </w:p>
        </w:tc>
        <w:tc>
          <w:tcPr>
            <w:tcW w:w="7960" w:type="dxa"/>
            <w:vAlign w:val="bottom"/>
            <w:gridSpan w:val="7"/>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Member Loans.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22</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4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3.5</w:t>
              </w:r>
            </w:hyperlink>
          </w:p>
        </w:tc>
        <w:tc>
          <w:tcPr>
            <w:tcW w:w="7960" w:type="dxa"/>
            <w:vAlign w:val="bottom"/>
            <w:gridSpan w:val="7"/>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Support Obligations.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22</w:t>
              </w:r>
            </w:hyperlink>
          </w:p>
        </w:tc>
      </w:tr>
      <w:tr>
        <w:trPr>
          <w:trHeight w:val="493"/>
        </w:trPr>
        <w:tc>
          <w:tcPr>
            <w:tcW w:w="916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3.6  </w:t>
              </w:r>
              <w:r>
                <w:rPr>
                  <w:rFonts w:ascii="Arial" w:cs="Arial" w:eastAsia="Arial" w:hAnsi="Arial"/>
                  <w:sz w:val="22"/>
                  <w:szCs w:val="22"/>
                  <w:u w:val="single" w:color="auto"/>
                  <w:color w:val="0563C1"/>
                </w:rPr>
                <w:t>Obligations Under Tax Equity Documents.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23</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916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3.7  </w:t>
              </w:r>
              <w:r>
                <w:rPr>
                  <w:rFonts w:ascii="Arial" w:cs="Arial" w:eastAsia="Arial" w:hAnsi="Arial"/>
                  <w:sz w:val="22"/>
                  <w:szCs w:val="22"/>
                  <w:u w:val="single" w:color="auto"/>
                  <w:color w:val="0563C1"/>
                </w:rPr>
                <w:t>No Right to Return of Capital Contributions.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23</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3.8</w:t>
              </w:r>
            </w:hyperlink>
          </w:p>
        </w:tc>
        <w:tc>
          <w:tcPr>
            <w:tcW w:w="500" w:type="dxa"/>
            <w:vAlign w:val="bottom"/>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w:t>
              </w:r>
            </w:hyperlink>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23</w:t>
              </w:r>
            </w:hyperlink>
          </w:p>
        </w:tc>
      </w:tr>
      <w:tr>
        <w:trPr>
          <w:trHeight w:val="543"/>
        </w:trPr>
        <w:tc>
          <w:tcPr>
            <w:tcW w:w="9160" w:type="dxa"/>
            <w:vAlign w:val="bottom"/>
            <w:gridSpan w:val="8"/>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4 CAPITAL ACCOUNTS; ALLOCATIONS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23</w:t>
              </w:r>
            </w:hyperlink>
          </w:p>
        </w:tc>
      </w:tr>
      <w:tr>
        <w:trPr>
          <w:trHeight w:val="46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4.1</w:t>
              </w:r>
            </w:hyperlink>
          </w:p>
        </w:tc>
        <w:tc>
          <w:tcPr>
            <w:tcW w:w="7960" w:type="dxa"/>
            <w:vAlign w:val="bottom"/>
            <w:gridSpan w:val="7"/>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Capital Accounts.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23</w:t>
              </w:r>
            </w:hyperlink>
          </w:p>
        </w:tc>
      </w:tr>
      <w:tr>
        <w:trPr>
          <w:trHeight w:val="493"/>
        </w:trPr>
        <w:tc>
          <w:tcPr>
            <w:tcW w:w="1200" w:type="dxa"/>
            <w:vAlign w:val="bottom"/>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4.2</w:t>
              </w:r>
            </w:hyperlink>
          </w:p>
        </w:tc>
        <w:tc>
          <w:tcPr>
            <w:tcW w:w="7960" w:type="dxa"/>
            <w:vAlign w:val="bottom"/>
            <w:gridSpan w:val="7"/>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Allocations.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24</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40" w:type="dxa"/>
            <w:vAlign w:val="bottom"/>
            <w:gridSpan w:val="2"/>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4.3</w:t>
              </w:r>
            </w:hyperlink>
          </w:p>
        </w:tc>
        <w:tc>
          <w:tcPr>
            <w:tcW w:w="7960" w:type="dxa"/>
            <w:vAlign w:val="bottom"/>
            <w:gridSpan w:val="7"/>
          </w:tcPr>
          <w:p>
            <w:pPr>
              <w:spacing w:after="0"/>
              <w:rPr>
                <w:rFonts w:ascii="Arial" w:cs="Arial" w:eastAsia="Arial" w:hAnsi="Arial"/>
                <w:sz w:val="22"/>
                <w:szCs w:val="22"/>
                <w:color w:val="0563C1"/>
              </w:rPr>
            </w:pPr>
            <w:hyperlink w:anchor="page261">
              <w:r>
                <w:rPr>
                  <w:rFonts w:ascii="Arial" w:cs="Arial" w:eastAsia="Arial" w:hAnsi="Arial"/>
                  <w:sz w:val="22"/>
                  <w:szCs w:val="22"/>
                  <w:u w:val="single" w:color="auto"/>
                  <w:color w:val="0563C1"/>
                </w:rPr>
                <w:t>Adjustments</w:t>
              </w:r>
              <w:r>
                <w:rPr>
                  <w:rFonts w:ascii="Arial" w:cs="Arial" w:eastAsia="Arial" w:hAnsi="Arial"/>
                  <w:sz w:val="22"/>
                  <w:szCs w:val="22"/>
                  <w:color w:val="0563C1"/>
                </w:rPr>
                <w:t>.</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24</w:t>
              </w:r>
            </w:hyperlink>
          </w:p>
        </w:tc>
      </w:tr>
      <w:tr>
        <w:trPr>
          <w:trHeight w:val="493"/>
        </w:trPr>
        <w:tc>
          <w:tcPr>
            <w:tcW w:w="1200" w:type="dxa"/>
            <w:vAlign w:val="bottom"/>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4.4</w:t>
              </w:r>
            </w:hyperlink>
          </w:p>
        </w:tc>
        <w:tc>
          <w:tcPr>
            <w:tcW w:w="7960" w:type="dxa"/>
            <w:vAlign w:val="bottom"/>
            <w:gridSpan w:val="7"/>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Tax Allocations.</w:t>
              </w:r>
            </w:hyperlink>
          </w:p>
        </w:tc>
        <w:tc>
          <w:tcPr>
            <w:tcW w:w="1440" w:type="dxa"/>
            <w:vAlign w:val="bottom"/>
          </w:tcPr>
          <w:p>
            <w:pPr>
              <w:ind w:left="1220"/>
              <w:spacing w:after="0"/>
              <w:rPr>
                <w:rFonts w:ascii="Arial" w:cs="Arial" w:eastAsia="Arial" w:hAnsi="Arial"/>
                <w:sz w:val="22"/>
                <w:szCs w:val="22"/>
                <w:u w:val="single" w:color="auto"/>
                <w:color w:val="auto"/>
                <w:w w:val="81"/>
              </w:rPr>
            </w:pPr>
            <w:hyperlink w:anchor="page261">
              <w:r>
                <w:rPr>
                  <w:rFonts w:ascii="Arial" w:cs="Arial" w:eastAsia="Arial" w:hAnsi="Arial"/>
                  <w:sz w:val="22"/>
                  <w:szCs w:val="22"/>
                  <w:u w:val="single" w:color="auto"/>
                  <w:color w:val="auto"/>
                  <w:w w:val="81"/>
                </w:rPr>
                <w:t>26</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54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ectPr>
          <w:pgSz w:w="11900" w:h="16838" w:orient="portrait"/>
          <w:cols w:equalWidth="0" w:num="1">
            <w:col w:w="10600"/>
          </w:cols>
          <w:pgMar w:left="340" w:top="1422" w:right="959" w:bottom="0" w:gutter="0" w:footer="0" w:header="0"/>
        </w:sectPr>
      </w:pPr>
    </w:p>
    <w:bookmarkStart w:id="256" w:name="page257"/>
    <w:bookmarkEnd w:id="2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60" w:type="dxa"/>
            <w:vAlign w:val="bottom"/>
            <w:tcBorders>
              <w:bottom w:val="single" w:sz="8" w:color="0563C1"/>
            </w:tcBorders>
            <w:gridSpan w:val="3"/>
          </w:tcPr>
          <w:p>
            <w:pPr>
              <w:spacing w:after="0"/>
              <w:rPr>
                <w:rFonts w:ascii="Arial" w:cs="Arial" w:eastAsia="Arial" w:hAnsi="Arial"/>
                <w:sz w:val="22"/>
                <w:szCs w:val="22"/>
                <w:color w:val="0563C1"/>
                <w:w w:val="93"/>
              </w:rPr>
            </w:pPr>
            <w:hyperlink w:anchor="page261">
              <w:r>
                <w:rPr>
                  <w:rFonts w:ascii="Arial" w:cs="Arial" w:eastAsia="Arial" w:hAnsi="Arial"/>
                  <w:sz w:val="22"/>
                  <w:szCs w:val="22"/>
                  <w:color w:val="0563C1"/>
                  <w:w w:val="93"/>
                </w:rPr>
                <w:t>Section 4.5  Other Allocation Rules.</w:t>
              </w:r>
            </w:hyperlink>
          </w:p>
        </w:tc>
        <w:tc>
          <w:tcPr>
            <w:tcW w:w="4160" w:type="dxa"/>
            <w:vAlign w:val="bottom"/>
            <w:gridSpan w:val="2"/>
          </w:tcPr>
          <w:p>
            <w:pPr>
              <w:spacing w:after="0"/>
              <w:rPr>
                <w:sz w:val="21"/>
                <w:szCs w:val="21"/>
                <w:color w:val="auto"/>
              </w:rPr>
            </w:pPr>
          </w:p>
        </w:tc>
        <w:tc>
          <w:tcPr>
            <w:tcW w:w="318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27</w:t>
              </w:r>
            </w:hyperlink>
          </w:p>
        </w:tc>
      </w:tr>
      <w:tr>
        <w:trPr>
          <w:trHeight w:val="543"/>
        </w:trPr>
        <w:tc>
          <w:tcPr>
            <w:tcW w:w="7420" w:type="dxa"/>
            <w:vAlign w:val="bottom"/>
            <w:gridSpan w:val="5"/>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5 DISTRIBUTIONS</w:t>
              </w:r>
            </w:hyperlink>
          </w:p>
        </w:tc>
        <w:tc>
          <w:tcPr>
            <w:tcW w:w="318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27</w:t>
              </w:r>
            </w:hyperlink>
          </w:p>
        </w:tc>
      </w:tr>
      <w:tr>
        <w:trPr>
          <w:trHeight w:val="463"/>
        </w:trPr>
        <w:tc>
          <w:tcPr>
            <w:tcW w:w="7420" w:type="dxa"/>
            <w:vAlign w:val="bottom"/>
            <w:gridSpan w:val="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5.1  Distributions of Available Cash Flow.</w:t>
              </w:r>
            </w:hyperlink>
          </w:p>
        </w:tc>
        <w:tc>
          <w:tcPr>
            <w:tcW w:w="318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27</w:t>
              </w:r>
            </w:hyperlink>
          </w:p>
        </w:tc>
      </w:tr>
      <w:tr>
        <w:trPr>
          <w:trHeight w:val="493"/>
        </w:trPr>
        <w:tc>
          <w:tcPr>
            <w:tcW w:w="1200" w:type="dxa"/>
            <w:vAlign w:val="bottom"/>
            <w:tcBorders>
              <w:top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5.2</w:t>
              </w:r>
            </w:hyperlink>
          </w:p>
        </w:tc>
        <w:tc>
          <w:tcPr>
            <w:tcW w:w="3260" w:type="dxa"/>
            <w:vAlign w:val="bottom"/>
            <w:tcBorders>
              <w:top w:val="single" w:sz="8" w:color="0563C1"/>
            </w:tcBorders>
            <w:gridSpan w:val="3"/>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Limitation.</w:t>
              </w:r>
            </w:hyperlink>
          </w:p>
        </w:tc>
        <w:tc>
          <w:tcPr>
            <w:tcW w:w="2960" w:type="dxa"/>
            <w:vAlign w:val="bottom"/>
          </w:tcPr>
          <w:p>
            <w:pPr>
              <w:spacing w:after="0"/>
              <w:rPr>
                <w:sz w:val="24"/>
                <w:szCs w:val="24"/>
                <w:color w:val="auto"/>
              </w:rPr>
            </w:pPr>
          </w:p>
        </w:tc>
        <w:tc>
          <w:tcPr>
            <w:tcW w:w="318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28</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5.3</w:t>
              </w:r>
            </w:hyperlink>
          </w:p>
        </w:tc>
        <w:tc>
          <w:tcPr>
            <w:tcW w:w="6220" w:type="dxa"/>
            <w:vAlign w:val="bottom"/>
            <w:gridSpan w:val="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Withholding.</w:t>
              </w:r>
            </w:hyperlink>
          </w:p>
        </w:tc>
        <w:tc>
          <w:tcPr>
            <w:tcW w:w="318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28</w:t>
              </w:r>
            </w:hyperlink>
          </w:p>
        </w:tc>
      </w:tr>
      <w:tr>
        <w:trPr>
          <w:trHeight w:val="544"/>
        </w:trPr>
        <w:tc>
          <w:tcPr>
            <w:tcW w:w="7420" w:type="dxa"/>
            <w:vAlign w:val="bottom"/>
            <w:gridSpan w:val="5"/>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6 MANAGEMENT</w:t>
              </w:r>
            </w:hyperlink>
          </w:p>
        </w:tc>
        <w:tc>
          <w:tcPr>
            <w:tcW w:w="318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28</w:t>
              </w:r>
            </w:hyperlink>
          </w:p>
        </w:tc>
      </w:tr>
      <w:tr>
        <w:trPr>
          <w:trHeight w:val="462"/>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6.1</w:t>
              </w:r>
            </w:hyperlink>
          </w:p>
        </w:tc>
        <w:tc>
          <w:tcPr>
            <w:tcW w:w="6220" w:type="dxa"/>
            <w:vAlign w:val="bottom"/>
            <w:gridSpan w:val="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Manager.</w:t>
              </w:r>
            </w:hyperlink>
          </w:p>
        </w:tc>
        <w:tc>
          <w:tcPr>
            <w:tcW w:w="318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28</w:t>
              </w:r>
            </w:hyperlink>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6.2</w:t>
              </w:r>
            </w:hyperlink>
          </w:p>
        </w:tc>
        <w:tc>
          <w:tcPr>
            <w:tcW w:w="6220" w:type="dxa"/>
            <w:vAlign w:val="bottom"/>
            <w:gridSpan w:val="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Standard of Care; Required Consents.</w:t>
              </w:r>
            </w:hyperlink>
          </w:p>
        </w:tc>
        <w:tc>
          <w:tcPr>
            <w:tcW w:w="318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33</w:t>
              </w:r>
            </w:hyperlink>
          </w:p>
        </w:tc>
      </w:tr>
    </w:tbl>
    <w:p>
      <w:pPr>
        <w:sectPr>
          <w:pgSz w:w="11900" w:h="16838" w:orient="portrait"/>
          <w:cols w:equalWidth="0" w:num="1">
            <w:col w:w="10600"/>
          </w:cols>
          <w:pgMar w:left="340" w:top="130" w:right="959" w:bottom="1440" w:gutter="0" w:footer="0" w:header="0"/>
        </w:sectPr>
      </w:pPr>
    </w:p>
    <w:bookmarkStart w:id="257" w:name="page258"/>
    <w:bookmarkEnd w:id="257"/>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6.3  </w:t>
              </w:r>
              <w:r>
                <w:rPr>
                  <w:rFonts w:ascii="Arial" w:cs="Arial" w:eastAsia="Arial" w:hAnsi="Arial"/>
                  <w:sz w:val="22"/>
                  <w:szCs w:val="22"/>
                  <w:u w:val="single" w:color="auto"/>
                  <w:color w:val="0563C1"/>
                </w:rPr>
                <w:t>Removal and Election of Manager.</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38</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6.4  </w:t>
              </w:r>
              <w:r>
                <w:rPr>
                  <w:rFonts w:ascii="Arial" w:cs="Arial" w:eastAsia="Arial" w:hAnsi="Arial"/>
                  <w:sz w:val="22"/>
                  <w:szCs w:val="22"/>
                  <w:u w:val="single" w:color="auto"/>
                  <w:color w:val="0563C1"/>
                </w:rPr>
                <w:t>Indemnification and Exculpation.</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39</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6.5  </w:t>
              </w:r>
              <w:r>
                <w:rPr>
                  <w:rFonts w:ascii="Arial" w:cs="Arial" w:eastAsia="Arial" w:hAnsi="Arial"/>
                  <w:sz w:val="22"/>
                  <w:szCs w:val="22"/>
                  <w:u w:val="single" w:color="auto"/>
                  <w:color w:val="0563C1"/>
                </w:rPr>
                <w:t>Company Reimbursement; Fund Formation Expenses.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39</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6.6</w:t>
              </w:r>
            </w:hyperlink>
          </w:p>
        </w:tc>
        <w:tc>
          <w:tcPr>
            <w:tcW w:w="760" w:type="dxa"/>
            <w:vAlign w:val="bottom"/>
            <w:tcBorders>
              <w:bottom w:val="single" w:sz="8" w:color="0563C1"/>
            </w:tcBorders>
            <w:gridSpan w:val="3"/>
          </w:tcPr>
          <w:p>
            <w:pPr>
              <w:spacing w:after="0"/>
              <w:rPr>
                <w:rFonts w:ascii="Arial" w:cs="Arial" w:eastAsia="Arial" w:hAnsi="Arial"/>
                <w:sz w:val="22"/>
                <w:szCs w:val="22"/>
                <w:color w:val="0563C1"/>
                <w:w w:val="90"/>
              </w:rPr>
            </w:pPr>
            <w:hyperlink w:anchor="page261">
              <w:r>
                <w:rPr>
                  <w:rFonts w:ascii="Arial" w:cs="Arial" w:eastAsia="Arial" w:hAnsi="Arial"/>
                  <w:sz w:val="22"/>
                  <w:szCs w:val="22"/>
                  <w:color w:val="0563C1"/>
                  <w:w w:val="90"/>
                </w:rPr>
                <w:t>Officers.</w:t>
              </w:r>
            </w:hyperlink>
          </w:p>
        </w:tc>
        <w:tc>
          <w:tcPr>
            <w:tcW w:w="6500" w:type="dxa"/>
            <w:vAlign w:val="bottom"/>
            <w:gridSpan w:val="11"/>
          </w:tcPr>
          <w:p>
            <w:pPr>
              <w:spacing w:after="0"/>
              <w:rPr>
                <w:sz w:val="24"/>
                <w:szCs w:val="24"/>
                <w:color w:val="auto"/>
              </w:rPr>
            </w:pPr>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39</w:t>
              </w:r>
            </w:hyperlink>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6.7</w:t>
              </w:r>
            </w:hyperlink>
          </w:p>
        </w:tc>
        <w:tc>
          <w:tcPr>
            <w:tcW w:w="7260" w:type="dxa"/>
            <w:vAlign w:val="bottom"/>
            <w:gridSpan w:val="1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Approved Budgets.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40</w:t>
              </w:r>
            </w:hyperlink>
          </w:p>
        </w:tc>
      </w:tr>
      <w:tr>
        <w:trPr>
          <w:trHeight w:val="543"/>
        </w:trPr>
        <w:tc>
          <w:tcPr>
            <w:tcW w:w="8460" w:type="dxa"/>
            <w:vAlign w:val="bottom"/>
            <w:gridSpan w:val="15"/>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7 RIGHTS AND RESPONSIBILITIES OF MEMBERS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41</w:t>
              </w:r>
            </w:hyperlink>
          </w:p>
        </w:tc>
      </w:tr>
      <w:tr>
        <w:trPr>
          <w:trHeight w:val="46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7.1</w:t>
              </w:r>
            </w:hyperlink>
          </w:p>
        </w:tc>
        <w:tc>
          <w:tcPr>
            <w:tcW w:w="740" w:type="dxa"/>
            <w:vAlign w:val="bottom"/>
            <w:tcBorders>
              <w:bottom w:val="single" w:sz="8" w:color="0563C1"/>
            </w:tcBorders>
            <w:gridSpan w:val="2"/>
          </w:tcPr>
          <w:p>
            <w:pPr>
              <w:spacing w:after="0"/>
              <w:rPr>
                <w:rFonts w:ascii="Arial" w:cs="Arial" w:eastAsia="Arial" w:hAnsi="Arial"/>
                <w:sz w:val="22"/>
                <w:szCs w:val="22"/>
                <w:color w:val="0563C1"/>
                <w:w w:val="85"/>
              </w:rPr>
            </w:pPr>
            <w:hyperlink w:anchor="page261">
              <w:r>
                <w:rPr>
                  <w:rFonts w:ascii="Arial" w:cs="Arial" w:eastAsia="Arial" w:hAnsi="Arial"/>
                  <w:sz w:val="22"/>
                  <w:szCs w:val="22"/>
                  <w:color w:val="0563C1"/>
                  <w:w w:val="85"/>
                </w:rPr>
                <w:t>General.</w:t>
              </w:r>
            </w:hyperlink>
          </w:p>
        </w:tc>
        <w:tc>
          <w:tcPr>
            <w:tcW w:w="6520" w:type="dxa"/>
            <w:vAlign w:val="bottom"/>
            <w:gridSpan w:val="12"/>
          </w:tcPr>
          <w:p>
            <w:pPr>
              <w:spacing w:after="0"/>
              <w:rPr>
                <w:sz w:val="24"/>
                <w:szCs w:val="24"/>
                <w:color w:val="auto"/>
              </w:rPr>
            </w:pPr>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41</w:t>
              </w:r>
            </w:hyperlink>
          </w:p>
        </w:tc>
      </w:tr>
      <w:tr>
        <w:trPr>
          <w:trHeight w:val="493"/>
        </w:trPr>
        <w:tc>
          <w:tcPr>
            <w:tcW w:w="1200" w:type="dxa"/>
            <w:vAlign w:val="bottom"/>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7.2</w:t>
              </w:r>
            </w:hyperlink>
          </w:p>
        </w:tc>
        <w:tc>
          <w:tcPr>
            <w:tcW w:w="7260" w:type="dxa"/>
            <w:vAlign w:val="bottom"/>
            <w:gridSpan w:val="14"/>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Member Consent.</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41</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7.3</w:t>
              </w:r>
            </w:hyperlink>
          </w:p>
        </w:tc>
        <w:tc>
          <w:tcPr>
            <w:tcW w:w="7260" w:type="dxa"/>
            <w:vAlign w:val="bottom"/>
            <w:gridSpan w:val="1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Member Liability.</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41</w:t>
              </w:r>
            </w:hyperlink>
          </w:p>
        </w:tc>
      </w:tr>
      <w:tr>
        <w:trPr>
          <w:trHeight w:val="493"/>
        </w:trPr>
        <w:tc>
          <w:tcPr>
            <w:tcW w:w="1200" w:type="dxa"/>
            <w:vAlign w:val="bottom"/>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7.4</w:t>
              </w:r>
            </w:hyperlink>
          </w:p>
        </w:tc>
        <w:tc>
          <w:tcPr>
            <w:tcW w:w="7260" w:type="dxa"/>
            <w:vAlign w:val="bottom"/>
            <w:gridSpan w:val="14"/>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Withdrawal.</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42</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7.5</w:t>
              </w:r>
            </w:hyperlink>
          </w:p>
        </w:tc>
        <w:tc>
          <w:tcPr>
            <w:tcW w:w="7260" w:type="dxa"/>
            <w:vAlign w:val="bottom"/>
            <w:gridSpan w:val="1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Member Compensation.</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42</w:t>
              </w:r>
            </w:hyperlink>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7.6</w:t>
              </w:r>
            </w:hyperlink>
          </w:p>
        </w:tc>
        <w:tc>
          <w:tcPr>
            <w:tcW w:w="1360" w:type="dxa"/>
            <w:vAlign w:val="bottom"/>
            <w:tcBorders>
              <w:bottom w:val="single" w:sz="8" w:color="0563C1"/>
            </w:tcBorders>
            <w:gridSpan w:val="7"/>
          </w:tcPr>
          <w:p>
            <w:pPr>
              <w:spacing w:after="0"/>
              <w:rPr>
                <w:rFonts w:ascii="Arial" w:cs="Arial" w:eastAsia="Arial" w:hAnsi="Arial"/>
                <w:sz w:val="22"/>
                <w:szCs w:val="22"/>
                <w:color w:val="0563C1"/>
                <w:w w:val="86"/>
              </w:rPr>
            </w:pPr>
            <w:hyperlink w:anchor="page261">
              <w:r>
                <w:rPr>
                  <w:rFonts w:ascii="Arial" w:cs="Arial" w:eastAsia="Arial" w:hAnsi="Arial"/>
                  <w:sz w:val="22"/>
                  <w:szCs w:val="22"/>
                  <w:color w:val="0563C1"/>
                  <w:w w:val="86"/>
                </w:rPr>
                <w:t>Other Ventures.</w:t>
              </w:r>
            </w:hyperlink>
          </w:p>
        </w:tc>
        <w:tc>
          <w:tcPr>
            <w:tcW w:w="5900" w:type="dxa"/>
            <w:vAlign w:val="bottom"/>
            <w:gridSpan w:val="7"/>
          </w:tcPr>
          <w:p>
            <w:pPr>
              <w:spacing w:after="0"/>
              <w:rPr>
                <w:sz w:val="24"/>
                <w:szCs w:val="24"/>
                <w:color w:val="auto"/>
              </w:rPr>
            </w:pPr>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42</w:t>
              </w:r>
            </w:hyperlink>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7.7</w:t>
              </w:r>
            </w:hyperlink>
          </w:p>
        </w:tc>
        <w:tc>
          <w:tcPr>
            <w:tcW w:w="2220" w:type="dxa"/>
            <w:vAlign w:val="bottom"/>
            <w:tcBorders>
              <w:bottom w:val="single" w:sz="8" w:color="0563C1"/>
            </w:tcBorders>
            <w:gridSpan w:val="13"/>
          </w:tcPr>
          <w:p>
            <w:pPr>
              <w:spacing w:after="0"/>
              <w:rPr>
                <w:rFonts w:ascii="Arial" w:cs="Arial" w:eastAsia="Arial" w:hAnsi="Arial"/>
                <w:sz w:val="22"/>
                <w:szCs w:val="22"/>
                <w:color w:val="0563C1"/>
                <w:w w:val="92"/>
              </w:rPr>
            </w:pPr>
            <w:hyperlink w:anchor="page261">
              <w:r>
                <w:rPr>
                  <w:rFonts w:ascii="Arial" w:cs="Arial" w:eastAsia="Arial" w:hAnsi="Arial"/>
                  <w:sz w:val="22"/>
                  <w:szCs w:val="22"/>
                  <w:color w:val="0563C1"/>
                  <w:w w:val="92"/>
                </w:rPr>
                <w:t>Confidential Information.</w:t>
              </w:r>
            </w:hyperlink>
          </w:p>
        </w:tc>
        <w:tc>
          <w:tcPr>
            <w:tcW w:w="5040" w:type="dxa"/>
            <w:vAlign w:val="bottom"/>
          </w:tcPr>
          <w:p>
            <w:pPr>
              <w:spacing w:after="0"/>
              <w:rPr>
                <w:sz w:val="24"/>
                <w:szCs w:val="24"/>
                <w:color w:val="auto"/>
              </w:rPr>
            </w:pPr>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42</w:t>
              </w:r>
            </w:hyperlink>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7.8</w:t>
              </w:r>
            </w:hyperlink>
          </w:p>
        </w:tc>
        <w:tc>
          <w:tcPr>
            <w:tcW w:w="7260" w:type="dxa"/>
            <w:vAlign w:val="bottom"/>
            <w:gridSpan w:val="1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Company Property.</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45</w:t>
              </w:r>
            </w:hyperlink>
          </w:p>
        </w:tc>
      </w:tr>
      <w:tr>
        <w:trPr>
          <w:trHeight w:val="544"/>
        </w:trPr>
        <w:tc>
          <w:tcPr>
            <w:tcW w:w="8460" w:type="dxa"/>
            <w:vAlign w:val="bottom"/>
            <w:gridSpan w:val="15"/>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8 ADMINISTRATIVE AND TAX MATTERS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45</w:t>
              </w:r>
            </w:hyperlink>
          </w:p>
        </w:tc>
      </w:tr>
      <w:tr>
        <w:trPr>
          <w:trHeight w:val="462"/>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8.1  </w:t>
              </w:r>
              <w:r>
                <w:rPr>
                  <w:rFonts w:ascii="Arial" w:cs="Arial" w:eastAsia="Arial" w:hAnsi="Arial"/>
                  <w:sz w:val="22"/>
                  <w:szCs w:val="22"/>
                  <w:u w:val="single" w:color="auto"/>
                  <w:color w:val="0563C1"/>
                </w:rPr>
                <w:t>Intent for Income Tax Purposes.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45</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8.2  </w:t>
              </w:r>
              <w:r>
                <w:rPr>
                  <w:rFonts w:ascii="Arial" w:cs="Arial" w:eastAsia="Arial" w:hAnsi="Arial"/>
                  <w:sz w:val="22"/>
                  <w:szCs w:val="22"/>
                  <w:u w:val="single" w:color="auto"/>
                  <w:color w:val="0563C1"/>
                </w:rPr>
                <w:t>Books and Records; Bank Accounts; Company Procedures</w:t>
              </w:r>
              <w:r>
                <w:rPr>
                  <w:rFonts w:ascii="Arial" w:cs="Arial" w:eastAsia="Arial" w:hAnsi="Arial"/>
                  <w:sz w:val="22"/>
                  <w:szCs w:val="22"/>
                  <w:color w:val="0563C1"/>
                </w:rPr>
                <w:t>.</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45</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8.3  </w:t>
              </w:r>
              <w:r>
                <w:rPr>
                  <w:rFonts w:ascii="Arial" w:cs="Arial" w:eastAsia="Arial" w:hAnsi="Arial"/>
                  <w:sz w:val="22"/>
                  <w:szCs w:val="22"/>
                  <w:u w:val="single" w:color="auto"/>
                  <w:color w:val="0563C1"/>
                </w:rPr>
                <w:t>Information and Access Rights.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46</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8.4</w:t>
              </w:r>
            </w:hyperlink>
          </w:p>
        </w:tc>
        <w:tc>
          <w:tcPr>
            <w:tcW w:w="7260" w:type="dxa"/>
            <w:vAlign w:val="bottom"/>
            <w:gridSpan w:val="1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Reports.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47</w:t>
              </w:r>
            </w:hyperlink>
          </w:p>
        </w:tc>
      </w:tr>
      <w:tr>
        <w:trPr>
          <w:trHeight w:val="493"/>
        </w:trPr>
        <w:tc>
          <w:tcPr>
            <w:tcW w:w="1200" w:type="dxa"/>
            <w:vAlign w:val="bottom"/>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8.5</w:t>
              </w:r>
            </w:hyperlink>
          </w:p>
        </w:tc>
        <w:tc>
          <w:tcPr>
            <w:tcW w:w="7260" w:type="dxa"/>
            <w:vAlign w:val="bottom"/>
            <w:gridSpan w:val="14"/>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Permitted Investments.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48</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8.6</w:t>
              </w:r>
            </w:hyperlink>
          </w:p>
        </w:tc>
        <w:tc>
          <w:tcPr>
            <w:tcW w:w="1240" w:type="dxa"/>
            <w:vAlign w:val="bottom"/>
            <w:tcBorders>
              <w:top w:val="single" w:sz="8" w:color="0563C1"/>
              <w:bottom w:val="single" w:sz="8" w:color="0563C1"/>
            </w:tcBorders>
            <w:gridSpan w:val="6"/>
          </w:tcPr>
          <w:p>
            <w:pPr>
              <w:spacing w:after="0"/>
              <w:rPr>
                <w:rFonts w:ascii="Arial" w:cs="Arial" w:eastAsia="Arial" w:hAnsi="Arial"/>
                <w:sz w:val="22"/>
                <w:szCs w:val="22"/>
                <w:color w:val="0563C1"/>
                <w:w w:val="88"/>
              </w:rPr>
            </w:pPr>
            <w:hyperlink w:anchor="page261">
              <w:r>
                <w:rPr>
                  <w:rFonts w:ascii="Arial" w:cs="Arial" w:eastAsia="Arial" w:hAnsi="Arial"/>
                  <w:sz w:val="22"/>
                  <w:szCs w:val="22"/>
                  <w:color w:val="0563C1"/>
                  <w:w w:val="88"/>
                </w:rPr>
                <w:t>Tax Elections.</w:t>
              </w:r>
            </w:hyperlink>
          </w:p>
        </w:tc>
        <w:tc>
          <w:tcPr>
            <w:tcW w:w="740" w:type="dxa"/>
            <w:vAlign w:val="bottom"/>
            <w:tcBorders>
              <w:top w:val="single" w:sz="8" w:color="0563C1"/>
            </w:tcBorders>
            <w:gridSpan w:val="5"/>
          </w:tcPr>
          <w:p>
            <w:pPr>
              <w:spacing w:after="0"/>
              <w:rPr>
                <w:sz w:val="24"/>
                <w:szCs w:val="24"/>
                <w:color w:val="auto"/>
              </w:rPr>
            </w:pPr>
          </w:p>
        </w:tc>
        <w:tc>
          <w:tcPr>
            <w:tcW w:w="5280" w:type="dxa"/>
            <w:vAlign w:val="bottom"/>
            <w:gridSpan w:val="3"/>
          </w:tcPr>
          <w:p>
            <w:pPr>
              <w:spacing w:after="0"/>
              <w:rPr>
                <w:sz w:val="24"/>
                <w:szCs w:val="24"/>
                <w:color w:val="auto"/>
              </w:rPr>
            </w:pPr>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48</w:t>
              </w:r>
            </w:hyperlink>
          </w:p>
        </w:tc>
      </w:tr>
      <w:tr>
        <w:trPr>
          <w:trHeight w:val="49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8.7  </w:t>
              </w:r>
              <w:r>
                <w:rPr>
                  <w:rFonts w:ascii="Arial" w:cs="Arial" w:eastAsia="Arial" w:hAnsi="Arial"/>
                  <w:sz w:val="22"/>
                  <w:szCs w:val="22"/>
                  <w:u w:val="single" w:color="auto"/>
                  <w:color w:val="0563C1"/>
                </w:rPr>
                <w:t>Partnership Representative and Company Tax Filings.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49</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8.8</w:t>
              </w:r>
            </w:hyperlink>
          </w:p>
        </w:tc>
        <w:tc>
          <w:tcPr>
            <w:tcW w:w="7260" w:type="dxa"/>
            <w:vAlign w:val="bottom"/>
            <w:gridSpan w:val="1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Financial Accounting.</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51</w:t>
              </w:r>
            </w:hyperlink>
          </w:p>
        </w:tc>
      </w:tr>
      <w:tr>
        <w:trPr>
          <w:trHeight w:val="49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8.9  </w:t>
              </w:r>
              <w:r>
                <w:rPr>
                  <w:rFonts w:ascii="Arial" w:cs="Arial" w:eastAsia="Arial" w:hAnsi="Arial"/>
                  <w:sz w:val="22"/>
                  <w:szCs w:val="22"/>
                  <w:u w:val="single" w:color="auto"/>
                  <w:color w:val="0563C1"/>
                </w:rPr>
                <w:t>Membership Interest Legend</w:t>
              </w:r>
              <w:r>
                <w:rPr>
                  <w:rFonts w:ascii="Arial" w:cs="Arial" w:eastAsia="Arial" w:hAnsi="Arial"/>
                  <w:sz w:val="22"/>
                  <w:szCs w:val="22"/>
                  <w:color w:val="0563C1"/>
                </w:rPr>
                <w:t>.</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51</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8.10  </w:t>
              </w:r>
              <w:r>
                <w:rPr>
                  <w:rFonts w:ascii="Arial" w:cs="Arial" w:eastAsia="Arial" w:hAnsi="Arial"/>
                  <w:sz w:val="22"/>
                  <w:szCs w:val="22"/>
                  <w:u w:val="single" w:color="auto"/>
                  <w:color w:val="0563C1"/>
                </w:rPr>
                <w:t>Representations, Warranties and Covenants of the Members.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51</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1200" w:type="dxa"/>
            <w:vAlign w:val="bottom"/>
          </w:tcPr>
          <w:p>
            <w:pPr>
              <w:spacing w:after="0"/>
              <w:rPr>
                <w:rFonts w:ascii="Arial" w:cs="Arial" w:eastAsia="Arial" w:hAnsi="Arial"/>
                <w:sz w:val="22"/>
                <w:szCs w:val="22"/>
                <w:color w:val="0563C1"/>
                <w:w w:val="96"/>
              </w:rPr>
            </w:pPr>
            <w:hyperlink w:anchor="page261">
              <w:r>
                <w:rPr>
                  <w:rFonts w:ascii="Arial" w:cs="Arial" w:eastAsia="Arial" w:hAnsi="Arial"/>
                  <w:sz w:val="22"/>
                  <w:szCs w:val="22"/>
                  <w:color w:val="0563C1"/>
                  <w:w w:val="96"/>
                </w:rPr>
                <w:t>Section 8.11</w:t>
              </w:r>
            </w:hyperlink>
          </w:p>
        </w:tc>
        <w:tc>
          <w:tcPr>
            <w:tcW w:w="7260" w:type="dxa"/>
            <w:vAlign w:val="bottom"/>
            <w:gridSpan w:val="14"/>
          </w:tcPr>
          <w:p>
            <w:pPr>
              <w:ind w:left="100"/>
              <w:spacing w:after="0"/>
              <w:rPr>
                <w:rFonts w:ascii="Arial" w:cs="Arial" w:eastAsia="Arial" w:hAnsi="Arial"/>
                <w:sz w:val="22"/>
                <w:szCs w:val="22"/>
                <w:color w:val="0563C1"/>
              </w:rPr>
            </w:pPr>
            <w:hyperlink w:anchor="page261">
              <w:r>
                <w:rPr>
                  <w:rFonts w:ascii="Arial" w:cs="Arial" w:eastAsia="Arial" w:hAnsi="Arial"/>
                  <w:sz w:val="22"/>
                  <w:szCs w:val="22"/>
                  <w:color w:val="0563C1"/>
                </w:rPr>
                <w:t>Survival.</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53</w:t>
              </w:r>
            </w:hyperlink>
          </w:p>
        </w:tc>
      </w:tr>
      <w:tr>
        <w:trPr>
          <w:trHeight w:val="20"/>
        </w:trPr>
        <w:tc>
          <w:tcPr>
            <w:tcW w:w="2080" w:type="dxa"/>
            <w:vAlign w:val="bottom"/>
            <w:gridSpan w:val="5"/>
            <w:shd w:val="clear" w:color="auto" w:fill="0563C1"/>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543"/>
        </w:trPr>
        <w:tc>
          <w:tcPr>
            <w:tcW w:w="8460" w:type="dxa"/>
            <w:vAlign w:val="bottom"/>
            <w:gridSpan w:val="15"/>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9 TRANSFERS OF INTERESTS; PURCHASE OPTION</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53</w:t>
              </w:r>
            </w:hyperlink>
          </w:p>
        </w:tc>
      </w:tr>
      <w:tr>
        <w:trPr>
          <w:trHeight w:val="462"/>
        </w:trPr>
        <w:tc>
          <w:tcPr>
            <w:tcW w:w="1200" w:type="dxa"/>
            <w:vAlign w:val="bottom"/>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9.1</w:t>
              </w:r>
            </w:hyperlink>
          </w:p>
        </w:tc>
        <w:tc>
          <w:tcPr>
            <w:tcW w:w="7260" w:type="dxa"/>
            <w:vAlign w:val="bottom"/>
            <w:gridSpan w:val="14"/>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Transfer Restrictions.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53</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9.2</w:t>
              </w:r>
            </w:hyperlink>
          </w:p>
        </w:tc>
        <w:tc>
          <w:tcPr>
            <w:tcW w:w="1760" w:type="dxa"/>
            <w:vAlign w:val="bottom"/>
            <w:tcBorders>
              <w:top w:val="single" w:sz="8" w:color="0563C1"/>
              <w:bottom w:val="single" w:sz="8" w:color="0563C1"/>
            </w:tcBorders>
            <w:gridSpan w:val="9"/>
          </w:tcPr>
          <w:p>
            <w:pPr>
              <w:spacing w:after="0"/>
              <w:rPr>
                <w:rFonts w:ascii="Arial" w:cs="Arial" w:eastAsia="Arial" w:hAnsi="Arial"/>
                <w:sz w:val="22"/>
                <w:szCs w:val="22"/>
                <w:color w:val="0563C1"/>
                <w:w w:val="87"/>
              </w:rPr>
            </w:pPr>
            <w:hyperlink w:anchor="page261">
              <w:r>
                <w:rPr>
                  <w:rFonts w:ascii="Arial" w:cs="Arial" w:eastAsia="Arial" w:hAnsi="Arial"/>
                  <w:sz w:val="22"/>
                  <w:szCs w:val="22"/>
                  <w:color w:val="0563C1"/>
                  <w:w w:val="87"/>
                </w:rPr>
                <w:t>Permitted Transfers.</w:t>
              </w:r>
            </w:hyperlink>
          </w:p>
        </w:tc>
        <w:tc>
          <w:tcPr>
            <w:tcW w:w="100" w:type="dxa"/>
            <w:vAlign w:val="bottom"/>
            <w:tcBorders>
              <w:top w:val="single" w:sz="8" w:color="0563C1"/>
            </w:tcBorders>
          </w:tcPr>
          <w:p>
            <w:pPr>
              <w:spacing w:after="0"/>
              <w:rPr>
                <w:sz w:val="24"/>
                <w:szCs w:val="24"/>
                <w:color w:val="auto"/>
              </w:rPr>
            </w:pPr>
          </w:p>
        </w:tc>
        <w:tc>
          <w:tcPr>
            <w:tcW w:w="5400" w:type="dxa"/>
            <w:vAlign w:val="bottom"/>
            <w:gridSpan w:val="4"/>
          </w:tcPr>
          <w:p>
            <w:pPr>
              <w:spacing w:after="0"/>
              <w:rPr>
                <w:sz w:val="24"/>
                <w:szCs w:val="24"/>
                <w:color w:val="auto"/>
              </w:rPr>
            </w:pPr>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53</w:t>
              </w:r>
            </w:hyperlink>
          </w:p>
        </w:tc>
      </w:tr>
      <w:tr>
        <w:trPr>
          <w:trHeight w:val="493"/>
        </w:trPr>
        <w:tc>
          <w:tcPr>
            <w:tcW w:w="8460" w:type="dxa"/>
            <w:vAlign w:val="bottom"/>
            <w:gridSpan w:val="15"/>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9.3  Conditions to Transfers.</w:t>
              </w:r>
            </w:hyperlink>
          </w:p>
        </w:tc>
        <w:tc>
          <w:tcPr>
            <w:tcW w:w="214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53</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ectPr>
          <w:pgSz w:w="11900" w:h="16838" w:orient="portrait"/>
          <w:cols w:equalWidth="0" w:num="1">
            <w:col w:w="10600"/>
          </w:cols>
          <w:pgMar w:left="340" w:top="1440" w:right="959" w:bottom="0" w:gutter="0" w:footer="0" w:header="0"/>
        </w:sectPr>
      </w:pPr>
    </w:p>
    <w:bookmarkStart w:id="258" w:name="page259"/>
    <w:bookmarkEnd w:id="2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0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9.4  </w:t>
              </w:r>
              <w:r>
                <w:rPr>
                  <w:rFonts w:ascii="Arial" w:cs="Arial" w:eastAsia="Arial" w:hAnsi="Arial"/>
                  <w:sz w:val="22"/>
                  <w:szCs w:val="22"/>
                  <w:u w:val="single" w:color="auto"/>
                  <w:color w:val="0563C1"/>
                </w:rPr>
                <w:t>Encumbrances of Membership Interest.</w:t>
              </w:r>
            </w:hyperlink>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55</w:t>
              </w:r>
            </w:hyperlink>
          </w:p>
        </w:tc>
      </w:tr>
      <w:tr>
        <w:trPr>
          <w:trHeight w:val="493"/>
        </w:trPr>
        <w:tc>
          <w:tcPr>
            <w:tcW w:w="1200" w:type="dxa"/>
            <w:vAlign w:val="bottom"/>
            <w:tcBorders>
              <w:top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9.5</w:t>
              </w:r>
            </w:hyperlink>
          </w:p>
        </w:tc>
        <w:tc>
          <w:tcPr>
            <w:tcW w:w="6300" w:type="dxa"/>
            <w:vAlign w:val="bottom"/>
            <w:gridSpan w:val="7"/>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Admission of Transferee as a Member.</w:t>
              </w:r>
            </w:hyperlink>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55</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9.6</w:t>
              </w:r>
            </w:hyperlink>
          </w:p>
        </w:tc>
        <w:tc>
          <w:tcPr>
            <w:tcW w:w="1540" w:type="dxa"/>
            <w:vAlign w:val="bottom"/>
            <w:tcBorders>
              <w:top w:val="single" w:sz="8" w:color="0563C1"/>
            </w:tcBorders>
            <w:gridSpan w:val="2"/>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w:t>
              </w:r>
            </w:hyperlink>
          </w:p>
        </w:tc>
        <w:tc>
          <w:tcPr>
            <w:tcW w:w="26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80" w:type="dxa"/>
            <w:vAlign w:val="bottom"/>
            <w:tcBorders>
              <w:top w:val="single" w:sz="8" w:color="0563C1"/>
            </w:tcBorders>
          </w:tcPr>
          <w:p>
            <w:pPr>
              <w:spacing w:after="0"/>
              <w:rPr>
                <w:sz w:val="24"/>
                <w:szCs w:val="24"/>
                <w:color w:val="auto"/>
              </w:rPr>
            </w:pPr>
          </w:p>
        </w:tc>
        <w:tc>
          <w:tcPr>
            <w:tcW w:w="2960" w:type="dxa"/>
            <w:vAlign w:val="bottom"/>
          </w:tcPr>
          <w:p>
            <w:pPr>
              <w:spacing w:after="0"/>
              <w:rPr>
                <w:sz w:val="24"/>
                <w:szCs w:val="24"/>
                <w:color w:val="auto"/>
              </w:rPr>
            </w:pPr>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55</w:t>
              </w:r>
            </w:hyperlink>
          </w:p>
        </w:tc>
      </w:tr>
      <w:tr>
        <w:trPr>
          <w:trHeight w:val="493"/>
        </w:trPr>
        <w:tc>
          <w:tcPr>
            <w:tcW w:w="1200" w:type="dxa"/>
            <w:vAlign w:val="bottom"/>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9.7</w:t>
              </w:r>
            </w:hyperlink>
          </w:p>
        </w:tc>
        <w:tc>
          <w:tcPr>
            <w:tcW w:w="6300" w:type="dxa"/>
            <w:vAlign w:val="bottom"/>
            <w:gridSpan w:val="7"/>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Terminated Member.</w:t>
              </w:r>
            </w:hyperlink>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55</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4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9.8</w:t>
              </w:r>
            </w:hyperlink>
          </w:p>
        </w:tc>
        <w:tc>
          <w:tcPr>
            <w:tcW w:w="2220" w:type="dxa"/>
            <w:vAlign w:val="bottom"/>
            <w:tcBorders>
              <w:bottom w:val="single" w:sz="8" w:color="0563C1"/>
            </w:tcBorders>
            <w:gridSpan w:val="4"/>
          </w:tcPr>
          <w:p>
            <w:pPr>
              <w:spacing w:after="0"/>
              <w:rPr>
                <w:rFonts w:ascii="Arial" w:cs="Arial" w:eastAsia="Arial" w:hAnsi="Arial"/>
                <w:sz w:val="22"/>
                <w:szCs w:val="22"/>
                <w:color w:val="0563C1"/>
                <w:w w:val="88"/>
              </w:rPr>
            </w:pPr>
            <w:hyperlink w:anchor="page261">
              <w:r>
                <w:rPr>
                  <w:rFonts w:ascii="Arial" w:cs="Arial" w:eastAsia="Arial" w:hAnsi="Arial"/>
                  <w:sz w:val="22"/>
                  <w:szCs w:val="22"/>
                  <w:color w:val="0563C1"/>
                  <w:w w:val="88"/>
                </w:rPr>
                <w:t>Class B Member Matters.</w:t>
              </w:r>
            </w:hyperlink>
          </w:p>
        </w:tc>
        <w:tc>
          <w:tcPr>
            <w:tcW w:w="4080" w:type="dxa"/>
            <w:vAlign w:val="bottom"/>
            <w:gridSpan w:val="3"/>
          </w:tcPr>
          <w:p>
            <w:pPr>
              <w:spacing w:after="0"/>
              <w:rPr>
                <w:sz w:val="24"/>
                <w:szCs w:val="24"/>
                <w:color w:val="auto"/>
              </w:rPr>
            </w:pPr>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56</w:t>
              </w:r>
            </w:hyperlink>
          </w:p>
        </w:tc>
      </w:tr>
      <w:tr>
        <w:trPr>
          <w:trHeight w:val="543"/>
        </w:trPr>
        <w:tc>
          <w:tcPr>
            <w:tcW w:w="7500" w:type="dxa"/>
            <w:vAlign w:val="bottom"/>
            <w:gridSpan w:val="8"/>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10 [RESERVED]</w:t>
              </w:r>
            </w:hyperlink>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56</w:t>
              </w:r>
            </w:hyperlink>
          </w:p>
        </w:tc>
      </w:tr>
      <w:tr>
        <w:trPr>
          <w:trHeight w:val="513"/>
        </w:trPr>
        <w:tc>
          <w:tcPr>
            <w:tcW w:w="7500" w:type="dxa"/>
            <w:vAlign w:val="bottom"/>
            <w:gridSpan w:val="8"/>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11 Indemnification</w:t>
              </w:r>
            </w:hyperlink>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56</w:t>
              </w:r>
            </w:hyperlink>
          </w:p>
        </w:tc>
      </w:tr>
      <w:tr>
        <w:trPr>
          <w:trHeight w:val="463"/>
        </w:trPr>
        <w:tc>
          <w:tcPr>
            <w:tcW w:w="1200" w:type="dxa"/>
            <w:vAlign w:val="bottom"/>
            <w:tcBorders>
              <w:bottom w:val="single" w:sz="8" w:color="0563C1"/>
            </w:tcBorders>
          </w:tcPr>
          <w:p>
            <w:pPr>
              <w:spacing w:after="0"/>
              <w:rPr>
                <w:rFonts w:ascii="Arial" w:cs="Arial" w:eastAsia="Arial" w:hAnsi="Arial"/>
                <w:sz w:val="22"/>
                <w:szCs w:val="22"/>
                <w:color w:val="0563C1"/>
                <w:w w:val="96"/>
              </w:rPr>
            </w:pPr>
            <w:hyperlink w:anchor="page261">
              <w:r>
                <w:rPr>
                  <w:rFonts w:ascii="Arial" w:cs="Arial" w:eastAsia="Arial" w:hAnsi="Arial"/>
                  <w:sz w:val="22"/>
                  <w:szCs w:val="22"/>
                  <w:color w:val="0563C1"/>
                  <w:w w:val="96"/>
                </w:rPr>
                <w:t>Section 11.1</w:t>
              </w:r>
            </w:hyperlink>
          </w:p>
        </w:tc>
        <w:tc>
          <w:tcPr>
            <w:tcW w:w="100" w:type="dxa"/>
            <w:vAlign w:val="bottom"/>
            <w:tcBorders>
              <w:bottom w:val="single" w:sz="8" w:color="0563C1"/>
            </w:tcBorders>
          </w:tcPr>
          <w:p>
            <w:pPr>
              <w:spacing w:after="0"/>
              <w:rPr>
                <w:sz w:val="24"/>
                <w:szCs w:val="24"/>
                <w:color w:val="auto"/>
              </w:rPr>
            </w:pPr>
          </w:p>
        </w:tc>
        <w:tc>
          <w:tcPr>
            <w:tcW w:w="1440" w:type="dxa"/>
            <w:vAlign w:val="bottom"/>
            <w:tcBorders>
              <w:bottom w:val="single" w:sz="8" w:color="0563C1"/>
            </w:tcBorders>
          </w:tcPr>
          <w:p>
            <w:pPr>
              <w:spacing w:after="0"/>
              <w:rPr>
                <w:rFonts w:ascii="Arial" w:cs="Arial" w:eastAsia="Arial" w:hAnsi="Arial"/>
                <w:sz w:val="22"/>
                <w:szCs w:val="22"/>
                <w:color w:val="0563C1"/>
                <w:w w:val="92"/>
              </w:rPr>
            </w:pPr>
            <w:hyperlink w:anchor="page261">
              <w:r>
                <w:rPr>
                  <w:rFonts w:ascii="Arial" w:cs="Arial" w:eastAsia="Arial" w:hAnsi="Arial"/>
                  <w:sz w:val="22"/>
                  <w:szCs w:val="22"/>
                  <w:color w:val="0563C1"/>
                  <w:w w:val="92"/>
                </w:rPr>
                <w:t>Indemnification.</w:t>
              </w:r>
            </w:hyperlink>
          </w:p>
        </w:tc>
        <w:tc>
          <w:tcPr>
            <w:tcW w:w="4760" w:type="dxa"/>
            <w:vAlign w:val="bottom"/>
            <w:gridSpan w:val="5"/>
          </w:tcPr>
          <w:p>
            <w:pPr>
              <w:spacing w:after="0"/>
              <w:rPr>
                <w:sz w:val="24"/>
                <w:szCs w:val="24"/>
                <w:color w:val="auto"/>
              </w:rPr>
            </w:pPr>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56</w:t>
              </w:r>
            </w:hyperlink>
          </w:p>
        </w:tc>
      </w:tr>
      <w:tr>
        <w:trPr>
          <w:trHeight w:val="493"/>
        </w:trPr>
        <w:tc>
          <w:tcPr>
            <w:tcW w:w="750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11.2  Procedure for Indemnification.</w:t>
              </w:r>
            </w:hyperlink>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57</w:t>
              </w:r>
            </w:hyperlink>
          </w:p>
        </w:tc>
      </w:tr>
      <w:tr>
        <w:trPr>
          <w:trHeight w:val="493"/>
        </w:trPr>
        <w:tc>
          <w:tcPr>
            <w:tcW w:w="1200" w:type="dxa"/>
            <w:vAlign w:val="bottom"/>
            <w:tcBorders>
              <w:top w:val="single" w:sz="8" w:color="0563C1"/>
              <w:bottom w:val="single" w:sz="8" w:color="0563C1"/>
            </w:tcBorders>
          </w:tcPr>
          <w:p>
            <w:pPr>
              <w:spacing w:after="0"/>
              <w:rPr>
                <w:rFonts w:ascii="Arial" w:cs="Arial" w:eastAsia="Arial" w:hAnsi="Arial"/>
                <w:sz w:val="22"/>
                <w:szCs w:val="22"/>
                <w:color w:val="0563C1"/>
                <w:w w:val="96"/>
              </w:rPr>
            </w:pPr>
            <w:hyperlink w:anchor="page261">
              <w:r>
                <w:rPr>
                  <w:rFonts w:ascii="Arial" w:cs="Arial" w:eastAsia="Arial" w:hAnsi="Arial"/>
                  <w:sz w:val="22"/>
                  <w:szCs w:val="22"/>
                  <w:color w:val="0563C1"/>
                  <w:w w:val="96"/>
                </w:rPr>
                <w:t>Section 11.3</w:t>
              </w:r>
            </w:hyperlink>
          </w:p>
        </w:tc>
        <w:tc>
          <w:tcPr>
            <w:tcW w:w="100" w:type="dxa"/>
            <w:vAlign w:val="bottom"/>
            <w:tcBorders>
              <w:top w:val="single" w:sz="8" w:color="0563C1"/>
              <w:bottom w:val="single" w:sz="8" w:color="0563C1"/>
            </w:tcBorders>
          </w:tcPr>
          <w:p>
            <w:pPr>
              <w:spacing w:after="0"/>
              <w:rPr>
                <w:sz w:val="24"/>
                <w:szCs w:val="24"/>
                <w:color w:val="auto"/>
              </w:rPr>
            </w:pPr>
          </w:p>
        </w:tc>
        <w:tc>
          <w:tcPr>
            <w:tcW w:w="2660" w:type="dxa"/>
            <w:vAlign w:val="bottom"/>
            <w:tcBorders>
              <w:top w:val="single" w:sz="8" w:color="0563C1"/>
            </w:tcBorders>
            <w:gridSpan w:val="4"/>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Exclusivity.</w:t>
              </w:r>
            </w:hyperlink>
          </w:p>
        </w:tc>
        <w:tc>
          <w:tcPr>
            <w:tcW w:w="3540" w:type="dxa"/>
            <w:vAlign w:val="bottom"/>
            <w:gridSpan w:val="2"/>
          </w:tcPr>
          <w:p>
            <w:pPr>
              <w:spacing w:after="0"/>
              <w:rPr>
                <w:sz w:val="24"/>
                <w:szCs w:val="24"/>
                <w:color w:val="auto"/>
              </w:rPr>
            </w:pPr>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57</w:t>
              </w:r>
            </w:hyperlink>
          </w:p>
        </w:tc>
      </w:tr>
      <w:tr>
        <w:trPr>
          <w:trHeight w:val="493"/>
        </w:trPr>
        <w:tc>
          <w:tcPr>
            <w:tcW w:w="7500" w:type="dxa"/>
            <w:vAlign w:val="bottom"/>
            <w:gridSpan w:val="8"/>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11.4  </w:t>
              </w:r>
              <w:r>
                <w:rPr>
                  <w:rFonts w:ascii="Arial" w:cs="Arial" w:eastAsia="Arial" w:hAnsi="Arial"/>
                  <w:sz w:val="22"/>
                  <w:szCs w:val="22"/>
                  <w:u w:val="single" w:color="auto"/>
                  <w:color w:val="0563C1"/>
                </w:rPr>
                <w:t>No Right of Contribution.</w:t>
              </w:r>
            </w:hyperlink>
          </w:p>
        </w:tc>
        <w:tc>
          <w:tcPr>
            <w:tcW w:w="31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58</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ectPr>
          <w:pgSz w:w="11900" w:h="16838" w:orient="portrait"/>
          <w:cols w:equalWidth="0" w:num="1">
            <w:col w:w="10600"/>
          </w:cols>
          <w:pgMar w:left="340" w:top="278" w:right="959" w:bottom="1440" w:gutter="0" w:footer="0" w:header="0"/>
        </w:sectPr>
      </w:pPr>
    </w:p>
    <w:bookmarkStart w:id="259" w:name="page260"/>
    <w:bookmarkEnd w:id="259"/>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00" w:type="dxa"/>
            <w:vAlign w:val="bottom"/>
            <w:gridSpan w:val="11"/>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11.5  </w:t>
              </w:r>
              <w:r>
                <w:rPr>
                  <w:rFonts w:ascii="Arial" w:cs="Arial" w:eastAsia="Arial" w:hAnsi="Arial"/>
                  <w:sz w:val="22"/>
                  <w:szCs w:val="22"/>
                  <w:u w:val="single" w:color="auto"/>
                  <w:color w:val="0563C1"/>
                </w:rPr>
                <w:t>Limitation on Liability.</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58</w:t>
              </w:r>
            </w:hyperlink>
          </w:p>
        </w:tc>
      </w:tr>
      <w:tr>
        <w:trPr>
          <w:trHeight w:val="493"/>
        </w:trPr>
        <w:tc>
          <w:tcPr>
            <w:tcW w:w="13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11.6</w:t>
              </w:r>
            </w:hyperlink>
          </w:p>
        </w:tc>
        <w:tc>
          <w:tcPr>
            <w:tcW w:w="7000" w:type="dxa"/>
            <w:vAlign w:val="bottom"/>
            <w:gridSpan w:val="10"/>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Entire Agreement.</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58</w:t>
              </w:r>
            </w:hyperlink>
          </w:p>
        </w:tc>
      </w:tr>
      <w:tr>
        <w:trPr>
          <w:trHeight w:val="544"/>
        </w:trPr>
        <w:tc>
          <w:tcPr>
            <w:tcW w:w="8300" w:type="dxa"/>
            <w:vAlign w:val="bottom"/>
            <w:gridSpan w:val="11"/>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12 DISSOLUTION, LIQUIDATION AND TERMINATION</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58</w:t>
              </w:r>
            </w:hyperlink>
          </w:p>
        </w:tc>
      </w:tr>
      <w:tr>
        <w:trPr>
          <w:trHeight w:val="463"/>
        </w:trPr>
        <w:tc>
          <w:tcPr>
            <w:tcW w:w="13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12.1</w:t>
              </w:r>
            </w:hyperlink>
          </w:p>
        </w:tc>
        <w:tc>
          <w:tcPr>
            <w:tcW w:w="1060" w:type="dxa"/>
            <w:vAlign w:val="bottom"/>
            <w:tcBorders>
              <w:bottom w:val="single" w:sz="8" w:color="0563C1"/>
            </w:tcBorders>
            <w:gridSpan w:val="3"/>
          </w:tcPr>
          <w:p>
            <w:pPr>
              <w:spacing w:after="0"/>
              <w:rPr>
                <w:rFonts w:ascii="Arial" w:cs="Arial" w:eastAsia="Arial" w:hAnsi="Arial"/>
                <w:sz w:val="22"/>
                <w:szCs w:val="22"/>
                <w:color w:val="0563C1"/>
                <w:w w:val="91"/>
              </w:rPr>
            </w:pPr>
            <w:hyperlink w:anchor="page261">
              <w:r>
                <w:rPr>
                  <w:rFonts w:ascii="Arial" w:cs="Arial" w:eastAsia="Arial" w:hAnsi="Arial"/>
                  <w:sz w:val="22"/>
                  <w:szCs w:val="22"/>
                  <w:color w:val="0563C1"/>
                  <w:w w:val="91"/>
                </w:rPr>
                <w:t>Dissolution.</w:t>
              </w:r>
            </w:hyperlink>
          </w:p>
        </w:tc>
        <w:tc>
          <w:tcPr>
            <w:tcW w:w="5940" w:type="dxa"/>
            <w:vAlign w:val="bottom"/>
            <w:gridSpan w:val="7"/>
          </w:tcPr>
          <w:p>
            <w:pPr>
              <w:spacing w:after="0"/>
              <w:rPr>
                <w:sz w:val="24"/>
                <w:szCs w:val="24"/>
                <w:color w:val="auto"/>
              </w:rPr>
            </w:pPr>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58</w:t>
              </w:r>
            </w:hyperlink>
          </w:p>
        </w:tc>
      </w:tr>
      <w:tr>
        <w:trPr>
          <w:trHeight w:val="493"/>
        </w:trPr>
        <w:tc>
          <w:tcPr>
            <w:tcW w:w="8300" w:type="dxa"/>
            <w:vAlign w:val="bottom"/>
            <w:gridSpan w:val="11"/>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12.2  </w:t>
              </w:r>
              <w:r>
                <w:rPr>
                  <w:rFonts w:ascii="Arial" w:cs="Arial" w:eastAsia="Arial" w:hAnsi="Arial"/>
                  <w:sz w:val="22"/>
                  <w:szCs w:val="22"/>
                  <w:u w:val="single" w:color="auto"/>
                  <w:color w:val="0563C1"/>
                </w:rPr>
                <w:t>Liquidation and Termination.</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59</w:t>
              </w:r>
            </w:hyperlink>
          </w:p>
        </w:tc>
      </w:tr>
      <w:tr>
        <w:trPr>
          <w:trHeight w:val="20"/>
        </w:trPr>
        <w:tc>
          <w:tcPr>
            <w:tcW w:w="1300" w:type="dxa"/>
            <w:vAlign w:val="bottom"/>
            <w:shd w:val="clear" w:color="auto" w:fill="0563C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93"/>
        </w:trPr>
        <w:tc>
          <w:tcPr>
            <w:tcW w:w="8300" w:type="dxa"/>
            <w:vAlign w:val="bottom"/>
            <w:gridSpan w:val="11"/>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12.3  </w:t>
              </w:r>
              <w:r>
                <w:rPr>
                  <w:rFonts w:ascii="Arial" w:cs="Arial" w:eastAsia="Arial" w:hAnsi="Arial"/>
                  <w:sz w:val="22"/>
                  <w:szCs w:val="22"/>
                  <w:u w:val="single" w:color="auto"/>
                  <w:color w:val="0563C1"/>
                </w:rPr>
                <w:t>Deficit Capital Accounts.</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60</w:t>
              </w:r>
            </w:hyperlink>
          </w:p>
        </w:tc>
      </w:tr>
      <w:tr>
        <w:trPr>
          <w:trHeight w:val="493"/>
        </w:trPr>
        <w:tc>
          <w:tcPr>
            <w:tcW w:w="13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12.4</w:t>
              </w:r>
            </w:hyperlink>
          </w:p>
        </w:tc>
        <w:tc>
          <w:tcPr>
            <w:tcW w:w="1120" w:type="dxa"/>
            <w:vAlign w:val="bottom"/>
            <w:tcBorders>
              <w:bottom w:val="single" w:sz="8" w:color="0563C1"/>
            </w:tcBorders>
            <w:gridSpan w:val="4"/>
          </w:tcPr>
          <w:p>
            <w:pPr>
              <w:spacing w:after="0"/>
              <w:rPr>
                <w:rFonts w:ascii="Arial" w:cs="Arial" w:eastAsia="Arial" w:hAnsi="Arial"/>
                <w:sz w:val="22"/>
                <w:szCs w:val="22"/>
                <w:color w:val="0563C1"/>
                <w:w w:val="89"/>
              </w:rPr>
            </w:pPr>
            <w:hyperlink w:anchor="page261">
              <w:r>
                <w:rPr>
                  <w:rFonts w:ascii="Arial" w:cs="Arial" w:eastAsia="Arial" w:hAnsi="Arial"/>
                  <w:sz w:val="22"/>
                  <w:szCs w:val="22"/>
                  <w:color w:val="0563C1"/>
                  <w:w w:val="89"/>
                </w:rPr>
                <w:t>Termination.</w:t>
              </w:r>
            </w:hyperlink>
          </w:p>
        </w:tc>
        <w:tc>
          <w:tcPr>
            <w:tcW w:w="5880" w:type="dxa"/>
            <w:vAlign w:val="bottom"/>
            <w:gridSpan w:val="6"/>
          </w:tcPr>
          <w:p>
            <w:pPr>
              <w:spacing w:after="0"/>
              <w:rPr>
                <w:sz w:val="24"/>
                <w:szCs w:val="24"/>
                <w:color w:val="auto"/>
              </w:rPr>
            </w:pPr>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60</w:t>
              </w:r>
            </w:hyperlink>
          </w:p>
        </w:tc>
      </w:tr>
      <w:tr>
        <w:trPr>
          <w:trHeight w:val="544"/>
        </w:trPr>
        <w:tc>
          <w:tcPr>
            <w:tcW w:w="8300" w:type="dxa"/>
            <w:vAlign w:val="bottom"/>
            <w:gridSpan w:val="11"/>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ARTICLE 13 GENERAL PROVISIONS</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61</w:t>
              </w:r>
            </w:hyperlink>
          </w:p>
        </w:tc>
      </w:tr>
      <w:tr>
        <w:trPr>
          <w:trHeight w:val="462"/>
        </w:trPr>
        <w:tc>
          <w:tcPr>
            <w:tcW w:w="13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13.1</w:t>
              </w:r>
            </w:hyperlink>
          </w:p>
        </w:tc>
        <w:tc>
          <w:tcPr>
            <w:tcW w:w="600" w:type="dxa"/>
            <w:vAlign w:val="bottom"/>
            <w:tcBorders>
              <w:bottom w:val="single" w:sz="8" w:color="0563C1"/>
            </w:tcBorders>
          </w:tcPr>
          <w:p>
            <w:pPr>
              <w:spacing w:after="0"/>
              <w:rPr>
                <w:rFonts w:ascii="Arial" w:cs="Arial" w:eastAsia="Arial" w:hAnsi="Arial"/>
                <w:sz w:val="22"/>
                <w:szCs w:val="22"/>
                <w:color w:val="0563C1"/>
                <w:w w:val="89"/>
              </w:rPr>
            </w:pPr>
            <w:hyperlink w:anchor="page261">
              <w:r>
                <w:rPr>
                  <w:rFonts w:ascii="Arial" w:cs="Arial" w:eastAsia="Arial" w:hAnsi="Arial"/>
                  <w:sz w:val="22"/>
                  <w:szCs w:val="22"/>
                  <w:color w:val="0563C1"/>
                  <w:w w:val="89"/>
                </w:rPr>
                <w:t>Offset.</w:t>
              </w:r>
            </w:hyperlink>
          </w:p>
        </w:tc>
        <w:tc>
          <w:tcPr>
            <w:tcW w:w="6400" w:type="dxa"/>
            <w:vAlign w:val="bottom"/>
            <w:gridSpan w:val="9"/>
          </w:tcPr>
          <w:p>
            <w:pPr>
              <w:spacing w:after="0"/>
              <w:rPr>
                <w:sz w:val="24"/>
                <w:szCs w:val="24"/>
                <w:color w:val="auto"/>
              </w:rPr>
            </w:pPr>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61</w:t>
              </w:r>
            </w:hyperlink>
          </w:p>
        </w:tc>
      </w:tr>
      <w:tr>
        <w:trPr>
          <w:trHeight w:val="493"/>
        </w:trPr>
        <w:tc>
          <w:tcPr>
            <w:tcW w:w="13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13.2</w:t>
              </w:r>
            </w:hyperlink>
          </w:p>
        </w:tc>
        <w:tc>
          <w:tcPr>
            <w:tcW w:w="720" w:type="dxa"/>
            <w:vAlign w:val="bottom"/>
            <w:tcBorders>
              <w:bottom w:val="single" w:sz="8" w:color="0563C1"/>
            </w:tcBorders>
            <w:gridSpan w:val="2"/>
          </w:tcPr>
          <w:p>
            <w:pPr>
              <w:spacing w:after="0"/>
              <w:rPr>
                <w:rFonts w:ascii="Arial" w:cs="Arial" w:eastAsia="Arial" w:hAnsi="Arial"/>
                <w:sz w:val="22"/>
                <w:szCs w:val="22"/>
                <w:color w:val="0563C1"/>
                <w:w w:val="88"/>
              </w:rPr>
            </w:pPr>
            <w:hyperlink w:anchor="page261">
              <w:r>
                <w:rPr>
                  <w:rFonts w:ascii="Arial" w:cs="Arial" w:eastAsia="Arial" w:hAnsi="Arial"/>
                  <w:sz w:val="22"/>
                  <w:szCs w:val="22"/>
                  <w:color w:val="0563C1"/>
                  <w:w w:val="88"/>
                </w:rPr>
                <w:t>Notices.</w:t>
              </w:r>
            </w:hyperlink>
          </w:p>
        </w:tc>
        <w:tc>
          <w:tcPr>
            <w:tcW w:w="6280" w:type="dxa"/>
            <w:vAlign w:val="bottom"/>
            <w:gridSpan w:val="8"/>
          </w:tcPr>
          <w:p>
            <w:pPr>
              <w:spacing w:after="0"/>
              <w:rPr>
                <w:sz w:val="24"/>
                <w:szCs w:val="24"/>
                <w:color w:val="auto"/>
              </w:rPr>
            </w:pPr>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61</w:t>
              </w:r>
            </w:hyperlink>
          </w:p>
        </w:tc>
      </w:tr>
      <w:tr>
        <w:trPr>
          <w:trHeight w:val="493"/>
        </w:trPr>
        <w:tc>
          <w:tcPr>
            <w:tcW w:w="13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13.3</w:t>
              </w:r>
            </w:hyperlink>
          </w:p>
        </w:tc>
        <w:tc>
          <w:tcPr>
            <w:tcW w:w="7000" w:type="dxa"/>
            <w:vAlign w:val="bottom"/>
            <w:gridSpan w:val="10"/>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Counterparts.</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61</w:t>
              </w:r>
            </w:hyperlink>
          </w:p>
        </w:tc>
      </w:tr>
      <w:tr>
        <w:trPr>
          <w:trHeight w:val="493"/>
        </w:trPr>
        <w:tc>
          <w:tcPr>
            <w:tcW w:w="8300" w:type="dxa"/>
            <w:vAlign w:val="bottom"/>
            <w:gridSpan w:val="11"/>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 xml:space="preserve">Section 13.4  </w:t>
              </w:r>
              <w:r>
                <w:rPr>
                  <w:rFonts w:ascii="Arial" w:cs="Arial" w:eastAsia="Arial" w:hAnsi="Arial"/>
                  <w:sz w:val="22"/>
                  <w:szCs w:val="22"/>
                  <w:u w:val="single" w:color="auto"/>
                  <w:color w:val="0563C1"/>
                </w:rPr>
                <w:t>Governing Law and Severability.</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61</w:t>
              </w:r>
            </w:hyperlink>
          </w:p>
        </w:tc>
      </w:tr>
      <w:tr>
        <w:trPr>
          <w:trHeight w:val="493"/>
        </w:trPr>
        <w:tc>
          <w:tcPr>
            <w:tcW w:w="13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13.5</w:t>
              </w:r>
            </w:hyperlink>
          </w:p>
        </w:tc>
        <w:tc>
          <w:tcPr>
            <w:tcW w:w="7000" w:type="dxa"/>
            <w:vAlign w:val="bottom"/>
            <w:gridSpan w:val="10"/>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Entire Agreement.</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61</w:t>
              </w:r>
            </w:hyperlink>
          </w:p>
        </w:tc>
      </w:tr>
      <w:tr>
        <w:trPr>
          <w:trHeight w:val="493"/>
        </w:trPr>
        <w:tc>
          <w:tcPr>
            <w:tcW w:w="8300" w:type="dxa"/>
            <w:vAlign w:val="bottom"/>
            <w:gridSpan w:val="11"/>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13.6  Effect of Waiver or Consent.</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62</w:t>
              </w:r>
            </w:hyperlink>
          </w:p>
        </w:tc>
      </w:tr>
      <w:tr>
        <w:trPr>
          <w:trHeight w:val="20"/>
        </w:trPr>
        <w:tc>
          <w:tcPr>
            <w:tcW w:w="2480" w:type="dxa"/>
            <w:vAlign w:val="bottom"/>
            <w:gridSpan w:val="6"/>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93"/>
        </w:trPr>
        <w:tc>
          <w:tcPr>
            <w:tcW w:w="8300" w:type="dxa"/>
            <w:vAlign w:val="bottom"/>
            <w:gridSpan w:val="11"/>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13.7  Amendment or Modification.</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62</w:t>
              </w:r>
            </w:hyperlink>
          </w:p>
        </w:tc>
      </w:tr>
      <w:tr>
        <w:trPr>
          <w:trHeight w:val="493"/>
        </w:trPr>
        <w:tc>
          <w:tcPr>
            <w:tcW w:w="1300" w:type="dxa"/>
            <w:vAlign w:val="bottom"/>
            <w:tcBorders>
              <w:top w:val="single" w:sz="8" w:color="0563C1"/>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13.8</w:t>
              </w:r>
            </w:hyperlink>
          </w:p>
        </w:tc>
        <w:tc>
          <w:tcPr>
            <w:tcW w:w="2540" w:type="dxa"/>
            <w:vAlign w:val="bottom"/>
            <w:tcBorders>
              <w:top w:val="single" w:sz="8" w:color="0563C1"/>
            </w:tcBorders>
            <w:gridSpan w:val="8"/>
          </w:tcPr>
          <w:p>
            <w:pPr>
              <w:spacing w:after="0"/>
              <w:rPr>
                <w:rFonts w:ascii="Arial" w:cs="Arial" w:eastAsia="Arial" w:hAnsi="Arial"/>
                <w:sz w:val="22"/>
                <w:szCs w:val="22"/>
                <w:u w:val="single" w:color="auto"/>
                <w:color w:val="0563C1"/>
              </w:rPr>
            </w:pPr>
            <w:hyperlink w:anchor="page261">
              <w:r>
                <w:rPr>
                  <w:rFonts w:ascii="Arial" w:cs="Arial" w:eastAsia="Arial" w:hAnsi="Arial"/>
                  <w:sz w:val="22"/>
                  <w:szCs w:val="22"/>
                  <w:u w:val="single" w:color="auto"/>
                  <w:color w:val="0563C1"/>
                </w:rPr>
                <w:t>Binding Effect.</w:t>
              </w:r>
            </w:hyperlink>
          </w:p>
        </w:tc>
        <w:tc>
          <w:tcPr>
            <w:tcW w:w="4460" w:type="dxa"/>
            <w:vAlign w:val="bottom"/>
            <w:gridSpan w:val="2"/>
          </w:tcPr>
          <w:p>
            <w:pPr>
              <w:spacing w:after="0"/>
              <w:rPr>
                <w:sz w:val="24"/>
                <w:szCs w:val="24"/>
                <w:color w:val="auto"/>
              </w:rPr>
            </w:pPr>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62</w:t>
              </w:r>
            </w:hyperlink>
          </w:p>
        </w:tc>
      </w:tr>
      <w:tr>
        <w:trPr>
          <w:trHeight w:val="493"/>
        </w:trPr>
        <w:tc>
          <w:tcPr>
            <w:tcW w:w="1300" w:type="dxa"/>
            <w:vAlign w:val="bottom"/>
            <w:tcBorders>
              <w:bottom w:val="single" w:sz="8" w:color="0563C1"/>
            </w:tcBorders>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13.9</w:t>
              </w:r>
            </w:hyperlink>
          </w:p>
        </w:tc>
        <w:tc>
          <w:tcPr>
            <w:tcW w:w="1740" w:type="dxa"/>
            <w:vAlign w:val="bottom"/>
            <w:tcBorders>
              <w:bottom w:val="single" w:sz="8" w:color="0563C1"/>
            </w:tcBorders>
            <w:gridSpan w:val="6"/>
          </w:tcPr>
          <w:p>
            <w:pPr>
              <w:spacing w:after="0"/>
              <w:rPr>
                <w:rFonts w:ascii="Arial" w:cs="Arial" w:eastAsia="Arial" w:hAnsi="Arial"/>
                <w:sz w:val="22"/>
                <w:szCs w:val="22"/>
                <w:color w:val="0563C1"/>
                <w:w w:val="86"/>
              </w:rPr>
            </w:pPr>
            <w:hyperlink w:anchor="page261">
              <w:r>
                <w:rPr>
                  <w:rFonts w:ascii="Arial" w:cs="Arial" w:eastAsia="Arial" w:hAnsi="Arial"/>
                  <w:sz w:val="22"/>
                  <w:szCs w:val="22"/>
                  <w:color w:val="0563C1"/>
                  <w:w w:val="86"/>
                </w:rPr>
                <w:t>Further Assurances.</w:t>
              </w:r>
            </w:hyperlink>
          </w:p>
        </w:tc>
        <w:tc>
          <w:tcPr>
            <w:tcW w:w="5260" w:type="dxa"/>
            <w:vAlign w:val="bottom"/>
            <w:gridSpan w:val="4"/>
          </w:tcPr>
          <w:p>
            <w:pPr>
              <w:spacing w:after="0"/>
              <w:rPr>
                <w:sz w:val="24"/>
                <w:szCs w:val="24"/>
                <w:color w:val="auto"/>
              </w:rPr>
            </w:pPr>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62</w:t>
              </w:r>
            </w:hyperlink>
          </w:p>
        </w:tc>
      </w:tr>
      <w:tr>
        <w:trPr>
          <w:trHeight w:val="493"/>
        </w:trPr>
        <w:tc>
          <w:tcPr>
            <w:tcW w:w="1300" w:type="dxa"/>
            <w:vAlign w:val="bottom"/>
            <w:tcBorders>
              <w:bottom w:val="single" w:sz="8" w:color="0563C1"/>
            </w:tcBorders>
          </w:tcPr>
          <w:p>
            <w:pPr>
              <w:spacing w:after="0"/>
              <w:rPr>
                <w:rFonts w:ascii="Arial" w:cs="Arial" w:eastAsia="Arial" w:hAnsi="Arial"/>
                <w:sz w:val="22"/>
                <w:szCs w:val="22"/>
                <w:color w:val="0563C1"/>
                <w:w w:val="95"/>
              </w:rPr>
            </w:pPr>
            <w:hyperlink w:anchor="page261">
              <w:r>
                <w:rPr>
                  <w:rFonts w:ascii="Arial" w:cs="Arial" w:eastAsia="Arial" w:hAnsi="Arial"/>
                  <w:sz w:val="22"/>
                  <w:szCs w:val="22"/>
                  <w:color w:val="0563C1"/>
                  <w:w w:val="95"/>
                </w:rPr>
                <w:t>Section 13.10</w:t>
              </w:r>
            </w:hyperlink>
          </w:p>
        </w:tc>
        <w:tc>
          <w:tcPr>
            <w:tcW w:w="1180" w:type="dxa"/>
            <w:vAlign w:val="bottom"/>
            <w:tcBorders>
              <w:bottom w:val="single" w:sz="8" w:color="0563C1"/>
            </w:tcBorders>
            <w:gridSpan w:val="5"/>
          </w:tcPr>
          <w:p>
            <w:pPr>
              <w:ind w:left="120"/>
              <w:spacing w:after="0"/>
              <w:rPr>
                <w:rFonts w:ascii="Arial" w:cs="Arial" w:eastAsia="Arial" w:hAnsi="Arial"/>
                <w:sz w:val="22"/>
                <w:szCs w:val="22"/>
                <w:color w:val="0563C1"/>
                <w:w w:val="89"/>
              </w:rPr>
            </w:pPr>
            <w:hyperlink w:anchor="page261">
              <w:r>
                <w:rPr>
                  <w:rFonts w:ascii="Arial" w:cs="Arial" w:eastAsia="Arial" w:hAnsi="Arial"/>
                  <w:sz w:val="22"/>
                  <w:szCs w:val="22"/>
                  <w:color w:val="0563C1"/>
                  <w:w w:val="89"/>
                </w:rPr>
                <w:t>Jurisdiction.</w:t>
              </w:r>
            </w:hyperlink>
          </w:p>
        </w:tc>
        <w:tc>
          <w:tcPr>
            <w:tcW w:w="5820" w:type="dxa"/>
            <w:vAlign w:val="bottom"/>
            <w:gridSpan w:val="5"/>
          </w:tcPr>
          <w:p>
            <w:pPr>
              <w:spacing w:after="0"/>
              <w:rPr>
                <w:sz w:val="24"/>
                <w:szCs w:val="24"/>
                <w:color w:val="auto"/>
              </w:rPr>
            </w:pPr>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62</w:t>
              </w:r>
            </w:hyperlink>
          </w:p>
        </w:tc>
      </w:tr>
      <w:tr>
        <w:trPr>
          <w:trHeight w:val="493"/>
        </w:trPr>
        <w:tc>
          <w:tcPr>
            <w:tcW w:w="8300" w:type="dxa"/>
            <w:vAlign w:val="bottom"/>
            <w:gridSpan w:val="11"/>
          </w:tcPr>
          <w:p>
            <w:pPr>
              <w:spacing w:after="0"/>
              <w:rPr>
                <w:rFonts w:ascii="Arial" w:cs="Arial" w:eastAsia="Arial" w:hAnsi="Arial"/>
                <w:sz w:val="22"/>
                <w:szCs w:val="22"/>
                <w:color w:val="0563C1"/>
              </w:rPr>
            </w:pPr>
            <w:hyperlink w:anchor="page261">
              <w:r>
                <w:rPr>
                  <w:rFonts w:ascii="Arial" w:cs="Arial" w:eastAsia="Arial" w:hAnsi="Arial"/>
                  <w:sz w:val="22"/>
                  <w:szCs w:val="22"/>
                  <w:color w:val="0563C1"/>
                </w:rPr>
                <w:t>Section 13.11  LIMITATION ON LIABILITY.</w:t>
              </w:r>
            </w:hyperlink>
          </w:p>
        </w:tc>
        <w:tc>
          <w:tcPr>
            <w:tcW w:w="2300" w:type="dxa"/>
            <w:vAlign w:val="bottom"/>
          </w:tcPr>
          <w:p>
            <w:pPr>
              <w:jc w:val="right"/>
              <w:spacing w:after="0"/>
              <w:rPr>
                <w:rFonts w:ascii="Arial" w:cs="Arial" w:eastAsia="Arial" w:hAnsi="Arial"/>
                <w:sz w:val="22"/>
                <w:szCs w:val="22"/>
                <w:u w:val="single" w:color="auto"/>
                <w:color w:val="auto"/>
              </w:rPr>
            </w:pPr>
            <w:hyperlink w:anchor="page261">
              <w:r>
                <w:rPr>
                  <w:rFonts w:ascii="Arial" w:cs="Arial" w:eastAsia="Arial" w:hAnsi="Arial"/>
                  <w:sz w:val="22"/>
                  <w:szCs w:val="22"/>
                  <w:u w:val="single" w:color="auto"/>
                  <w:color w:val="auto"/>
                </w:rPr>
                <w:t>62</w:t>
              </w:r>
            </w:hyperlink>
          </w:p>
        </w:tc>
      </w:tr>
      <w:tr>
        <w:trPr>
          <w:trHeight w:val="20"/>
        </w:trPr>
        <w:tc>
          <w:tcPr>
            <w:tcW w:w="130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ectPr>
          <w:pgSz w:w="11900" w:h="16838" w:orient="portrait"/>
          <w:cols w:equalWidth="0" w:num="1">
            <w:col w:w="10600"/>
          </w:cols>
          <w:pgMar w:left="340" w:top="1440" w:right="959" w:bottom="1440" w:gutter="0" w:footer="0" w:header="0"/>
        </w:sectPr>
      </w:pPr>
    </w:p>
    <w:bookmarkStart w:id="260" w:name="page261"/>
    <w:bookmarkEnd w:id="260"/>
    <w:p>
      <w:pPr>
        <w:spacing w:after="0"/>
        <w:rPr>
          <w:sz w:val="20"/>
          <w:szCs w:val="20"/>
          <w:color w:val="auto"/>
        </w:rPr>
      </w:pPr>
      <w:r>
        <w:rPr>
          <w:rFonts w:ascii="Arial" w:cs="Arial" w:eastAsia="Arial" w:hAnsi="Arial"/>
          <w:sz w:val="21"/>
          <w:szCs w:val="21"/>
          <w:u w:val="single" w:color="auto"/>
          <w:color w:val="auto"/>
        </w:rPr>
        <w:t>ANNEXES, SCHEDULES AND EXHIBITS</w:t>
      </w:r>
      <w:r>
        <w:rPr>
          <w:rFonts w:ascii="Arial" w:cs="Arial" w:eastAsia="Arial" w:hAnsi="Arial"/>
          <w:sz w:val="21"/>
          <w:szCs w:val="21"/>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28" w:right="1440" w:bottom="1440" w:gutter="0" w:footer="0" w:header="0"/>
        </w:sectPr>
      </w:pPr>
    </w:p>
    <w:bookmarkStart w:id="261" w:name="page262"/>
    <w:bookmarkEnd w:id="261"/>
    <w:p>
      <w:pPr>
        <w:jc w:val="center"/>
        <w:spacing w:after="0"/>
        <w:rPr>
          <w:sz w:val="20"/>
          <w:szCs w:val="20"/>
          <w:color w:val="auto"/>
        </w:rPr>
      </w:pPr>
      <w:r>
        <w:rPr>
          <w:rFonts w:ascii="Arial" w:cs="Arial" w:eastAsia="Arial" w:hAnsi="Arial"/>
          <w:sz w:val="22"/>
          <w:szCs w:val="22"/>
          <w:b w:val="1"/>
          <w:bCs w:val="1"/>
          <w:color w:val="auto"/>
        </w:rPr>
        <w:t>SECOND AMENDED AND RESTATED LIMITED LIABILITY COMPANY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PINNACLE REPOWERING PARTNERSHIP LLC</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SECOND AMENDED AND RESTATED LIMITED LIABILITY COMPANY AGREEMENT OF PINNACLE REPOWERING PARTNERSHIP LLC, dated as of February 26, 2021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by and between CWEN Pinnacle Repowering Holdco LLC, a Delaware limited liability company (the “</w:t>
      </w:r>
      <w:r>
        <w:rPr>
          <w:rFonts w:ascii="Arial" w:cs="Arial" w:eastAsia="Arial" w:hAnsi="Arial"/>
          <w:sz w:val="22"/>
          <w:szCs w:val="22"/>
          <w:b w:val="1"/>
          <w:bCs w:val="1"/>
          <w:color w:val="auto"/>
        </w:rPr>
        <w:t>Initial Class A Member</w:t>
      </w:r>
      <w:r>
        <w:rPr>
          <w:rFonts w:ascii="Arial" w:cs="Arial" w:eastAsia="Arial" w:hAnsi="Arial"/>
          <w:sz w:val="22"/>
          <w:szCs w:val="22"/>
          <w:color w:val="auto"/>
        </w:rPr>
        <w:t>”), as a Class A Member, and CWSP Pinnacle Holding LLC, a Delaware limited liability company (the “</w:t>
      </w:r>
      <w:r>
        <w:rPr>
          <w:rFonts w:ascii="Arial" w:cs="Arial" w:eastAsia="Arial" w:hAnsi="Arial"/>
          <w:sz w:val="22"/>
          <w:szCs w:val="22"/>
          <w:b w:val="1"/>
          <w:bCs w:val="1"/>
          <w:color w:val="auto"/>
        </w:rPr>
        <w:t>Initial Class B Member</w:t>
      </w:r>
      <w:r>
        <w:rPr>
          <w:rFonts w:ascii="Arial" w:cs="Arial" w:eastAsia="Arial" w:hAnsi="Arial"/>
          <w:sz w:val="22"/>
          <w:szCs w:val="22"/>
          <w:color w:val="auto"/>
        </w:rPr>
        <w:t>”), as a Class B Member, and amends and restates in its entirety that certain Limited Liability Company Agreement of Pinnacle Repowering Partnership LLC, dated as of April 17, 2020, by and between the Initial Class A Member and the Initial Class B Member (the “</w:t>
      </w:r>
      <w:r>
        <w:rPr>
          <w:rFonts w:ascii="Arial" w:cs="Arial" w:eastAsia="Arial" w:hAnsi="Arial"/>
          <w:sz w:val="22"/>
          <w:szCs w:val="22"/>
          <w:b w:val="1"/>
          <w:bCs w:val="1"/>
          <w:color w:val="auto"/>
        </w:rPr>
        <w:t>Original LLC Agreement</w:t>
      </w:r>
      <w:r>
        <w:rPr>
          <w:rFonts w:ascii="Arial" w:cs="Arial" w:eastAsia="Arial" w:hAnsi="Arial"/>
          <w:sz w:val="22"/>
          <w:szCs w:val="22"/>
          <w:color w:val="auto"/>
        </w:rPr>
        <w:t>”). Capitalized terms used herein shall have the meanings assigned to them in Section 1.1 hereof.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9" w:lineRule="exact"/>
        <w:rPr>
          <w:sz w:val="20"/>
          <w:szCs w:val="20"/>
          <w:color w:val="auto"/>
        </w:rPr>
      </w:pPr>
    </w:p>
    <w:p>
      <w:pPr>
        <w:jc w:val="both"/>
        <w:ind w:firstLine="656"/>
        <w:spacing w:after="0" w:line="249" w:lineRule="auto"/>
        <w:tabs>
          <w:tab w:leader="none" w:pos="1155" w:val="left"/>
        </w:tabs>
        <w:numPr>
          <w:ilvl w:val="1"/>
          <w:numId w:val="292"/>
        </w:numPr>
        <w:rPr>
          <w:rFonts w:ascii="Arial" w:cs="Arial" w:eastAsia="Arial" w:hAnsi="Arial"/>
          <w:sz w:val="22"/>
          <w:szCs w:val="22"/>
          <w:color w:val="auto"/>
        </w:rPr>
      </w:pPr>
      <w:r>
        <w:rPr>
          <w:rFonts w:ascii="Arial" w:cs="Arial" w:eastAsia="Arial" w:hAnsi="Arial"/>
          <w:sz w:val="22"/>
          <w:szCs w:val="22"/>
          <w:color w:val="auto"/>
        </w:rPr>
        <w:t>PINNACLE REPOWERING PARTNERSHIP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was formed pursuant to the Act on February 7, 2020, by virtue of its Certificate of Formation (the “</w:t>
      </w:r>
      <w:r>
        <w:rPr>
          <w:rFonts w:ascii="Arial" w:cs="Arial" w:eastAsia="Arial" w:hAnsi="Arial"/>
          <w:sz w:val="22"/>
          <w:szCs w:val="22"/>
          <w:b w:val="1"/>
          <w:bCs w:val="1"/>
          <w:color w:val="auto"/>
        </w:rPr>
        <w:t>Delaware Certificate</w:t>
      </w:r>
      <w:r>
        <w:rPr>
          <w:rFonts w:ascii="Arial" w:cs="Arial" w:eastAsia="Arial" w:hAnsi="Arial"/>
          <w:sz w:val="22"/>
          <w:szCs w:val="22"/>
          <w:color w:val="auto"/>
        </w:rPr>
        <w:t>”) filed with the Secretary of State of the State of Delaware. From its formation until the date of the Original LLC Agreement, the Company was governed by that Limited Liability Company Agreement of the Company, dated as of February 7, 2020, which was amended and restated by the Original LLC Agreement.</w:t>
      </w:r>
    </w:p>
    <w:p>
      <w:pPr>
        <w:spacing w:after="0" w:line="151" w:lineRule="exact"/>
        <w:rPr>
          <w:rFonts w:ascii="Arial" w:cs="Arial" w:eastAsia="Arial" w:hAnsi="Arial"/>
          <w:sz w:val="22"/>
          <w:szCs w:val="22"/>
          <w:color w:val="auto"/>
        </w:rPr>
      </w:pPr>
    </w:p>
    <w:p>
      <w:pPr>
        <w:ind w:right="20" w:firstLine="656"/>
        <w:spacing w:after="0" w:line="263" w:lineRule="auto"/>
        <w:tabs>
          <w:tab w:leader="none" w:pos="116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The Company owns 100% of the equity interests in Pinnacle Repowering Partnership Holdco, LLC, a Delaware limited liability company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41" w:lineRule="exact"/>
        <w:rPr>
          <w:rFonts w:ascii="Arial" w:cs="Arial" w:eastAsia="Arial" w:hAnsi="Arial"/>
          <w:sz w:val="22"/>
          <w:szCs w:val="22"/>
          <w:color w:val="auto"/>
        </w:rPr>
      </w:pPr>
    </w:p>
    <w:p>
      <w:pPr>
        <w:ind w:firstLine="656"/>
        <w:spacing w:after="0" w:line="269" w:lineRule="auto"/>
        <w:tabs>
          <w:tab w:leader="none" w:pos="1197" w:val="left"/>
        </w:tabs>
        <w:numPr>
          <w:ilvl w:val="1"/>
          <w:numId w:val="292"/>
        </w:numPr>
        <w:rPr>
          <w:rFonts w:ascii="Arial" w:cs="Arial" w:eastAsia="Arial" w:hAnsi="Arial"/>
          <w:sz w:val="22"/>
          <w:szCs w:val="22"/>
          <w:color w:val="auto"/>
        </w:rPr>
      </w:pPr>
      <w:r>
        <w:rPr>
          <w:rFonts w:ascii="Arial" w:cs="Arial" w:eastAsia="Arial" w:hAnsi="Arial"/>
          <w:sz w:val="22"/>
          <w:szCs w:val="22"/>
          <w:color w:val="auto"/>
        </w:rPr>
        <w:t>The Borrower owns 100% of the equity interests in Pinnacle Repowering Tax Equity Holdco LLC (“</w:t>
      </w:r>
      <w:r>
        <w:rPr>
          <w:rFonts w:ascii="Arial" w:cs="Arial" w:eastAsia="Arial" w:hAnsi="Arial"/>
          <w:sz w:val="22"/>
          <w:szCs w:val="22"/>
          <w:b w:val="1"/>
          <w:bCs w:val="1"/>
          <w:color w:val="auto"/>
        </w:rPr>
        <w:t>Pinnacle</w:t>
      </w:r>
      <w:r>
        <w:rPr>
          <w:rFonts w:ascii="Arial" w:cs="Arial" w:eastAsia="Arial" w:hAnsi="Arial"/>
          <w:sz w:val="22"/>
          <w:szCs w:val="22"/>
          <w:color w:val="auto"/>
        </w:rPr>
        <w:t xml:space="preserve"> </w:t>
      </w:r>
      <w:r>
        <w:rPr>
          <w:rFonts w:ascii="Arial" w:cs="Arial" w:eastAsia="Arial" w:hAnsi="Arial"/>
          <w:sz w:val="22"/>
          <w:szCs w:val="22"/>
          <w:b w:val="1"/>
          <w:bCs w:val="1"/>
          <w:color w:val="auto"/>
        </w:rPr>
        <w:t>Holdco</w:t>
      </w:r>
      <w:r>
        <w:rPr>
          <w:rFonts w:ascii="Arial" w:cs="Arial" w:eastAsia="Arial" w:hAnsi="Arial"/>
          <w:sz w:val="22"/>
          <w:szCs w:val="22"/>
          <w:color w:val="auto"/>
        </w:rPr>
        <w:t>”), a Delaware limited liability company.</w:t>
      </w:r>
    </w:p>
    <w:p>
      <w:pPr>
        <w:spacing w:after="0" w:line="121" w:lineRule="exact"/>
        <w:rPr>
          <w:rFonts w:ascii="Arial" w:cs="Arial" w:eastAsia="Arial" w:hAnsi="Arial"/>
          <w:sz w:val="22"/>
          <w:szCs w:val="22"/>
          <w:color w:val="auto"/>
        </w:rPr>
      </w:pPr>
    </w:p>
    <w:p>
      <w:pPr>
        <w:jc w:val="both"/>
        <w:ind w:firstLine="656"/>
        <w:spacing w:after="0" w:line="249" w:lineRule="auto"/>
        <w:tabs>
          <w:tab w:leader="none" w:pos="1224" w:val="left"/>
        </w:tabs>
        <w:numPr>
          <w:ilvl w:val="1"/>
          <w:numId w:val="292"/>
        </w:numPr>
        <w:rPr>
          <w:rFonts w:ascii="Arial" w:cs="Arial" w:eastAsia="Arial" w:hAnsi="Arial"/>
          <w:sz w:val="22"/>
          <w:szCs w:val="22"/>
          <w:color w:val="auto"/>
        </w:rPr>
      </w:pPr>
      <w:r>
        <w:rPr>
          <w:rFonts w:ascii="Arial" w:cs="Arial" w:eastAsia="Arial" w:hAnsi="Arial"/>
          <w:sz w:val="22"/>
          <w:szCs w:val="22"/>
          <w:color w:val="auto"/>
        </w:rPr>
        <w:t>Clearway Energy Operating LLC, a Delaware limited liability company (the “</w:t>
      </w:r>
      <w:r>
        <w:rPr>
          <w:rFonts w:ascii="Arial" w:cs="Arial" w:eastAsia="Arial" w:hAnsi="Arial"/>
          <w:sz w:val="22"/>
          <w:szCs w:val="22"/>
          <w:b w:val="1"/>
          <w:bCs w:val="1"/>
          <w:color w:val="auto"/>
        </w:rPr>
        <w:t>Class A Member Guarantor</w:t>
      </w:r>
      <w:r>
        <w:rPr>
          <w:rFonts w:ascii="Arial" w:cs="Arial" w:eastAsia="Arial" w:hAnsi="Arial"/>
          <w:sz w:val="22"/>
          <w:szCs w:val="22"/>
          <w:color w:val="auto"/>
        </w:rPr>
        <w:t>”) indirectly owns 100% of the equity interests in (a) the Initial Class A Member and (b) Tapestry Wind, LLC, a Delaware limited liability company (“</w:t>
      </w:r>
      <w:r>
        <w:rPr>
          <w:rFonts w:ascii="Arial" w:cs="Arial" w:eastAsia="Arial" w:hAnsi="Arial"/>
          <w:sz w:val="22"/>
          <w:szCs w:val="22"/>
          <w:b w:val="1"/>
          <w:bCs w:val="1"/>
          <w:color w:val="auto"/>
        </w:rPr>
        <w:t>Tapestry Wind</w:t>
      </w:r>
      <w:r>
        <w:rPr>
          <w:rFonts w:ascii="Arial" w:cs="Arial" w:eastAsia="Arial" w:hAnsi="Arial"/>
          <w:sz w:val="22"/>
          <w:szCs w:val="22"/>
          <w:color w:val="auto"/>
        </w:rPr>
        <w:t>”), which owns 100% of the equity interests in Pinnacle Wind, LLC, a Delaware limited liability company (“</w:t>
      </w:r>
      <w:r>
        <w:rPr>
          <w:rFonts w:ascii="Arial" w:cs="Arial" w:eastAsia="Arial" w:hAnsi="Arial"/>
          <w:sz w:val="22"/>
          <w:szCs w:val="22"/>
          <w:b w:val="1"/>
          <w:bCs w:val="1"/>
          <w:color w:val="auto"/>
        </w:rPr>
        <w:t>Pinnacle Project Company</w:t>
      </w:r>
      <w:r>
        <w:rPr>
          <w:rFonts w:ascii="Arial" w:cs="Arial" w:eastAsia="Arial" w:hAnsi="Arial"/>
          <w:sz w:val="22"/>
          <w:szCs w:val="22"/>
          <w:color w:val="auto"/>
        </w:rPr>
        <w:t>”), which owns, operates and maintains a wind project generating facility described herein as the Pinnacle Project.</w:t>
      </w:r>
    </w:p>
    <w:p>
      <w:pPr>
        <w:spacing w:after="0" w:line="151" w:lineRule="exact"/>
        <w:rPr>
          <w:rFonts w:ascii="Arial" w:cs="Arial" w:eastAsia="Arial" w:hAnsi="Arial"/>
          <w:sz w:val="22"/>
          <w:szCs w:val="22"/>
          <w:color w:val="auto"/>
        </w:rPr>
      </w:pPr>
    </w:p>
    <w:p>
      <w:pPr>
        <w:ind w:left="1060" w:hanging="404"/>
        <w:spacing w:after="0"/>
        <w:tabs>
          <w:tab w:leader="none" w:pos="106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The Company, through its subsidiaries, intends to repower the Pinnacle Project.</w:t>
      </w:r>
    </w:p>
    <w:p>
      <w:pPr>
        <w:spacing w:after="0" w:line="192" w:lineRule="exact"/>
        <w:rPr>
          <w:rFonts w:ascii="Arial" w:cs="Arial" w:eastAsia="Arial" w:hAnsi="Arial"/>
          <w:sz w:val="22"/>
          <w:szCs w:val="22"/>
          <w:color w:val="auto"/>
        </w:rPr>
      </w:pPr>
    </w:p>
    <w:p>
      <w:pPr>
        <w:jc w:val="both"/>
        <w:ind w:firstLine="656"/>
        <w:spacing w:after="0" w:line="312" w:lineRule="auto"/>
        <w:tabs>
          <w:tab w:leader="none" w:pos="1045" w:val="left"/>
        </w:tabs>
        <w:numPr>
          <w:ilvl w:val="1"/>
          <w:numId w:val="292"/>
        </w:numPr>
        <w:rPr>
          <w:rFonts w:ascii="Arial" w:cs="Arial" w:eastAsia="Arial" w:hAnsi="Arial"/>
          <w:sz w:val="19"/>
          <w:szCs w:val="19"/>
          <w:color w:val="auto"/>
        </w:rPr>
      </w:pPr>
      <w:r>
        <w:rPr>
          <w:rFonts w:ascii="Arial" w:cs="Arial" w:eastAsia="Arial" w:hAnsi="Arial"/>
          <w:sz w:val="19"/>
          <w:szCs w:val="19"/>
          <w:color w:val="auto"/>
        </w:rPr>
        <w:t>The Borrower plans to arrange the Repowering Construction Financing for the Pinnacle Project secured by all of the assets of the Borrower, including the Pinnacle Project and the Safe Harbor Equipment. The proceeds of the Repowering Construction Financing will be used to finance the development, construction and repowering of the Pinnacle Project.</w:t>
      </w:r>
    </w:p>
    <w:p>
      <w:pPr>
        <w:spacing w:after="0" w:line="86" w:lineRule="exact"/>
        <w:rPr>
          <w:rFonts w:ascii="Arial" w:cs="Arial" w:eastAsia="Arial" w:hAnsi="Arial"/>
          <w:sz w:val="19"/>
          <w:szCs w:val="19"/>
          <w:color w:val="auto"/>
        </w:rPr>
      </w:pPr>
    </w:p>
    <w:p>
      <w:pPr>
        <w:ind w:firstLine="8"/>
        <w:spacing w:after="0" w:line="269" w:lineRule="auto"/>
        <w:tabs>
          <w:tab w:leader="none" w:pos="525" w:val="left"/>
        </w:tabs>
        <w:numPr>
          <w:ilvl w:val="0"/>
          <w:numId w:val="293"/>
        </w:numPr>
        <w:rPr>
          <w:rFonts w:ascii="Arial" w:cs="Arial" w:eastAsia="Arial" w:hAnsi="Arial"/>
          <w:sz w:val="22"/>
          <w:szCs w:val="22"/>
          <w:color w:val="auto"/>
        </w:rPr>
      </w:pPr>
      <w:r>
        <w:rPr>
          <w:rFonts w:ascii="Arial" w:cs="Arial" w:eastAsia="Arial" w:hAnsi="Arial"/>
          <w:sz w:val="22"/>
          <w:szCs w:val="22"/>
          <w:color w:val="auto"/>
        </w:rPr>
        <w:t>The Borrower expects to enter into a tax equity financing with one or more tax equity investors (collectively, the “</w:t>
      </w:r>
      <w:r>
        <w:rPr>
          <w:rFonts w:ascii="Arial" w:cs="Arial" w:eastAsia="Arial" w:hAnsi="Arial"/>
          <w:sz w:val="22"/>
          <w:szCs w:val="22"/>
          <w:b w:val="1"/>
          <w:bCs w:val="1"/>
          <w:color w:val="auto"/>
        </w:rPr>
        <w:t>Tax</w:t>
      </w:r>
      <w:r>
        <w:rPr>
          <w:rFonts w:ascii="Arial" w:cs="Arial" w:eastAsia="Arial" w:hAnsi="Arial"/>
          <w:sz w:val="22"/>
          <w:szCs w:val="22"/>
          <w:color w:val="auto"/>
        </w:rPr>
        <w:t xml:space="preserve"> </w:t>
      </w:r>
      <w:r>
        <w:rPr>
          <w:rFonts w:ascii="Arial" w:cs="Arial" w:eastAsia="Arial" w:hAnsi="Arial"/>
          <w:sz w:val="22"/>
          <w:szCs w:val="22"/>
          <w:b w:val="1"/>
          <w:bCs w:val="1"/>
          <w:color w:val="auto"/>
        </w:rPr>
        <w:t>Equity Investor</w:t>
      </w:r>
      <w:r>
        <w:rPr>
          <w:rFonts w:ascii="Arial" w:cs="Arial" w:eastAsia="Arial" w:hAnsi="Arial"/>
          <w:sz w:val="22"/>
          <w:szCs w:val="22"/>
          <w:color w:val="auto"/>
        </w:rPr>
        <w:t>”), pursuant to which, on the Tax Equity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4158-2461-8283.6</w:t>
      </w:r>
    </w:p>
    <w:p>
      <w:pPr>
        <w:sectPr>
          <w:pgSz w:w="11900" w:h="16838" w:orient="portrait"/>
          <w:cols w:equalWidth="0" w:num="1">
            <w:col w:w="11240"/>
          </w:cols>
          <w:pgMar w:left="320" w:top="1422" w:right="339" w:bottom="1440" w:gutter="0" w:footer="0" w:header="0"/>
        </w:sectPr>
      </w:pPr>
    </w:p>
    <w:bookmarkStart w:id="262" w:name="page263"/>
    <w:bookmarkEnd w:id="262"/>
    <w:p>
      <w:pPr>
        <w:ind w:right="20"/>
        <w:spacing w:after="0" w:line="263" w:lineRule="auto"/>
        <w:rPr>
          <w:sz w:val="20"/>
          <w:szCs w:val="20"/>
          <w:color w:val="auto"/>
        </w:rPr>
      </w:pPr>
      <w:r>
        <w:rPr>
          <w:rFonts w:ascii="Arial" w:cs="Arial" w:eastAsia="Arial" w:hAnsi="Arial"/>
          <w:sz w:val="22"/>
          <w:szCs w:val="22"/>
          <w:color w:val="auto"/>
        </w:rPr>
        <w:t>Funding Date, the Tax Equity Investor shall make a capital contribution to Pinnacle Holdco and the Borrower shall cause Pinnacle Holdco to issue Class A membership interests to the Tax Equity Investor, [***].</w:t>
      </w:r>
    </w:p>
    <w:p>
      <w:pPr>
        <w:spacing w:after="0" w:line="134" w:lineRule="exact"/>
        <w:rPr>
          <w:sz w:val="20"/>
          <w:szCs w:val="20"/>
          <w:color w:val="auto"/>
        </w:rPr>
      </w:pPr>
    </w:p>
    <w:p>
      <w:pPr>
        <w:ind w:right="20" w:firstLine="656"/>
        <w:spacing w:after="0" w:line="263" w:lineRule="auto"/>
        <w:tabs>
          <w:tab w:leader="none" w:pos="1124"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Members desire to enter into this Agreement to describe their respective rights and obligations as members of the Company.</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premises and the mutual undertakings contained herein, the parties hereto hereby agree to amend and restate the Original LLC Agreement in its entirety,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initially capitalized terms, as and when used in this Agreement, shall have meanings set forth below:</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“Act” </w:t>
      </w:r>
      <w:r>
        <w:rPr>
          <w:rFonts w:ascii="Arial" w:cs="Arial" w:eastAsia="Arial" w:hAnsi="Arial"/>
          <w:sz w:val="22"/>
          <w:szCs w:val="22"/>
          <w:color w:val="auto"/>
        </w:rPr>
        <w:t>means the Delaware Limited Liability Company Act, 6 Del. Code §§18-101 et seq., as amended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successor to such statutes.</w:t>
      </w:r>
    </w:p>
    <w:p>
      <w:pPr>
        <w:spacing w:after="0" w:line="121"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“Additional Repowering Project Document” </w:t>
      </w:r>
      <w:r>
        <w:rPr>
          <w:rFonts w:ascii="Arial" w:cs="Arial" w:eastAsia="Arial" w:hAnsi="Arial"/>
          <w:sz w:val="19"/>
          <w:szCs w:val="19"/>
          <w:color w:val="auto"/>
        </w:rPr>
        <w:t>means, collectively, any Contract (or series of related Contracts) entered</w:t>
      </w:r>
      <w:r>
        <w:rPr>
          <w:rFonts w:ascii="Arial" w:cs="Arial" w:eastAsia="Arial" w:hAnsi="Arial"/>
          <w:sz w:val="19"/>
          <w:szCs w:val="19"/>
          <w:b w:val="1"/>
          <w:bCs w:val="1"/>
          <w:color w:val="auto"/>
        </w:rPr>
        <w:t xml:space="preserve"> </w:t>
      </w:r>
      <w:r>
        <w:rPr>
          <w:rFonts w:ascii="Arial" w:cs="Arial" w:eastAsia="Arial" w:hAnsi="Arial"/>
          <w:sz w:val="19"/>
          <w:szCs w:val="19"/>
          <w:color w:val="auto"/>
        </w:rPr>
        <w:t>into by the Company or Pinnacle Project Company or any other subsidiary of the Company subsequent to the Effective Date.</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“Adjusted Capital Account Deficit” </w:t>
      </w:r>
      <w:r>
        <w:rPr>
          <w:rFonts w:ascii="Arial" w:cs="Arial" w:eastAsia="Arial" w:hAnsi="Arial"/>
          <w:sz w:val="22"/>
          <w:szCs w:val="22"/>
          <w:color w:val="auto"/>
        </w:rPr>
        <w:t>means, with respect to any Member, the deficit balance, if any, in the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established and maintained for such Member, as the same is specially computed as of the end of the Taxable Year after giving effect to the following adjustments:</w:t>
      </w:r>
    </w:p>
    <w:p>
      <w:pPr>
        <w:spacing w:after="0" w:line="142" w:lineRule="exact"/>
        <w:rPr>
          <w:sz w:val="20"/>
          <w:szCs w:val="20"/>
          <w:color w:val="auto"/>
        </w:rPr>
      </w:pPr>
    </w:p>
    <w:p>
      <w:pPr>
        <w:jc w:val="both"/>
        <w:ind w:firstLine="656"/>
        <w:spacing w:after="0" w:line="250" w:lineRule="auto"/>
        <w:tabs>
          <w:tab w:leader="none" w:pos="1129" w:val="left"/>
        </w:tabs>
        <w:numPr>
          <w:ilvl w:val="0"/>
          <w:numId w:val="295"/>
        </w:numPr>
        <w:rPr>
          <w:rFonts w:ascii="Arial" w:cs="Arial" w:eastAsia="Arial" w:hAnsi="Arial"/>
          <w:sz w:val="22"/>
          <w:szCs w:val="22"/>
          <w:color w:val="auto"/>
        </w:rPr>
      </w:pPr>
      <w:r>
        <w:rPr>
          <w:rFonts w:ascii="Arial" w:cs="Arial" w:eastAsia="Arial" w:hAnsi="Arial"/>
          <w:sz w:val="22"/>
          <w:szCs w:val="22"/>
          <w:color w:val="auto"/>
        </w:rPr>
        <w:t>Credit to such Member’s Capital Account any amounts (including unpaid Capital Contributions expected to be paid by the end of the relevant tax year) which such Member is obligated to contribute to the Company or to restore pursuant to Section 12.3 of this Agreement or is deemed obligated to restore pursuant to the penultimate sentences in Treasury Regulations Sections 1.704 2(g)(1) and 1.704 2(i)(5), and</w:t>
      </w:r>
    </w:p>
    <w:p>
      <w:pPr>
        <w:spacing w:after="0" w:line="147" w:lineRule="exact"/>
        <w:rPr>
          <w:rFonts w:ascii="Arial" w:cs="Arial" w:eastAsia="Arial" w:hAnsi="Arial"/>
          <w:sz w:val="22"/>
          <w:szCs w:val="22"/>
          <w:color w:val="auto"/>
        </w:rPr>
      </w:pPr>
    </w:p>
    <w:p>
      <w:pPr>
        <w:ind w:left="1160" w:hanging="504"/>
        <w:spacing w:after="0"/>
        <w:tabs>
          <w:tab w:leader="none" w:pos="116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Debit to such Member’s Capital Account any items described in Treasury Regulations Sections 1.704 1(b)(2)(ii)(d)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 (5) and (6).</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foregoing definition of Adjusted Capital Account Deficit is intended to comply with the provisions of Treasury Regulations Section 1.704 1(b)(2)(ii)(d) and shall be interpreted consistently with the Treasury Regulations.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“Adjusted Deficit Capital Account Balance” </w:t>
      </w:r>
      <w:r>
        <w:rPr>
          <w:rFonts w:ascii="Arial" w:cs="Arial" w:eastAsia="Arial" w:hAnsi="Arial"/>
          <w:sz w:val="22"/>
          <w:szCs w:val="22"/>
          <w:color w:val="auto"/>
        </w:rPr>
        <w:t>has the meaning set forth in Section 12.3(b).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63" w:name="page264"/>
    <w:bookmarkEnd w:id="263"/>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EBITDA</w:t>
      </w:r>
      <w:r>
        <w:rPr>
          <w:rFonts w:ascii="Arial" w:cs="Arial" w:eastAsia="Arial" w:hAnsi="Arial"/>
          <w:sz w:val="22"/>
          <w:szCs w:val="22"/>
          <w:color w:val="auto"/>
        </w:rPr>
        <w:t>” means EBITDA adjusted for mark-to-market gains or losses, asset write offs and impairments, and factors which the Company does not consider indicative of future operating performance.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“Advisors” </w:t>
      </w:r>
      <w:r>
        <w:rPr>
          <w:rFonts w:ascii="Arial" w:cs="Arial" w:eastAsia="Arial" w:hAnsi="Arial"/>
          <w:sz w:val="22"/>
          <w:szCs w:val="22"/>
          <w:color w:val="auto"/>
        </w:rPr>
        <w:t>is defined in Section 7.7(a).</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“Affiliate” </w:t>
      </w:r>
      <w:r>
        <w:rPr>
          <w:rFonts w:ascii="Arial" w:cs="Arial" w:eastAsia="Arial" w:hAnsi="Arial"/>
          <w:sz w:val="21"/>
          <w:szCs w:val="21"/>
          <w:color w:val="auto"/>
        </w:rPr>
        <w:t>means, with respect to any designated Person, any other Person that directly, or indirectly through one or more</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intermediaries, Controls, or is Controlled by, or is under common Control with, such designated Person. Any Person shall be deemed to be an Affiliate of any specified Person if such Person owns more than fifty percent (50%) of the voting securities of the specified Person, if the specified Person owns more than fifty percent (50%) of the voting securities of such Person, or if more than fifty percent (50%) of the voting securities of the specified Person and such Person are under common Control. Notwithstanding anything to the contrary herein, the Class A Member and the Class B Member shall not be considered Affiliates for purposes of this Agreement.</w:t>
      </w:r>
    </w:p>
    <w:p>
      <w:pPr>
        <w:spacing w:after="0" w:line="1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“After-Tax Basis” </w:t>
      </w:r>
      <w:r>
        <w:rPr>
          <w:rFonts w:ascii="Arial" w:cs="Arial" w:eastAsia="Arial" w:hAnsi="Arial"/>
          <w:sz w:val="19"/>
          <w:szCs w:val="19"/>
          <w:color w:val="auto"/>
        </w:rPr>
        <w:t>means, with respect to any payment to be actually or constructively received by any Person,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of such payment (the “base payment”) supplemented by a further payment (the “additional payment”) to that Person so that the sum of the base payment plus the additional payment shall, after deduction of the amount of all federal income taxes required to be paid by such Person (or, in the case of a Person that is either a disregarded entity, partnership or other through entity for income tax purposes, the ultimate taxpayer(s) with respect to such entity) in respect of the receipt or accrual of the base payment and the additional payment, using an assumed rate equal to the Highest Marginal Rate (and ignoring state and local taxes), taking into account any federal income tax savings realized (or likely to be realized in the future as a result of such base payment) by the recipient as a result of the payment or the event giving rise to the payment, using an assumed rate equal to the Highest Marginal Rate, equals the amount required to be received.</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“After-Tax IRR” </w:t>
      </w:r>
      <w:r>
        <w:rPr>
          <w:rFonts w:ascii="Arial" w:cs="Arial" w:eastAsia="Arial" w:hAnsi="Arial"/>
          <w:sz w:val="21"/>
          <w:szCs w:val="21"/>
          <w:color w:val="auto"/>
        </w:rPr>
        <w:t>means, with respect to the Holder of a Class A Unit and at the time of any determination, the annual</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discount rate (calculated and compounded on a daily basis using the Microsoft Excel XIRR function on all after tax cash flows) which sets A equal to B, where A is the sum of (a) the present value of all Cash Distributions in respect of such Class A Unit, plus (b) the present value of all Tax Benefits in respect of such Class A Unit, plus (c) the present value of all indemnity payments (net of any tax gross-up payments) received in respect of such Class A Unit, that compensate for loss of any item listed in the foregoing clauses (a) and (b), minus (d) the present value of all Tax Costs in respect of such Class A Unit; and B is the present value of the Class A Investment.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is defined in the introductory paragraph.</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“Anti-Corruption Laws” </w:t>
      </w:r>
      <w:r>
        <w:rPr>
          <w:rFonts w:ascii="Arial" w:cs="Arial" w:eastAsia="Arial" w:hAnsi="Arial"/>
          <w:sz w:val="22"/>
          <w:szCs w:val="22"/>
          <w:color w:val="auto"/>
        </w:rPr>
        <w:t>means (a) anti-bribery or anti-corruption Laws, including the U.S. Foreign Corrupt Practices</w:t>
      </w:r>
      <w:r>
        <w:rPr>
          <w:rFonts w:ascii="Arial" w:cs="Arial" w:eastAsia="Arial" w:hAnsi="Arial"/>
          <w:sz w:val="22"/>
          <w:szCs w:val="22"/>
          <w:b w:val="1"/>
          <w:bCs w:val="1"/>
          <w:color w:val="auto"/>
        </w:rPr>
        <w:t xml:space="preserve"> </w:t>
      </w:r>
      <w:r>
        <w:rPr>
          <w:rFonts w:ascii="Arial" w:cs="Arial" w:eastAsia="Arial" w:hAnsi="Arial"/>
          <w:sz w:val="22"/>
          <w:szCs w:val="22"/>
          <w:color w:val="auto"/>
        </w:rPr>
        <w:t>Act of 1977, as amended, and the U.K. Bribery Act 2010, and (b) Laws relating to financial record keeping and reporting, currency transfer and money laundering, including, as applicable, the US PATRIOT Act of 2001 and all “know your customer” rules and other applicable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264" w:name="page265"/>
    <w:bookmarkEnd w:id="264"/>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“Approved Budget” </w:t>
      </w:r>
      <w:r>
        <w:rPr>
          <w:rFonts w:ascii="Arial" w:cs="Arial" w:eastAsia="Arial" w:hAnsi="Arial"/>
          <w:sz w:val="22"/>
          <w:szCs w:val="22"/>
          <w:color w:val="auto"/>
        </w:rPr>
        <w:t>means the annual operating budget prepared and approved (or deemed approved) by the Members</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Section 6.7.</w:t>
      </w:r>
    </w:p>
    <w:p>
      <w:pPr>
        <w:spacing w:after="0" w:line="1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“Assets” </w:t>
      </w:r>
      <w:r>
        <w:rPr>
          <w:rFonts w:ascii="Arial" w:cs="Arial" w:eastAsia="Arial" w:hAnsi="Arial"/>
          <w:sz w:val="22"/>
          <w:szCs w:val="22"/>
          <w:color w:val="auto"/>
        </w:rPr>
        <w:t>means all right, title and interest of a Person in land, properties, buildings, improvements, fixtures, foundations,</w:t>
      </w:r>
      <w:r>
        <w:rPr>
          <w:rFonts w:ascii="Arial" w:cs="Arial" w:eastAsia="Arial" w:hAnsi="Arial"/>
          <w:sz w:val="22"/>
          <w:szCs w:val="22"/>
          <w:b w:val="1"/>
          <w:bCs w:val="1"/>
          <w:color w:val="auto"/>
        </w:rPr>
        <w:t xml:space="preserve"> </w:t>
      </w:r>
      <w:r>
        <w:rPr>
          <w:rFonts w:ascii="Arial" w:cs="Arial" w:eastAsia="Arial" w:hAnsi="Arial"/>
          <w:sz w:val="22"/>
          <w:szCs w:val="22"/>
          <w:color w:val="auto"/>
        </w:rPr>
        <w:t>assets and rights of any kind, whether tangible or intangible, real, personal or mixed, including contracts, leases, easements, equipment, systems, books, data, reports, studies and records, proprietary rights, intellectual property, Licenses and Permits, rights under or pursuant to all warranties, representations and guarantees, cash, accounts receivable, deposits and prepaid expenses.</w:t>
      </w:r>
    </w:p>
    <w:p>
      <w:pPr>
        <w:spacing w:after="0" w:line="15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“Available Cash Flow” </w:t>
      </w:r>
      <w:r>
        <w:rPr>
          <w:rFonts w:ascii="Arial" w:cs="Arial" w:eastAsia="Arial" w:hAnsi="Arial"/>
          <w:sz w:val="19"/>
          <w:szCs w:val="19"/>
          <w:color w:val="auto"/>
        </w:rPr>
        <w:t>means, with respect to any Distribution Date, the gross cash receipts from the operations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(including amounts received by the Company from the Pinnacle Project Company and any other subsidiaries of the Company, and including sales and dispositions of Assets of the Company, the Pinnacle Project Company or any other subsidiary of the Company), insurance payments, warranty payments, cash previously reserved, and all Capital Contributions received from Members during the period from the last cash distribution to such Distribution Date, less the portion thereof used to pay, or establish reserves for, all expenses of the Company and of the Pinnacle Project Company, including Company Reimbursable Expenses and the cost to develop and construct the Pinnacle Project.</w:t>
      </w:r>
    </w:p>
    <w:p>
      <w:pPr>
        <w:spacing w:after="0" w:line="1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“Bankrupt” </w:t>
      </w:r>
      <w:r>
        <w:rPr>
          <w:rFonts w:ascii="Arial" w:cs="Arial" w:eastAsia="Arial" w:hAnsi="Arial"/>
          <w:sz w:val="19"/>
          <w:szCs w:val="19"/>
          <w:color w:val="auto"/>
        </w:rPr>
        <w:t>means, with respect to any Person: (a) that such Person (i) files in any court pursuant to any statute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or of any state a voluntary petition in bankruptcy or insolvency, (ii) files a petition or answer seeking for such Person a reorganization, arrangement, composition, readjustment, liquidation, dissolution or similar relief under any Law or the appointment of a receiver or a trustee of all or a material portion of such Person’s Assets, (iii) makes a general assignment for the benefit of creditors, (iv) becomes the subject of an order for relief or is declared insolvent in any federal or state bankruptcy or insolvency proceedings, (v) files an answer or other pleading admitting or failing to contest the material allegations of a petition filed against such Person in a proceeding of the type described in (i) through (iv), (vi) admits in writing its inability to pay its debts as they fall due, or (vii) seeks, consents to or acquiesces in the appointment of a trustee, receiver or liquidator of any material portion of its Assets; or (b) a petition in bankruptcy or insolvency, or a proceeding seeking reorganization, arrangement, composition, readjustment, liquidation, dissolution, or similar relief under any Law has been commenced against such Person, and sixty (60) days have expired without dismissal thereof or with respect to which, without such Person’s consent or acquiescence, a trustee, receiver, or liquidator of such Person or of all or any substantial part of such Person’s properties has been appointed and sixty (60) days have expired without the appointment’s having been vacated or stayed, or sixty (60) days have expired after the date of expiration of a stay, if the appointment has not previously been vacated; or (c) if a Member, the whole or any material portion of such Person’s Membership Interest is levied or attached, and such levy or attachment is not released or discharged within sixty (60) days.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“Base Case Model” </w:t>
      </w:r>
      <w:r>
        <w:rPr>
          <w:rFonts w:ascii="Arial" w:cs="Arial" w:eastAsia="Arial" w:hAnsi="Arial"/>
          <w:sz w:val="22"/>
          <w:szCs w:val="22"/>
          <w:color w:val="auto"/>
        </w:rPr>
        <w:t>means the financial model attached as Exhibit A 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“Borrower” </w:t>
      </w:r>
      <w:r>
        <w:rPr>
          <w:rFonts w:ascii="Arial" w:cs="Arial" w:eastAsia="Arial" w:hAnsi="Arial"/>
          <w:sz w:val="22"/>
          <w:szCs w:val="22"/>
          <w:color w:val="auto"/>
        </w:rPr>
        <w:t>is defined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265" w:name="page266"/>
    <w:bookmarkEnd w:id="265"/>
    <w:p>
      <w:pPr>
        <w:jc w:val="both"/>
        <w:ind w:right="20" w:firstLine="648"/>
        <w:spacing w:after="0" w:line="349" w:lineRule="auto"/>
        <w:rPr>
          <w:sz w:val="20"/>
          <w:szCs w:val="20"/>
          <w:color w:val="auto"/>
        </w:rPr>
      </w:pP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any day except Saturday, Sunday and any day that is a legal holiday in New York City or a day on</w:t>
      </w:r>
      <w:r>
        <w:rPr>
          <w:rFonts w:ascii="Arial" w:cs="Arial" w:eastAsia="Arial" w:hAnsi="Arial"/>
          <w:sz w:val="19"/>
          <w:szCs w:val="19"/>
          <w:b w:val="1"/>
          <w:bCs w:val="1"/>
          <w:color w:val="auto"/>
        </w:rPr>
        <w:t xml:space="preserve"> </w:t>
      </w:r>
      <w:r>
        <w:rPr>
          <w:rFonts w:ascii="Arial" w:cs="Arial" w:eastAsia="Arial" w:hAnsi="Arial"/>
          <w:sz w:val="19"/>
          <w:szCs w:val="19"/>
          <w:color w:val="auto"/>
        </w:rPr>
        <w:t>which banking institutions are authorized or required by Law or other government action to close in New York City.</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“Capital Account” </w:t>
      </w:r>
      <w:r>
        <w:rPr>
          <w:rFonts w:ascii="Arial" w:cs="Arial" w:eastAsia="Arial" w:hAnsi="Arial"/>
          <w:sz w:val="21"/>
          <w:szCs w:val="21"/>
          <w:color w:val="auto"/>
        </w:rPr>
        <w:t>means the capital account established and maintained for a Member pursuant to Section 4.1.</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“Capital Contribution” </w:t>
      </w:r>
      <w:r>
        <w:rPr>
          <w:rFonts w:ascii="Arial" w:cs="Arial" w:eastAsia="Arial" w:hAnsi="Arial"/>
          <w:sz w:val="21"/>
          <w:szCs w:val="21"/>
          <w:color w:val="auto"/>
        </w:rPr>
        <w:t>means any cash or the initial Value of any other property (net of liabilities secured by such</w:t>
      </w:r>
      <w:r>
        <w:rPr>
          <w:rFonts w:ascii="Arial" w:cs="Arial" w:eastAsia="Arial" w:hAnsi="Arial"/>
          <w:sz w:val="21"/>
          <w:szCs w:val="21"/>
          <w:b w:val="1"/>
          <w:bCs w:val="1"/>
          <w:color w:val="auto"/>
        </w:rPr>
        <w:t xml:space="preserve"> </w:t>
      </w:r>
      <w:r>
        <w:rPr>
          <w:rFonts w:ascii="Arial" w:cs="Arial" w:eastAsia="Arial" w:hAnsi="Arial"/>
          <w:sz w:val="21"/>
          <w:szCs w:val="21"/>
          <w:color w:val="auto"/>
        </w:rPr>
        <w:t>property that the Company is considered to assume or take subject to under Code Section 752) that a Member directly or indirectly contributes to the Company with respect to the Units held or purchased by such Member, including any capital contributions made by such Member pursuant to Article III hereof, and any reference to the Capital Contributions of a Member shall include the Capital Contributions of any predecessor Holder of the Member’s Units.</w:t>
      </w:r>
    </w:p>
    <w:p>
      <w:pPr>
        <w:spacing w:after="0" w:line="1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“Cash Distributions” </w:t>
      </w:r>
      <w:r>
        <w:rPr>
          <w:rFonts w:ascii="Arial" w:cs="Arial" w:eastAsia="Arial" w:hAnsi="Arial"/>
          <w:sz w:val="22"/>
          <w:szCs w:val="22"/>
          <w:color w:val="auto"/>
        </w:rPr>
        <w:t>means distributions to the Holder of Class A or Class B Units made on any Distribution Date or</w:t>
      </w:r>
      <w:r>
        <w:rPr>
          <w:rFonts w:ascii="Arial" w:cs="Arial" w:eastAsia="Arial" w:hAnsi="Arial"/>
          <w:sz w:val="22"/>
          <w:szCs w:val="22"/>
          <w:b w:val="1"/>
          <w:bCs w:val="1"/>
          <w:color w:val="auto"/>
        </w:rPr>
        <w:t xml:space="preserve"> </w:t>
      </w:r>
      <w:r>
        <w:rPr>
          <w:rFonts w:ascii="Arial" w:cs="Arial" w:eastAsia="Arial" w:hAnsi="Arial"/>
          <w:sz w:val="22"/>
          <w:szCs w:val="22"/>
          <w:color w:val="auto"/>
        </w:rPr>
        <w:t>date of distribution of liquidation proceeds (or to be made on the Distribution Date or date of distribution of liquidation proceeds as of which date the After-Tax IRR is being determined).</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“CAFD Yield” </w:t>
      </w:r>
      <w:r>
        <w:rPr>
          <w:rFonts w:ascii="Arial" w:cs="Arial" w:eastAsia="Arial" w:hAnsi="Arial"/>
          <w:sz w:val="22"/>
          <w:szCs w:val="22"/>
          <w:color w:val="auto"/>
        </w:rPr>
        <w:t>means the Class A Member CAFD divided by the Class A Investment.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“Certified Public Accountant” </w:t>
      </w:r>
      <w:r>
        <w:rPr>
          <w:rFonts w:ascii="Arial" w:cs="Arial" w:eastAsia="Arial" w:hAnsi="Arial"/>
          <w:sz w:val="22"/>
          <w:szCs w:val="22"/>
          <w:color w:val="auto"/>
        </w:rPr>
        <w:t>means a firm of independent public accountants (a) that is one of Ernst &amp; Young,</w:t>
      </w:r>
      <w:r>
        <w:rPr>
          <w:rFonts w:ascii="Arial" w:cs="Arial" w:eastAsia="Arial" w:hAnsi="Arial"/>
          <w:sz w:val="22"/>
          <w:szCs w:val="22"/>
          <w:b w:val="1"/>
          <w:bCs w:val="1"/>
          <w:color w:val="auto"/>
        </w:rPr>
        <w:t xml:space="preserve"> </w:t>
      </w:r>
      <w:r>
        <w:rPr>
          <w:rFonts w:ascii="Arial" w:cs="Arial" w:eastAsia="Arial" w:hAnsi="Arial"/>
          <w:sz w:val="22"/>
          <w:szCs w:val="22"/>
          <w:color w:val="auto"/>
        </w:rPr>
        <w:t>Deloitte &amp; Touche, PricewaterhouseCoopers or KPMG LLP, as selected from time to time by the Manager or (b) with respect to any other firm, as selected from time to time with the Consent of the Members.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“Class A Claim” </w:t>
      </w:r>
      <w:r>
        <w:rPr>
          <w:rFonts w:ascii="Arial" w:cs="Arial" w:eastAsia="Arial" w:hAnsi="Arial"/>
          <w:sz w:val="22"/>
          <w:szCs w:val="22"/>
          <w:color w:val="auto"/>
        </w:rPr>
        <w:t>is defined in Section 11.1(a).</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“Class A Distribution Percentage” </w:t>
      </w:r>
      <w:r>
        <w:rPr>
          <w:rFonts w:ascii="Arial" w:cs="Arial" w:eastAsia="Arial" w:hAnsi="Arial"/>
          <w:sz w:val="22"/>
          <w:szCs w:val="22"/>
          <w:color w:val="auto"/>
        </w:rPr>
        <w:t>means 85%, as may be adjusted on the Tax Equity Funding Date, in each case, as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on Exhibit D.</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“Class A DRO Amount” </w:t>
      </w:r>
      <w:r>
        <w:rPr>
          <w:rFonts w:ascii="Arial" w:cs="Arial" w:eastAsia="Arial" w:hAnsi="Arial"/>
          <w:sz w:val="22"/>
          <w:szCs w:val="22"/>
          <w:color w:val="auto"/>
        </w:rPr>
        <w:t>means $[***] on the Effective Date, and from and after the Effective Date means $[***] unless</w:t>
      </w:r>
      <w:r>
        <w:rPr>
          <w:rFonts w:ascii="Arial" w:cs="Arial" w:eastAsia="Arial" w:hAnsi="Arial"/>
          <w:sz w:val="22"/>
          <w:szCs w:val="22"/>
          <w:b w:val="1"/>
          <w:bCs w:val="1"/>
          <w:color w:val="auto"/>
        </w:rPr>
        <w:t xml:space="preserve"> </w:t>
      </w:r>
      <w:r>
        <w:rPr>
          <w:rFonts w:ascii="Arial" w:cs="Arial" w:eastAsia="Arial" w:hAnsi="Arial"/>
          <w:sz w:val="22"/>
          <w:szCs w:val="22"/>
          <w:color w:val="auto"/>
        </w:rPr>
        <w:t>such amount is increased by Consent of the Members.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“Class A Interest” </w:t>
      </w:r>
      <w:r>
        <w:rPr>
          <w:rFonts w:ascii="Arial" w:cs="Arial" w:eastAsia="Arial" w:hAnsi="Arial"/>
          <w:sz w:val="19"/>
          <w:szCs w:val="19"/>
          <w:color w:val="auto"/>
        </w:rPr>
        <w:t>means, with respect to any Class A Member: (a) that Class A Member’s status as a Class A Member;</w:t>
      </w:r>
    </w:p>
    <w:p>
      <w:pPr>
        <w:spacing w:after="0" w:line="62" w:lineRule="exact"/>
        <w:rPr>
          <w:sz w:val="20"/>
          <w:szCs w:val="20"/>
          <w:color w:val="auto"/>
        </w:rPr>
      </w:pPr>
    </w:p>
    <w:p>
      <w:pPr>
        <w:jc w:val="both"/>
        <w:ind w:firstLine="8"/>
        <w:spacing w:after="0" w:line="244" w:lineRule="auto"/>
        <w:tabs>
          <w:tab w:leader="none" w:pos="314"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that Class A Member’s share of Company Items and the right to receive distributions from the Company; (c) all other rights, benefits and privileges enjoyed by that Class A Member (under the Act, this Agreement, or otherwise) in its capacity as a Class A Member, including that Class A Member’s right to vote, consent and approve and otherwise to participate in the management of the Company, to the extent provided in this Agreement; and (d) all obligations, duties and liabilities imposed on that Class A Member (under the Act, this Agreement or otherwise) in its capacity as a Class A Member, including any obligations to make Capital Contributions.</w:t>
      </w:r>
    </w:p>
    <w:p>
      <w:pPr>
        <w:spacing w:after="0" w:line="1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“Class A Investment” </w:t>
      </w:r>
      <w:r>
        <w:rPr>
          <w:rFonts w:ascii="Arial" w:cs="Arial" w:eastAsia="Arial" w:hAnsi="Arial"/>
          <w:sz w:val="22"/>
          <w:szCs w:val="22"/>
          <w:color w:val="auto"/>
        </w:rPr>
        <w:t>means the Capital Contributions of the Class A Members, which for the avoidance of doubt shall</w:t>
      </w:r>
      <w:r>
        <w:rPr>
          <w:rFonts w:ascii="Arial" w:cs="Arial" w:eastAsia="Arial" w:hAnsi="Arial"/>
          <w:sz w:val="22"/>
          <w:szCs w:val="22"/>
          <w:b w:val="1"/>
          <w:bCs w:val="1"/>
          <w:color w:val="auto"/>
        </w:rPr>
        <w:t xml:space="preserve"> </w:t>
      </w:r>
      <w:r>
        <w:rPr>
          <w:rFonts w:ascii="Arial" w:cs="Arial" w:eastAsia="Arial" w:hAnsi="Arial"/>
          <w:sz w:val="22"/>
          <w:szCs w:val="22"/>
          <w:color w:val="auto"/>
        </w:rPr>
        <w:t>take into account (i) an increase for the Value of the Pinnacle Project when contributed as specified in Section 3.3, (ii) a decrease for any distributions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266" w:name="page267"/>
    <w:bookmarkEnd w:id="266"/>
    <w:p>
      <w:pPr>
        <w:jc w:val="both"/>
        <w:ind w:right="20"/>
        <w:spacing w:after="0" w:line="263" w:lineRule="auto"/>
        <w:rPr>
          <w:sz w:val="20"/>
          <w:szCs w:val="20"/>
          <w:color w:val="auto"/>
        </w:rPr>
      </w:pPr>
      <w:r>
        <w:rPr>
          <w:rFonts w:ascii="Arial" w:cs="Arial" w:eastAsia="Arial" w:hAnsi="Arial"/>
          <w:sz w:val="22"/>
          <w:szCs w:val="22"/>
          <w:color w:val="auto"/>
        </w:rPr>
        <w:t>Class A Member from the Effective Date through the earlier of the Tax Equity Funding Date or the Outside Tax Equity Funding Date and (iii) an increase for the Incremental Class A Investment.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“Class A Member” </w:t>
      </w:r>
      <w:r>
        <w:rPr>
          <w:rFonts w:ascii="Arial" w:cs="Arial" w:eastAsia="Arial" w:hAnsi="Arial"/>
          <w:sz w:val="22"/>
          <w:szCs w:val="22"/>
          <w:color w:val="auto"/>
        </w:rPr>
        <w:t>means each Member holding a Class A Interest.</w:t>
      </w:r>
    </w:p>
    <w:p>
      <w:pPr>
        <w:spacing w:after="0" w:line="19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“Class A Member After-Tax Cash-Flow” </w:t>
      </w:r>
      <w:r>
        <w:rPr>
          <w:rFonts w:ascii="Arial" w:cs="Arial" w:eastAsia="Arial" w:hAnsi="Arial"/>
          <w:sz w:val="19"/>
          <w:szCs w:val="19"/>
          <w:color w:val="auto"/>
        </w:rPr>
        <w:t>means, with respect to the Holder of a Class A Unit for a specified period, an</w:t>
      </w:r>
      <w:r>
        <w:rPr>
          <w:rFonts w:ascii="Arial" w:cs="Arial" w:eastAsia="Arial" w:hAnsi="Arial"/>
          <w:sz w:val="19"/>
          <w:szCs w:val="19"/>
          <w:b w:val="1"/>
          <w:bCs w:val="1"/>
          <w:color w:val="auto"/>
        </w:rPr>
        <w:t xml:space="preserve"> </w:t>
      </w:r>
      <w:r>
        <w:rPr>
          <w:rFonts w:ascii="Arial" w:cs="Arial" w:eastAsia="Arial" w:hAnsi="Arial"/>
          <w:sz w:val="19"/>
          <w:szCs w:val="19"/>
          <w:color w:val="auto"/>
        </w:rPr>
        <w:t>amount equal to (a) the Cash Distributions in respect of such Class A Unit, plus (b) the Tax Benefits in respect of such Class A Unit, minus (c) all Tax Costs in respect of such Class A Unit, in each case as projected in the Base Case Model.</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Member CAFD</w:t>
      </w:r>
      <w:r>
        <w:rPr>
          <w:rFonts w:ascii="Arial" w:cs="Arial" w:eastAsia="Arial" w:hAnsi="Arial"/>
          <w:sz w:val="22"/>
          <w:szCs w:val="22"/>
          <w:color w:val="auto"/>
        </w:rPr>
        <w:t>” means [***].</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Member Guarantor</w:t>
      </w:r>
      <w:r>
        <w:rPr>
          <w:rFonts w:ascii="Arial" w:cs="Arial" w:eastAsia="Arial" w:hAnsi="Arial"/>
          <w:sz w:val="22"/>
          <w:szCs w:val="22"/>
          <w:color w:val="auto"/>
        </w:rPr>
        <w:t>” is defined in the recitals to this Agreement.</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Member Guaranty</w:t>
      </w:r>
      <w:r>
        <w:rPr>
          <w:rFonts w:ascii="Arial" w:cs="Arial" w:eastAsia="Arial" w:hAnsi="Arial"/>
          <w:sz w:val="22"/>
          <w:szCs w:val="22"/>
          <w:color w:val="auto"/>
        </w:rPr>
        <w:t xml:space="preserve">” means a guaranty substantially in the form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made by the Class A Member Guarantor.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“Class A Party” </w:t>
      </w:r>
      <w:r>
        <w:rPr>
          <w:rFonts w:ascii="Arial" w:cs="Arial" w:eastAsia="Arial" w:hAnsi="Arial"/>
          <w:sz w:val="22"/>
          <w:szCs w:val="22"/>
          <w:color w:val="auto"/>
        </w:rPr>
        <w:t>is defined in Section 11.1(a).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“Class A TE Guaranty” </w:t>
      </w:r>
      <w:r>
        <w:rPr>
          <w:rFonts w:ascii="Arial" w:cs="Arial" w:eastAsia="Arial" w:hAnsi="Arial"/>
          <w:sz w:val="22"/>
          <w:szCs w:val="22"/>
          <w:color w:val="auto"/>
        </w:rPr>
        <w:t>is defined in Section 3.3(f)(C).</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“Class A TE Obligation” </w:t>
      </w:r>
      <w:r>
        <w:rPr>
          <w:rFonts w:ascii="Arial" w:cs="Arial" w:eastAsia="Arial" w:hAnsi="Arial"/>
          <w:sz w:val="22"/>
          <w:szCs w:val="22"/>
          <w:color w:val="auto"/>
        </w:rPr>
        <w:t>means an obligation of the Company, a Tax Equity Entity or the Pinnacle Project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under a Tax Equity Document that has arisen or has accrued (a) in respect of an event or circumstance that occurred prior to the Tax Equity Funding Date (other than in connection with the repowering of the Pinnacle Project) or (b) as a result of a failure of the Class A Member to make the Incremental Class A Investment.</w:t>
      </w:r>
    </w:p>
    <w:p>
      <w:pPr>
        <w:spacing w:after="0" w:line="1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“Class A Unit” </w:t>
      </w:r>
      <w:r>
        <w:rPr>
          <w:rFonts w:ascii="Arial" w:cs="Arial" w:eastAsia="Arial" w:hAnsi="Arial"/>
          <w:sz w:val="22"/>
          <w:szCs w:val="22"/>
          <w:color w:val="auto"/>
        </w:rPr>
        <w:t>means a unit representing a Class A Interest having the rights, preferences and designations provided for</w:t>
      </w:r>
      <w:r>
        <w:rPr>
          <w:rFonts w:ascii="Arial" w:cs="Arial" w:eastAsia="Arial" w:hAnsi="Arial"/>
          <w:sz w:val="22"/>
          <w:szCs w:val="22"/>
          <w:b w:val="1"/>
          <w:bCs w:val="1"/>
          <w:color w:val="auto"/>
        </w:rPr>
        <w:t xml:space="preserve"> </w:t>
      </w:r>
      <w:r>
        <w:rPr>
          <w:rFonts w:ascii="Arial" w:cs="Arial" w:eastAsia="Arial" w:hAnsi="Arial"/>
          <w:sz w:val="22"/>
          <w:szCs w:val="22"/>
          <w:color w:val="auto"/>
        </w:rPr>
        <w:t>such class in this Agreement.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“Class B Claim” </w:t>
      </w:r>
      <w:r>
        <w:rPr>
          <w:rFonts w:ascii="Arial" w:cs="Arial" w:eastAsia="Arial" w:hAnsi="Arial"/>
          <w:sz w:val="22"/>
          <w:szCs w:val="22"/>
          <w:color w:val="auto"/>
        </w:rPr>
        <w:t>is defined in Section 11.1(b).</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“Class B Distribution Percentage” </w:t>
      </w:r>
      <w:r>
        <w:rPr>
          <w:rFonts w:ascii="Arial" w:cs="Arial" w:eastAsia="Arial" w:hAnsi="Arial"/>
          <w:sz w:val="22"/>
          <w:szCs w:val="22"/>
          <w:color w:val="auto"/>
        </w:rPr>
        <w:t>means [***]% minus the Class A Distribution Percentage.</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DRO Amount</w:t>
      </w:r>
      <w:r>
        <w:rPr>
          <w:rFonts w:ascii="Arial" w:cs="Arial" w:eastAsia="Arial" w:hAnsi="Arial"/>
          <w:sz w:val="22"/>
          <w:szCs w:val="22"/>
          <w:color w:val="auto"/>
        </w:rPr>
        <w:t>” means $[***] on the Effective Date, and from and after the Effective Date means $[***] unless such amount is increased by Consent of the Members.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“Class B Interest” </w:t>
      </w:r>
      <w:r>
        <w:rPr>
          <w:rFonts w:ascii="Arial" w:cs="Arial" w:eastAsia="Arial" w:hAnsi="Arial"/>
          <w:sz w:val="19"/>
          <w:szCs w:val="19"/>
          <w:color w:val="auto"/>
        </w:rPr>
        <w:t>means, with respect to any Class B Member: (a) that Class B Member’s status as a Class B Member;</w:t>
      </w:r>
    </w:p>
    <w:p>
      <w:pPr>
        <w:spacing w:after="0" w:line="62" w:lineRule="exact"/>
        <w:rPr>
          <w:sz w:val="20"/>
          <w:szCs w:val="20"/>
          <w:color w:val="auto"/>
        </w:rPr>
      </w:pPr>
    </w:p>
    <w:p>
      <w:pPr>
        <w:jc w:val="both"/>
        <w:ind w:firstLine="8"/>
        <w:spacing w:after="0" w:line="244" w:lineRule="auto"/>
        <w:tabs>
          <w:tab w:leader="none" w:pos="312"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that Class B Member’s share of Company Items, and the right to receive distributions from the Company; (c) all other rights, benefits and privileges enjoyed by that Class B Member (under the Act, this Agreement, or otherwise) in its capacity as a Class B Member, including that Class B Member’s right to vote, consent and approve and otherwise to participate in the management of the Company to the extent provided in this Agreement; and (d) all obligations, duties and liabilities imposed on that Class B Member (under the Act, this Agreement or otherwise) in its capacity as a Class B Member, including any obligations to make Capital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67" w:name="page268"/>
    <w:bookmarkEnd w:id="267"/>
    <w:p>
      <w:pPr>
        <w:ind w:left="660"/>
        <w:spacing w:after="0"/>
        <w:rPr>
          <w:sz w:val="20"/>
          <w:szCs w:val="20"/>
          <w:color w:val="auto"/>
        </w:rPr>
      </w:pPr>
      <w:r>
        <w:rPr>
          <w:rFonts w:ascii="Arial" w:cs="Arial" w:eastAsia="Arial" w:hAnsi="Arial"/>
          <w:sz w:val="22"/>
          <w:szCs w:val="22"/>
          <w:b w:val="1"/>
          <w:bCs w:val="1"/>
          <w:color w:val="auto"/>
        </w:rPr>
        <w:t xml:space="preserve">“Class B Member” </w:t>
      </w:r>
      <w:r>
        <w:rPr>
          <w:rFonts w:ascii="Arial" w:cs="Arial" w:eastAsia="Arial" w:hAnsi="Arial"/>
          <w:sz w:val="22"/>
          <w:szCs w:val="22"/>
          <w:color w:val="auto"/>
        </w:rPr>
        <w:t>means each Member holding a Class B Interest.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“Class B Party” </w:t>
      </w:r>
      <w:r>
        <w:rPr>
          <w:rFonts w:ascii="Arial" w:cs="Arial" w:eastAsia="Arial" w:hAnsi="Arial"/>
          <w:sz w:val="22"/>
          <w:szCs w:val="22"/>
          <w:color w:val="auto"/>
        </w:rPr>
        <w:t>is defined in Section 11.1(b).</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“Class B TE Obligation” </w:t>
      </w:r>
      <w:r>
        <w:rPr>
          <w:rFonts w:ascii="Arial" w:cs="Arial" w:eastAsia="Arial" w:hAnsi="Arial"/>
          <w:sz w:val="22"/>
          <w:szCs w:val="22"/>
          <w:color w:val="auto"/>
        </w:rPr>
        <w:t>means an obligation of the Company, a Tax Equity Entity or the Pinnacle Project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under a Tax Equity Document that has arisen or has accrued in respect of an event or circumstance in connection with the repowering of the Pinnacle Project, other than as a result of a failure of the Class A Member to make the Incremental Class A Investment.</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“Class B Unit” </w:t>
      </w:r>
      <w:r>
        <w:rPr>
          <w:rFonts w:ascii="Arial" w:cs="Arial" w:eastAsia="Arial" w:hAnsi="Arial"/>
          <w:sz w:val="22"/>
          <w:szCs w:val="22"/>
          <w:color w:val="auto"/>
        </w:rPr>
        <w:t>means a unit representing a Class B Interest having the rights, preferences and designations provided for</w:t>
      </w:r>
      <w:r>
        <w:rPr>
          <w:rFonts w:ascii="Arial" w:cs="Arial" w:eastAsia="Arial" w:hAnsi="Arial"/>
          <w:sz w:val="22"/>
          <w:szCs w:val="22"/>
          <w:b w:val="1"/>
          <w:bCs w:val="1"/>
          <w:color w:val="auto"/>
        </w:rPr>
        <w:t xml:space="preserve"> </w:t>
      </w:r>
      <w:r>
        <w:rPr>
          <w:rFonts w:ascii="Arial" w:cs="Arial" w:eastAsia="Arial" w:hAnsi="Arial"/>
          <w:sz w:val="22"/>
          <w:szCs w:val="22"/>
          <w:color w:val="auto"/>
        </w:rPr>
        <w:t>such class in this Agreement.</w:t>
      </w:r>
    </w:p>
    <w:p>
      <w:pPr>
        <w:spacing w:after="0" w:line="12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from time to time, and any corresponding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any successor tax statute.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defined in the recitals to this Agreement.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“Company Items” </w:t>
      </w:r>
      <w:r>
        <w:rPr>
          <w:rFonts w:ascii="Arial" w:cs="Arial" w:eastAsia="Arial" w:hAnsi="Arial"/>
          <w:sz w:val="22"/>
          <w:szCs w:val="22"/>
          <w:color w:val="auto"/>
        </w:rPr>
        <w:t>means the separate items of income, gain, loss, deduction and credit of the Company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subchapter K of the Code, as determined for Capital Account maintenance purposes consistent with the principles of Treasury Regulations Section 1.704 1(b)(2)(iv).</w:t>
      </w:r>
    </w:p>
    <w:p>
      <w:pPr>
        <w:spacing w:after="0" w:line="13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“Company Minimum Gain” </w:t>
      </w:r>
      <w:r>
        <w:rPr>
          <w:rFonts w:ascii="Arial" w:cs="Arial" w:eastAsia="Arial" w:hAnsi="Arial"/>
          <w:sz w:val="21"/>
          <w:szCs w:val="21"/>
          <w:color w:val="auto"/>
        </w:rPr>
        <w:t>has the meaning given the term “partnership minimum gain” set forth in Treasury</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Section 1.704 2(b)(2) and will be determined as provided in Treasury Regulations Section 1.704 2(d).</w:t>
      </w:r>
    </w:p>
    <w:p>
      <w:pPr>
        <w:spacing w:after="0" w:line="9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“Company Reimbursable Expenses” </w:t>
      </w:r>
      <w:r>
        <w:rPr>
          <w:rFonts w:ascii="Arial" w:cs="Arial" w:eastAsia="Arial" w:hAnsi="Arial"/>
          <w:sz w:val="19"/>
          <w:szCs w:val="19"/>
          <w:color w:val="auto"/>
        </w:rPr>
        <w:t>means (a) all reasonable and documented Third Party costs and expenses incurred</w:t>
      </w:r>
      <w:r>
        <w:rPr>
          <w:rFonts w:ascii="Arial" w:cs="Arial" w:eastAsia="Arial" w:hAnsi="Arial"/>
          <w:sz w:val="19"/>
          <w:szCs w:val="19"/>
          <w:b w:val="1"/>
          <w:bCs w:val="1"/>
          <w:color w:val="auto"/>
        </w:rPr>
        <w:t xml:space="preserve"> </w:t>
      </w:r>
      <w:r>
        <w:rPr>
          <w:rFonts w:ascii="Arial" w:cs="Arial" w:eastAsia="Arial" w:hAnsi="Arial"/>
          <w:sz w:val="19"/>
          <w:szCs w:val="19"/>
          <w:color w:val="auto"/>
        </w:rPr>
        <w:t>in the ordinary course of business by the Manager on behalf of the Company in performing the duties hereunder or relating to the Company’s activities and business, including all reasonable and documented costs and expenses incurred for legal, accounting and auditing fees paid or payable to Third Parties in accordance with this Agreement, in each case, as provided for in the Approved Budget, but excluding such costs and expenses attributable to (i) the gross negligence, willful misconduct or fraud of, or violation of Law by, the Manager, (ii) the Manager’s failure to abide by the provisions of this Agreement that apply to the Manager, (iii) a breach of this Agreement by the Member who owns or controls the Manager, or (iv) a breach by a Member or its Affiliate of a Transaction Document to which such Member or its Affiliate is a party if such Member is, or is an Affiliate of, the Manager, and (b) the costs of liquidation as described in Section 12.2(a).</w:t>
      </w:r>
    </w:p>
    <w:p>
      <w:pPr>
        <w:spacing w:after="0" w:line="12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“Competitor” </w:t>
      </w:r>
      <w:r>
        <w:rPr>
          <w:rFonts w:ascii="Arial" w:cs="Arial" w:eastAsia="Arial" w:hAnsi="Arial"/>
          <w:sz w:val="19"/>
          <w:szCs w:val="19"/>
          <w:color w:val="auto"/>
        </w:rPr>
        <w:t>means any Person (other than Global Infrastructure Management LLC and its Affiliates)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engaged in owning, managing, operating, maintaining or developing facilities utilizing wind power for the production of electricity for sale to others; provided that a Person who is involved in owning, managing, developing, maintaining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268" w:name="page269"/>
    <w:bookmarkEnd w:id="268"/>
    <w:p>
      <w:pPr>
        <w:jc w:val="both"/>
        <w:spacing w:after="0" w:line="302" w:lineRule="auto"/>
        <w:rPr>
          <w:sz w:val="20"/>
          <w:szCs w:val="20"/>
          <w:color w:val="auto"/>
        </w:rPr>
      </w:pPr>
      <w:r>
        <w:rPr>
          <w:rFonts w:ascii="Arial" w:cs="Arial" w:eastAsia="Arial" w:hAnsi="Arial"/>
          <w:sz w:val="19"/>
          <w:szCs w:val="19"/>
          <w:color w:val="auto"/>
        </w:rPr>
        <w:t>operating such facilities solely as a result of such Person, directly or through an Affiliate, making passive investments in such facilities shall not be considered a “Competitor” hereunder so long as such Person certifies in a manner reasonably acceptable to the Class B Members that it has in place procedures to prevent any Affiliate of such Person that is not a passive owner, manager, operator, maintenance provider or developer from acquiring confidential information relating to its investment in the Company.</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is defined in Section 7.7(a).</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“Consent of the Class A Members” </w:t>
      </w:r>
      <w:r>
        <w:rPr>
          <w:rFonts w:ascii="Arial" w:cs="Arial" w:eastAsia="Arial" w:hAnsi="Arial"/>
          <w:sz w:val="22"/>
          <w:szCs w:val="22"/>
          <w:color w:val="auto"/>
        </w:rPr>
        <w:t>means the written consent or approval of the Class A Members who own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aggregate more than fifty percent (50%) of the Class A Units.</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“Consent of the Class B Members” </w:t>
      </w:r>
      <w:r>
        <w:rPr>
          <w:rFonts w:ascii="Arial" w:cs="Arial" w:eastAsia="Arial" w:hAnsi="Arial"/>
          <w:sz w:val="22"/>
          <w:szCs w:val="22"/>
          <w:color w:val="auto"/>
        </w:rPr>
        <w:t>means the written consent or approval of the Class B Members who own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aggregate more than fifty percent (50%) of the Class B Units.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“Consent of the Members” </w:t>
      </w:r>
      <w:r>
        <w:rPr>
          <w:rFonts w:ascii="Arial" w:cs="Arial" w:eastAsia="Arial" w:hAnsi="Arial"/>
          <w:sz w:val="19"/>
          <w:szCs w:val="19"/>
          <w:color w:val="auto"/>
        </w:rPr>
        <w:t>means both the Consent of the Class A Members and the Consent of the Class B Members.</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“Construction Budget” </w:t>
      </w:r>
      <w:r>
        <w:rPr>
          <w:rFonts w:ascii="Arial" w:cs="Arial" w:eastAsia="Arial" w:hAnsi="Arial"/>
          <w:sz w:val="22"/>
          <w:szCs w:val="22"/>
          <w:color w:val="auto"/>
        </w:rPr>
        <w:t>means the construction budget (including sources and uses) to be agreed by the Members, and</w:t>
      </w:r>
      <w:r>
        <w:rPr>
          <w:rFonts w:ascii="Arial" w:cs="Arial" w:eastAsia="Arial" w:hAnsi="Arial"/>
          <w:sz w:val="22"/>
          <w:szCs w:val="22"/>
          <w:b w:val="1"/>
          <w:bCs w:val="1"/>
          <w:color w:val="auto"/>
        </w:rPr>
        <w:t xml:space="preserve"> </w:t>
      </w:r>
      <w:r>
        <w:rPr>
          <w:rFonts w:ascii="Arial" w:cs="Arial" w:eastAsia="Arial" w:hAnsi="Arial"/>
          <w:sz w:val="22"/>
          <w:szCs w:val="22"/>
          <w:color w:val="auto"/>
        </w:rPr>
        <w:t>approved by the lenders, in connection with the Repowering Construction Financing, as the same may be amended or modified in accordance with this Agreement.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“Construction Class B Investment” </w:t>
      </w:r>
      <w:r>
        <w:rPr>
          <w:rFonts w:ascii="Arial" w:cs="Arial" w:eastAsia="Arial" w:hAnsi="Arial"/>
          <w:sz w:val="22"/>
          <w:szCs w:val="22"/>
          <w:color w:val="auto"/>
        </w:rPr>
        <w:t>is defined in Section 3.3(d).</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“Contracts” </w:t>
      </w:r>
      <w:r>
        <w:rPr>
          <w:rFonts w:ascii="Arial" w:cs="Arial" w:eastAsia="Arial" w:hAnsi="Arial"/>
          <w:sz w:val="22"/>
          <w:szCs w:val="22"/>
          <w:color w:val="auto"/>
        </w:rPr>
        <w:t>means contracts, agreements, leases, licenses, notes, indentures, obligations, reinsurance treaties, bonds,</w:t>
      </w:r>
      <w:r>
        <w:rPr>
          <w:rFonts w:ascii="Arial" w:cs="Arial" w:eastAsia="Arial" w:hAnsi="Arial"/>
          <w:sz w:val="22"/>
          <w:szCs w:val="22"/>
          <w:b w:val="1"/>
          <w:bCs w:val="1"/>
          <w:color w:val="auto"/>
        </w:rPr>
        <w:t xml:space="preserve"> </w:t>
      </w:r>
      <w:r>
        <w:rPr>
          <w:rFonts w:ascii="Arial" w:cs="Arial" w:eastAsia="Arial" w:hAnsi="Arial"/>
          <w:sz w:val="22"/>
          <w:szCs w:val="22"/>
          <w:color w:val="auto"/>
        </w:rPr>
        <w:t>mortgages, instruments, and other binding commitments, arrangements, undertakings and understandings (whether written or oral).</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“Control” </w:t>
      </w:r>
      <w:r>
        <w:rPr>
          <w:rFonts w:ascii="Arial" w:cs="Arial" w:eastAsia="Arial" w:hAnsi="Arial"/>
          <w:sz w:val="22"/>
          <w:szCs w:val="22"/>
          <w:color w:val="auto"/>
        </w:rPr>
        <w:t>and the terms</w:t>
      </w:r>
      <w:r>
        <w:rPr>
          <w:rFonts w:ascii="Arial" w:cs="Arial" w:eastAsia="Arial" w:hAnsi="Arial"/>
          <w:sz w:val="22"/>
          <w:szCs w:val="22"/>
          <w:b w:val="1"/>
          <w:bCs w:val="1"/>
          <w:color w:val="auto"/>
        </w:rPr>
        <w:t xml:space="preserve"> “Controlled by” </w:t>
      </w:r>
      <w:r>
        <w:rPr>
          <w:rFonts w:ascii="Arial" w:cs="Arial" w:eastAsia="Arial" w:hAnsi="Arial"/>
          <w:sz w:val="22"/>
          <w:szCs w:val="22"/>
          <w:color w:val="auto"/>
        </w:rPr>
        <w:t>and</w:t>
      </w:r>
      <w:r>
        <w:rPr>
          <w:rFonts w:ascii="Arial" w:cs="Arial" w:eastAsia="Arial" w:hAnsi="Arial"/>
          <w:sz w:val="22"/>
          <w:szCs w:val="22"/>
          <w:b w:val="1"/>
          <w:bCs w:val="1"/>
          <w:color w:val="auto"/>
        </w:rPr>
        <w:t xml:space="preserve"> “under common Control” </w:t>
      </w:r>
      <w:r>
        <w:rPr>
          <w:rFonts w:ascii="Arial" w:cs="Arial" w:eastAsia="Arial" w:hAnsi="Arial"/>
          <w:sz w:val="22"/>
          <w:szCs w:val="22"/>
          <w:color w:val="auto"/>
        </w:rPr>
        <w:t>mean the possession, directly or indirectly,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power to direct or cause the direction of the management and policies of a Person, whether through ownership, by contract, or otherwise.</w:t>
      </w:r>
    </w:p>
    <w:p>
      <w:pPr>
        <w:spacing w:after="0" w:line="13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“Credit Support Obligations” </w:t>
      </w:r>
      <w:r>
        <w:rPr>
          <w:rFonts w:ascii="Arial" w:cs="Arial" w:eastAsia="Arial" w:hAnsi="Arial"/>
          <w:sz w:val="21"/>
          <w:szCs w:val="21"/>
          <w:color w:val="auto"/>
        </w:rPr>
        <w:t>means the terms in any Repowering Financing Document or Tax Equity Document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agreements or arrangements that would, in order to make such Repowering Financing Document or Tax Equity Document or other agreement or arrangement effective or not to cause a default or potential default thereunder, require Members or their Affiliates to provide credit support to the Company, the Pinnacle Project Company, any other subsidiary of the Company or any of their financing parties or in respect of any other obligation of the Company, the Pinnacle Project Company or any other subsidiary of the Company, or any of their financing parties through any equity contribution agreement, guarantee, standby letter of credit, cash collateral or similar arrangement.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“Damages” </w:t>
      </w:r>
      <w:r>
        <w:rPr>
          <w:rFonts w:ascii="Arial" w:cs="Arial" w:eastAsia="Arial" w:hAnsi="Arial"/>
          <w:sz w:val="22"/>
          <w:szCs w:val="22"/>
          <w:color w:val="auto"/>
        </w:rPr>
        <w:t>is defined in Section 11.1(a).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“Delaware Certificate” </w:t>
      </w:r>
      <w:r>
        <w:rPr>
          <w:rFonts w:ascii="Arial" w:cs="Arial" w:eastAsia="Arial" w:hAnsi="Arial"/>
          <w:sz w:val="22"/>
          <w:szCs w:val="22"/>
          <w:color w:val="auto"/>
        </w:rPr>
        <w:t>is defined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69" w:name="page270"/>
    <w:bookmarkEnd w:id="269"/>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“Depreciation” </w:t>
      </w:r>
      <w:r>
        <w:rPr>
          <w:rFonts w:ascii="Arial" w:cs="Arial" w:eastAsia="Arial" w:hAnsi="Arial"/>
          <w:sz w:val="22"/>
          <w:szCs w:val="22"/>
          <w:color w:val="auto"/>
        </w:rPr>
        <w:t>means, for each Taxable Year, an amount equal to the depreciation, amortization (including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Code Sections 197 and 709) or other cost recovery deduction allowable for federal income tax purposes with respect to an Asset for such period, except that if the Value of any Asset differs from its adjusted basis for federal income tax purposes at the beginning of such period, Depreciation shall be an amount which bears the same ratio to such beginning Value as the federal income tax depreciation, amortization or other cost recovery deduction allowable for such Taxable Year bears to such beginning adjusted tax basis; provided, however, that if such Asset has a zero beginning adjusted basis for such Taxable Year, Depreciation shall be determined with reference to such beginning Value using any method selected by the Manager with the Consent of the Members.</w:t>
      </w:r>
    </w:p>
    <w:p>
      <w:pPr>
        <w:spacing w:after="0" w:line="1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“Disqualified Entity” </w:t>
      </w:r>
      <w:r>
        <w:rPr>
          <w:rFonts w:ascii="Arial" w:cs="Arial" w:eastAsia="Arial" w:hAnsi="Arial"/>
          <w:sz w:val="22"/>
          <w:szCs w:val="22"/>
          <w:color w:val="auto"/>
        </w:rPr>
        <w:t>means an entity that is referred to in Section 50(b)(3) or 50(b)(4) of the Code, provided, that if any</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 owner owns its indirect interest through a taxable C corporation (as defined in the Code), but excluding any entity that is a “tax exempt controlled entity” defined in Section 168(h)(6)(F)(iii) of the Code, then such Person will not be deemed to be a Disqualified Entity.</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 xml:space="preserve">“Disqualified Transferee” </w:t>
      </w:r>
      <w:r>
        <w:rPr>
          <w:rFonts w:ascii="Arial" w:cs="Arial" w:eastAsia="Arial" w:hAnsi="Arial"/>
          <w:sz w:val="22"/>
          <w:szCs w:val="22"/>
          <w:color w:val="auto"/>
        </w:rPr>
        <w:t>means (a) any Person that is, or whose Affiliate is, then a party adverse in any pending or</w:t>
      </w:r>
      <w:r>
        <w:rPr>
          <w:rFonts w:ascii="Arial" w:cs="Arial" w:eastAsia="Arial" w:hAnsi="Arial"/>
          <w:sz w:val="22"/>
          <w:szCs w:val="22"/>
          <w:b w:val="1"/>
          <w:bCs w:val="1"/>
          <w:color w:val="auto"/>
        </w:rPr>
        <w:t xml:space="preserve"> </w:t>
      </w:r>
      <w:r>
        <w:rPr>
          <w:rFonts w:ascii="Arial" w:cs="Arial" w:eastAsia="Arial" w:hAnsi="Arial"/>
          <w:sz w:val="22"/>
          <w:szCs w:val="22"/>
          <w:color w:val="auto"/>
        </w:rPr>
        <w:t>threatened (in writing or other reasonably satisfactory evidence of such threat) action, suit or proceeding to the Company or any Member or an Affiliate thereof, if the Company (with the Consent of the Members) or such Member (in its sole and absolute discretion), as applicable, shall not have consented to the Transfer to such Person; provided, however, that any foreclosure upon any Membership Interests pursuant to an Encumbrance permitted hereunder shall not be an action, suit or proceeding for the purposes of this clause (a), (b) with respect to any Transfer of a Class A Interest, a Person that is, or whose Affiliate is, a Competitor, (c) a Related Party or a Disqualified Entity, (d) a Person who is, or who is an Affiliate of any Person that is, then Bankrupt, or (e) a Person who, or is an Affiliate of any Person who, is a Sanctioned Person, in each case, other than an existing Member.</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“Distribution Date” </w:t>
      </w:r>
      <w:r>
        <w:rPr>
          <w:rFonts w:ascii="Arial" w:cs="Arial" w:eastAsia="Arial" w:hAnsi="Arial"/>
          <w:sz w:val="22"/>
          <w:szCs w:val="22"/>
          <w:color w:val="auto"/>
        </w:rPr>
        <w:t>means each day that is five (5) Business Days following a distribution of cash to the Company from</w:t>
      </w:r>
      <w:r>
        <w:rPr>
          <w:rFonts w:ascii="Arial" w:cs="Arial" w:eastAsia="Arial" w:hAnsi="Arial"/>
          <w:sz w:val="22"/>
          <w:szCs w:val="22"/>
          <w:b w:val="1"/>
          <w:bCs w:val="1"/>
          <w:color w:val="auto"/>
        </w:rPr>
        <w:t xml:space="preserve"> </w:t>
      </w:r>
      <w:r>
        <w:rPr>
          <w:rFonts w:ascii="Arial" w:cs="Arial" w:eastAsia="Arial" w:hAnsi="Arial"/>
          <w:sz w:val="22"/>
          <w:szCs w:val="22"/>
          <w:color w:val="auto"/>
        </w:rPr>
        <w:t>a subsidiary of the Company; provided that there shall be at least one Distribution Date per month.</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“EBITDA” </w:t>
      </w:r>
      <w:r>
        <w:rPr>
          <w:rFonts w:ascii="Arial" w:cs="Arial" w:eastAsia="Arial" w:hAnsi="Arial"/>
          <w:sz w:val="22"/>
          <w:szCs w:val="22"/>
          <w:color w:val="auto"/>
        </w:rPr>
        <w:t>means earnings before interest, tax, depreciation and amortization of the Company.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means the date of this Agreement.</w:t>
      </w:r>
    </w:p>
    <w:p>
      <w:pPr>
        <w:spacing w:after="0" w:line="1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“Encumbrances” </w:t>
      </w:r>
      <w:r>
        <w:rPr>
          <w:rFonts w:ascii="Arial" w:cs="Arial" w:eastAsia="Arial" w:hAnsi="Arial"/>
          <w:sz w:val="19"/>
          <w:szCs w:val="19"/>
          <w:color w:val="auto"/>
        </w:rPr>
        <w:t>means encumbrances, liens, pledges, charges, collateral assignments, options, mortgages, warrants,</w:t>
      </w:r>
      <w:r>
        <w:rPr>
          <w:rFonts w:ascii="Arial" w:cs="Arial" w:eastAsia="Arial" w:hAnsi="Arial"/>
          <w:sz w:val="19"/>
          <w:szCs w:val="19"/>
          <w:b w:val="1"/>
          <w:bCs w:val="1"/>
          <w:color w:val="auto"/>
        </w:rPr>
        <w:t xml:space="preserve"> </w:t>
      </w:r>
      <w:r>
        <w:rPr>
          <w:rFonts w:ascii="Arial" w:cs="Arial" w:eastAsia="Arial" w:hAnsi="Arial"/>
          <w:sz w:val="19"/>
          <w:szCs w:val="19"/>
          <w:color w:val="auto"/>
        </w:rPr>
        <w:t>deeds of trust, security interests, claims, restrictions (whether on voting, sale, transfer, disposition, or otherwise), assessments, easements, variances, purchase rights, rights of first refusal, reservations, encroachments, irregularities, deficiencies, defaults, defects, adverse claims, interests, and other matters of every type and description whatsoever, whether voluntary or involuntary, choate or inchoate or imposed by Law, agreement (including any agreement to give any of the foregoing or any conditional sale or other title retention agreement), understanding, or otherwise, and whether or not of record, impairing or affecting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270" w:name="page271"/>
    <w:bookmarkEnd w:id="270"/>
    <w:p>
      <w:pPr>
        <w:jc w:val="both"/>
        <w:ind w:right="20"/>
        <w:spacing w:after="0" w:line="263" w:lineRule="auto"/>
        <w:rPr>
          <w:sz w:val="20"/>
          <w:szCs w:val="20"/>
          <w:color w:val="auto"/>
        </w:rPr>
      </w:pPr>
      <w:r>
        <w:rPr>
          <w:rFonts w:ascii="Arial" w:cs="Arial" w:eastAsia="Arial" w:hAnsi="Arial"/>
          <w:sz w:val="22"/>
          <w:szCs w:val="22"/>
          <w:color w:val="auto"/>
        </w:rPr>
        <w:t>title to real or personal property (including membership interests), and “Encumber” means any action or inaction creating an Encumbrance.</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“Energy Regulatory Approvals” </w:t>
      </w:r>
      <w:r>
        <w:rPr>
          <w:rFonts w:ascii="Arial" w:cs="Arial" w:eastAsia="Arial" w:hAnsi="Arial"/>
          <w:sz w:val="22"/>
          <w:szCs w:val="22"/>
          <w:color w:val="auto"/>
        </w:rPr>
        <w:t>means any License and Permit issued by or filed with an Energy Regulatory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required to be maintained by the Pinnacle Project or the Pinnacle Project Company.</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“Energy Regulatory Authority” </w:t>
      </w:r>
      <w:r>
        <w:rPr>
          <w:rFonts w:ascii="Arial" w:cs="Arial" w:eastAsia="Arial" w:hAnsi="Arial"/>
          <w:sz w:val="22"/>
          <w:szCs w:val="22"/>
          <w:color w:val="auto"/>
        </w:rPr>
        <w:t>a Governmental Authority with jurisdiction over public utilities, energy or any similar</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“Environmental Law” </w:t>
      </w:r>
      <w:r>
        <w:rPr>
          <w:rFonts w:ascii="Arial" w:cs="Arial" w:eastAsia="Arial" w:hAnsi="Arial"/>
          <w:sz w:val="19"/>
          <w:szCs w:val="19"/>
          <w:color w:val="auto"/>
        </w:rPr>
        <w:t>means any Law imposing liability, standards or obligations of conduct concerning pollution or</w:t>
      </w:r>
      <w:r>
        <w:rPr>
          <w:rFonts w:ascii="Arial" w:cs="Arial" w:eastAsia="Arial" w:hAnsi="Arial"/>
          <w:sz w:val="19"/>
          <w:szCs w:val="19"/>
          <w:b w:val="1"/>
          <w:bCs w:val="1"/>
          <w:color w:val="auto"/>
        </w:rPr>
        <w:t xml:space="preserve"> </w:t>
      </w:r>
      <w:r>
        <w:rPr>
          <w:rFonts w:ascii="Arial" w:cs="Arial" w:eastAsia="Arial" w:hAnsi="Arial"/>
          <w:sz w:val="19"/>
          <w:szCs w:val="19"/>
          <w:color w:val="auto"/>
        </w:rPr>
        <w:t>protection of human health and safety (including the health and safety of workers under the U.S. Occupational Safety and Health Act of 1970 (29 U.S.C. §§ 651 et seq.)), flora and fauna, any Environmental Media, including (a) any Law relating to any actual or threatened emission, discharge, release, manufacture, processing, distribution, use, treatment, storage, disposal, transport, or handling of any hazardous waste (as defined by 42 U.S.C. § 6903(5)), hazardous substance (as defined by 42 U.S.C. § 9601(14)), hazardous material (as defined by 49 U.S.C. § 5102(2)), toxic pollutant (as listed pursuant to 33 U.S.C. § 1317), or pollutant or contaminant (as pollutant or contaminant is defined in 42 U.S.C. § 9601(33)), any oil (as defined by 33 U.S.C. § 2701(23)); and</w:t>
      </w:r>
    </w:p>
    <w:p>
      <w:pPr>
        <w:spacing w:after="0" w:line="3" w:lineRule="exact"/>
        <w:rPr>
          <w:sz w:val="20"/>
          <w:szCs w:val="20"/>
          <w:color w:val="auto"/>
        </w:rPr>
      </w:pPr>
    </w:p>
    <w:p>
      <w:pPr>
        <w:jc w:val="both"/>
        <w:ind w:firstLine="8"/>
        <w:spacing w:after="0" w:line="244" w:lineRule="auto"/>
        <w:tabs>
          <w:tab w:leader="none" w:pos="366" w:val="left"/>
        </w:tabs>
        <w:numPr>
          <w:ilvl w:val="0"/>
          <w:numId w:val="298"/>
        </w:numPr>
        <w:rPr>
          <w:rFonts w:ascii="Arial" w:cs="Arial" w:eastAsia="Arial" w:hAnsi="Arial"/>
          <w:sz w:val="22"/>
          <w:szCs w:val="22"/>
          <w:color w:val="auto"/>
        </w:rPr>
      </w:pPr>
      <w:r>
        <w:rPr>
          <w:rFonts w:ascii="Arial" w:cs="Arial" w:eastAsia="Arial" w:hAnsi="Arial"/>
          <w:sz w:val="22"/>
          <w:szCs w:val="22"/>
          <w:color w:val="auto"/>
        </w:rPr>
        <w:t>the Comprehensive Environmental Response, Compensation, and Liability Act of 1980 (42 U.S.C. §§ 9601 et seq.) (“CERCLA”), the Federal Water Pollution Control Act (33 U.S.C. §§ 1251 et seq.) and the Endangered Species Act of 1973 (16 U.S.C. 1531 et seq.) with any amendments or reauthorization thereto or thereof, and any and all regulations promulgated thereunder, and all analogous state and local counterparts or equivalents.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is defined in Section 8.10(h).</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“EWG” </w:t>
      </w:r>
      <w:r>
        <w:rPr>
          <w:rFonts w:ascii="Arial" w:cs="Arial" w:eastAsia="Arial" w:hAnsi="Arial"/>
          <w:sz w:val="22"/>
          <w:szCs w:val="22"/>
          <w:color w:val="auto"/>
        </w:rPr>
        <w:t>means “exempt wholesale generator” as defined in Section 1262(6) of PUHCA and the implementing</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of FERC.</w:t>
      </w:r>
    </w:p>
    <w:p>
      <w:pPr>
        <w:spacing w:after="0" w:line="12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“Fair Market Value” </w:t>
      </w:r>
      <w:r>
        <w:rPr>
          <w:rFonts w:ascii="Arial" w:cs="Arial" w:eastAsia="Arial" w:hAnsi="Arial"/>
          <w:sz w:val="19"/>
          <w:szCs w:val="19"/>
          <w:color w:val="auto"/>
        </w:rPr>
        <w:t>means, with respect to any Asset, the price at which the Asset would change hands between a</w:t>
      </w:r>
      <w:r>
        <w:rPr>
          <w:rFonts w:ascii="Arial" w:cs="Arial" w:eastAsia="Arial" w:hAnsi="Arial"/>
          <w:sz w:val="19"/>
          <w:szCs w:val="19"/>
          <w:b w:val="1"/>
          <w:bCs w:val="1"/>
          <w:color w:val="auto"/>
        </w:rPr>
        <w:t xml:space="preserve"> </w:t>
      </w:r>
      <w:r>
        <w:rPr>
          <w:rFonts w:ascii="Arial" w:cs="Arial" w:eastAsia="Arial" w:hAnsi="Arial"/>
          <w:sz w:val="19"/>
          <w:szCs w:val="19"/>
          <w:color w:val="auto"/>
        </w:rPr>
        <w:t>willing buyer and a willing seller, neither being under any compulsion to buy or to sell, and both having reasonable knowledge of the relevant facts, and specifically with respect to the Pinnacle Project or any Membership Interest.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“FERC” </w:t>
      </w:r>
      <w:r>
        <w:rPr>
          <w:rFonts w:ascii="Arial" w:cs="Arial" w:eastAsia="Arial" w:hAnsi="Arial"/>
          <w:sz w:val="22"/>
          <w:szCs w:val="22"/>
          <w:color w:val="auto"/>
        </w:rPr>
        <w:t>means the Federal Energy Regulatory Commission and any successor agency.</w:t>
      </w:r>
    </w:p>
    <w:p>
      <w:pPr>
        <w:spacing w:after="0" w:line="193"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“Final Completion” </w:t>
      </w:r>
      <w:r>
        <w:rPr>
          <w:rFonts w:ascii="Arial" w:cs="Arial" w:eastAsia="Arial" w:hAnsi="Arial"/>
          <w:sz w:val="19"/>
          <w:szCs w:val="19"/>
          <w:color w:val="auto"/>
        </w:rPr>
        <w:t>means the completion of all relevant construction milestones for the repowering of the Pinnacle</w:t>
      </w:r>
      <w:r>
        <w:rPr>
          <w:rFonts w:ascii="Arial" w:cs="Arial" w:eastAsia="Arial" w:hAnsi="Arial"/>
          <w:sz w:val="19"/>
          <w:szCs w:val="19"/>
          <w:b w:val="1"/>
          <w:bCs w:val="1"/>
          <w:color w:val="auto"/>
        </w:rPr>
        <w:t xml:space="preserve"> </w:t>
      </w:r>
      <w:r>
        <w:rPr>
          <w:rFonts w:ascii="Arial" w:cs="Arial" w:eastAsia="Arial" w:hAnsi="Arial"/>
          <w:sz w:val="19"/>
          <w:szCs w:val="19"/>
          <w:color w:val="auto"/>
        </w:rPr>
        <w:t>Project under the Repowering Project Documents, including completion of all performance testing and punch list items.</w:t>
      </w:r>
    </w:p>
    <w:p>
      <w:pPr>
        <w:spacing w:after="0" w:line="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“Financing Required Capital Contribution” </w:t>
      </w:r>
      <w:r>
        <w:rPr>
          <w:rFonts w:ascii="Arial" w:cs="Arial" w:eastAsia="Arial" w:hAnsi="Arial"/>
          <w:sz w:val="22"/>
          <w:szCs w:val="22"/>
          <w:color w:val="auto"/>
        </w:rPr>
        <w:t>means, with respect to any Member, any Subsequent Capital Contribution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from such Member in accordance with the terms of the Repowering Financing Documents or the Tax Equity Documents in addition to the terms of this Agreement, including (if applicable) in respect of the Construction Class B Investment, the Incremental Class A Investment and the Incremental Class B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71" w:name="page272"/>
    <w:bookmarkEnd w:id="271"/>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“Fiscal Quarter” </w:t>
      </w:r>
      <w:r>
        <w:rPr>
          <w:rFonts w:ascii="Arial" w:cs="Arial" w:eastAsia="Arial" w:hAnsi="Arial"/>
          <w:sz w:val="22"/>
          <w:szCs w:val="22"/>
          <w:color w:val="auto"/>
        </w:rPr>
        <w:t>means the calendar quarters each ended March 31st, June 30th, September 30th and December 31st</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each Fiscal Year.</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“Fiscal Year” </w:t>
      </w:r>
      <w:r>
        <w:rPr>
          <w:rFonts w:ascii="Arial" w:cs="Arial" w:eastAsia="Arial" w:hAnsi="Arial"/>
          <w:sz w:val="22"/>
          <w:szCs w:val="22"/>
          <w:color w:val="auto"/>
        </w:rPr>
        <w:t>means (a) the period commencing on the Effective Date and ending on the immediately succeeding</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(b) any subsequent calendar year, and (c) the final Fiscal Year of the Company shall end on the date on which the Company is terminated under Article XII hereof.</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“Funding Notice” </w:t>
      </w:r>
      <w:r>
        <w:rPr>
          <w:rFonts w:ascii="Arial" w:cs="Arial" w:eastAsia="Arial" w:hAnsi="Arial"/>
          <w:sz w:val="22"/>
          <w:szCs w:val="22"/>
          <w:color w:val="auto"/>
        </w:rPr>
        <w:t>is defined in Section 3.4(a).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“GAAP” </w:t>
      </w:r>
      <w:r>
        <w:rPr>
          <w:rFonts w:ascii="Arial" w:cs="Arial" w:eastAsia="Arial" w:hAnsi="Arial"/>
          <w:sz w:val="22"/>
          <w:szCs w:val="22"/>
          <w:color w:val="auto"/>
        </w:rPr>
        <w:t>means United States generally accepted accounting principles, as amended, consistently applied.</w:t>
      </w:r>
    </w:p>
    <w:p>
      <w:pPr>
        <w:spacing w:after="0" w:line="1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Management Standard</w:t>
      </w:r>
      <w:r>
        <w:rPr>
          <w:rFonts w:ascii="Arial" w:cs="Arial" w:eastAsia="Arial" w:hAnsi="Arial"/>
          <w:sz w:val="19"/>
          <w:szCs w:val="19"/>
          <w:color w:val="auto"/>
        </w:rPr>
        <w:t>” means that a Person will perform its management functions in good faith and in a manner it reasonably believes to be in the best interests of the Company. Good Management Standard is not intended to be limited to a single set of practices, methods and acts; provided, however, that under no circumstances shall the Good Management Standard be construed to allow a Person to be held to a lesser standard than is required under applicable Law.</w:t>
      </w:r>
    </w:p>
    <w:p>
      <w:pPr>
        <w:spacing w:after="0" w:line="10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foreign, domestic, federal, territorial, state or local governmental authority, court, commission, board, bureau, agency or instrumentality, or any regulatory, administrative or other department, agency, or any political or other subdivision, department or branch of any of the foregoing, any Taxing Authority and any electric reliability organization, regional transmission organization or independent system operator or any successor thereto.</w:t>
      </w:r>
    </w:p>
    <w:p>
      <w:pPr>
        <w:spacing w:after="0" w:line="9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“Highest Marginal Rate” </w:t>
      </w:r>
      <w:r>
        <w:rPr>
          <w:rFonts w:ascii="Arial" w:cs="Arial" w:eastAsia="Arial" w:hAnsi="Arial"/>
          <w:sz w:val="22"/>
          <w:szCs w:val="22"/>
          <w:color w:val="auto"/>
        </w:rPr>
        <w:t>means, with respect to any Member, the then highest marginal federal income tax rate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corporations.</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“Holder” </w:t>
      </w:r>
      <w:r>
        <w:rPr>
          <w:rFonts w:ascii="Arial" w:cs="Arial" w:eastAsia="Arial" w:hAnsi="Arial"/>
          <w:sz w:val="22"/>
          <w:szCs w:val="22"/>
          <w:color w:val="auto"/>
        </w:rPr>
        <w:t>means, as to a Class A Unit, the Class A Member holding such Class A Unit, and, as to a Class B Unit, the</w:t>
      </w:r>
      <w:r>
        <w:rPr>
          <w:rFonts w:ascii="Arial" w:cs="Arial" w:eastAsia="Arial" w:hAnsi="Arial"/>
          <w:sz w:val="22"/>
          <w:szCs w:val="22"/>
          <w:b w:val="1"/>
          <w:bCs w:val="1"/>
          <w:color w:val="auto"/>
        </w:rPr>
        <w:t xml:space="preserve"> </w:t>
      </w:r>
      <w:r>
        <w:rPr>
          <w:rFonts w:ascii="Arial" w:cs="Arial" w:eastAsia="Arial" w:hAnsi="Arial"/>
          <w:sz w:val="22"/>
          <w:szCs w:val="22"/>
          <w:color w:val="auto"/>
        </w:rPr>
        <w:t>Class B Member holding such Class B Unit.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“HSR Act” </w:t>
      </w:r>
      <w:r>
        <w:rPr>
          <w:rFonts w:ascii="Arial" w:cs="Arial" w:eastAsia="Arial" w:hAnsi="Arial"/>
          <w:sz w:val="22"/>
          <w:szCs w:val="22"/>
          <w:color w:val="auto"/>
        </w:rPr>
        <w:t>means the Hart-Scott-Rodino Antitrust Improvements Act of 1976,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“Incremental Class A Investment” </w:t>
      </w:r>
      <w:r>
        <w:rPr>
          <w:rFonts w:ascii="Arial" w:cs="Arial" w:eastAsia="Arial" w:hAnsi="Arial"/>
          <w:sz w:val="22"/>
          <w:szCs w:val="22"/>
          <w:color w:val="auto"/>
        </w:rPr>
        <w:t>is defined in Section 3.3(e)(i).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“Incremental Class A Investment Cap” </w:t>
      </w:r>
      <w:r>
        <w:rPr>
          <w:rFonts w:ascii="Arial" w:cs="Arial" w:eastAsia="Arial" w:hAnsi="Arial"/>
          <w:sz w:val="22"/>
          <w:szCs w:val="22"/>
          <w:color w:val="auto"/>
        </w:rPr>
        <w:t>means $66,641,185.88.</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“Incremental Class A Investment Cap (Base Only)” </w:t>
      </w:r>
      <w:r>
        <w:rPr>
          <w:rFonts w:ascii="Arial" w:cs="Arial" w:eastAsia="Arial" w:hAnsi="Arial"/>
          <w:sz w:val="22"/>
          <w:szCs w:val="22"/>
          <w:color w:val="auto"/>
        </w:rPr>
        <w:t>means the Incremental Class A Investment Cap, plus</w:t>
      </w:r>
      <w:r>
        <w:rPr>
          <w:rFonts w:ascii="Arial" w:cs="Arial" w:eastAsia="Arial" w:hAnsi="Arial"/>
          <w:sz w:val="22"/>
          <w:szCs w:val="22"/>
          <w:b w:val="1"/>
          <w:bCs w:val="1"/>
          <w:color w:val="auto"/>
        </w:rPr>
        <w:t xml:space="preserve"> </w:t>
      </w:r>
      <w:r>
        <w:rPr>
          <w:rFonts w:ascii="Arial" w:cs="Arial" w:eastAsia="Arial" w:hAnsi="Arial"/>
          <w:sz w:val="22"/>
          <w:szCs w:val="22"/>
          <w:color w:val="auto"/>
        </w:rPr>
        <w:t>$1,472,260.00.</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“Incremental Class B Investment” </w:t>
      </w:r>
      <w:r>
        <w:rPr>
          <w:rFonts w:ascii="Arial" w:cs="Arial" w:eastAsia="Arial" w:hAnsi="Arial"/>
          <w:sz w:val="22"/>
          <w:szCs w:val="22"/>
          <w:color w:val="auto"/>
        </w:rPr>
        <w:t>is defined in Section 3.3(e)(iii).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“Incremental Class B Investment Cap” </w:t>
      </w:r>
      <w:r>
        <w:rPr>
          <w:rFonts w:ascii="Arial" w:cs="Arial" w:eastAsia="Arial" w:hAnsi="Arial"/>
          <w:sz w:val="22"/>
          <w:szCs w:val="22"/>
          <w:color w:val="auto"/>
        </w:rPr>
        <w:t>is defined in Section 3.3(e)(iii).</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“Indebtedness” </w:t>
      </w:r>
      <w:r>
        <w:rPr>
          <w:rFonts w:ascii="Arial" w:cs="Arial" w:eastAsia="Arial" w:hAnsi="Arial"/>
          <w:sz w:val="22"/>
          <w:szCs w:val="22"/>
          <w:color w:val="auto"/>
        </w:rPr>
        <w:t>means indebtedness for borrowed money and any lease of any property as lessee the obligations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are required to be classified or accounted for as a capital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272" w:name="page273"/>
    <w:bookmarkEnd w:id="272"/>
    <w:p>
      <w:pPr>
        <w:spacing w:after="0" w:line="263" w:lineRule="auto"/>
        <w:rPr>
          <w:sz w:val="20"/>
          <w:szCs w:val="20"/>
          <w:color w:val="auto"/>
        </w:rPr>
      </w:pPr>
      <w:r>
        <w:rPr>
          <w:rFonts w:ascii="Arial" w:cs="Arial" w:eastAsia="Arial" w:hAnsi="Arial"/>
          <w:sz w:val="22"/>
          <w:szCs w:val="22"/>
          <w:color w:val="auto"/>
        </w:rPr>
        <w:t>on the balance sheet of the applicable Person, off-balance sheet leases, but expressly does not include short-term (i.e., less than one (1) year in maturity) trade payables incurred in the ordinary course of business.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“Indemnified Party” </w:t>
      </w:r>
      <w:r>
        <w:rPr>
          <w:rFonts w:ascii="Arial" w:cs="Arial" w:eastAsia="Arial" w:hAnsi="Arial"/>
          <w:sz w:val="22"/>
          <w:szCs w:val="22"/>
          <w:color w:val="auto"/>
        </w:rPr>
        <w:t>is defined in Section 11.1(b).</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“Indemnifying Member” </w:t>
      </w:r>
      <w:r>
        <w:rPr>
          <w:rFonts w:ascii="Arial" w:cs="Arial" w:eastAsia="Arial" w:hAnsi="Arial"/>
          <w:sz w:val="22"/>
          <w:szCs w:val="22"/>
          <w:color w:val="auto"/>
        </w:rPr>
        <w:t>is defined in Section 11.2.</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“Indemnity Claim” </w:t>
      </w:r>
      <w:r>
        <w:rPr>
          <w:rFonts w:ascii="Arial" w:cs="Arial" w:eastAsia="Arial" w:hAnsi="Arial"/>
          <w:sz w:val="22"/>
          <w:szCs w:val="22"/>
          <w:color w:val="auto"/>
        </w:rPr>
        <w:t>is defined in Section 11.1(b).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“Initial Class A Member” </w:t>
      </w:r>
      <w:r>
        <w:rPr>
          <w:rFonts w:ascii="Arial" w:cs="Arial" w:eastAsia="Arial" w:hAnsi="Arial"/>
          <w:sz w:val="22"/>
          <w:szCs w:val="22"/>
          <w:color w:val="auto"/>
        </w:rPr>
        <w:t>means is defined in the introductory paragraph.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“Initial Class B Member” </w:t>
      </w:r>
      <w:r>
        <w:rPr>
          <w:rFonts w:ascii="Arial" w:cs="Arial" w:eastAsia="Arial" w:hAnsi="Arial"/>
          <w:sz w:val="22"/>
          <w:szCs w:val="22"/>
          <w:color w:val="auto"/>
        </w:rPr>
        <w:t>means is defined in the introductory paragraph.</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“Initial Capital Contribution” </w:t>
      </w:r>
      <w:r>
        <w:rPr>
          <w:rFonts w:ascii="Arial" w:cs="Arial" w:eastAsia="Arial" w:hAnsi="Arial"/>
          <w:sz w:val="22"/>
          <w:szCs w:val="22"/>
          <w:color w:val="auto"/>
        </w:rPr>
        <w:t>means a Capital Contribution made on the Effective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Intent Notice</w:t>
      </w:r>
      <w:r>
        <w:rPr>
          <w:rFonts w:ascii="Arial" w:cs="Arial" w:eastAsia="Arial" w:hAnsi="Arial"/>
          <w:sz w:val="22"/>
          <w:szCs w:val="22"/>
          <w:color w:val="auto"/>
        </w:rPr>
        <w:t>” is defined in is defined in Section 9.6(d).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“Investment Documents” </w:t>
      </w:r>
      <w:r>
        <w:rPr>
          <w:rFonts w:ascii="Arial" w:cs="Arial" w:eastAsia="Arial" w:hAnsi="Arial"/>
          <w:sz w:val="22"/>
          <w:szCs w:val="22"/>
          <w:color w:val="auto"/>
        </w:rPr>
        <w:t>means this Agreement and any other documents entered into by the Company in connection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Members acquiring and maintaining their Membership Interests in the Company.</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“Investment Grade” </w:t>
      </w:r>
      <w:r>
        <w:rPr>
          <w:rFonts w:ascii="Arial" w:cs="Arial" w:eastAsia="Arial" w:hAnsi="Arial"/>
          <w:sz w:val="22"/>
          <w:szCs w:val="22"/>
          <w:color w:val="auto"/>
        </w:rPr>
        <w:t>means a credit rating of “BBB-” or higher by Standard &amp; Poor’s, “Baa3” or higher by Moody’s</w:t>
      </w:r>
      <w:r>
        <w:rPr>
          <w:rFonts w:ascii="Arial" w:cs="Arial" w:eastAsia="Arial" w:hAnsi="Arial"/>
          <w:sz w:val="22"/>
          <w:szCs w:val="22"/>
          <w:b w:val="1"/>
          <w:bCs w:val="1"/>
          <w:color w:val="auto"/>
        </w:rPr>
        <w:t xml:space="preserve"> </w:t>
      </w:r>
      <w:r>
        <w:rPr>
          <w:rFonts w:ascii="Arial" w:cs="Arial" w:eastAsia="Arial" w:hAnsi="Arial"/>
          <w:sz w:val="22"/>
          <w:szCs w:val="22"/>
          <w:color w:val="auto"/>
        </w:rPr>
        <w:t>Investors Service or an equivalent rating by a nationally recognized rating agency.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“IRS” </w:t>
      </w:r>
      <w:r>
        <w:rPr>
          <w:rFonts w:ascii="Arial" w:cs="Arial" w:eastAsia="Arial" w:hAnsi="Arial"/>
          <w:sz w:val="22"/>
          <w:szCs w:val="22"/>
          <w:color w:val="auto"/>
        </w:rPr>
        <w:t>means the Internal Revenue Service and any successor Governmental Authority.</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“Law” </w:t>
      </w:r>
      <w:r>
        <w:rPr>
          <w:rFonts w:ascii="Arial" w:cs="Arial" w:eastAsia="Arial" w:hAnsi="Arial"/>
          <w:sz w:val="22"/>
          <w:szCs w:val="22"/>
          <w:color w:val="auto"/>
        </w:rPr>
        <w:t>means any applicable constitution, statute, law, ordinance, regulation, rate, ruling, order, judgment, legally binding</w:t>
      </w:r>
      <w:r>
        <w:rPr>
          <w:rFonts w:ascii="Arial" w:cs="Arial" w:eastAsia="Arial" w:hAnsi="Arial"/>
          <w:sz w:val="22"/>
          <w:szCs w:val="22"/>
          <w:b w:val="1"/>
          <w:bCs w:val="1"/>
          <w:color w:val="auto"/>
        </w:rPr>
        <w:t xml:space="preserve"> </w:t>
      </w:r>
      <w:r>
        <w:rPr>
          <w:rFonts w:ascii="Arial" w:cs="Arial" w:eastAsia="Arial" w:hAnsi="Arial"/>
          <w:sz w:val="22"/>
          <w:szCs w:val="22"/>
          <w:color w:val="auto"/>
        </w:rPr>
        <w:t>guideline, restriction, requirement, writ, injunction or decree that has been enacted, issued or promulgated by any Governmental Authority.</w:t>
      </w:r>
    </w:p>
    <w:p>
      <w:pPr>
        <w:spacing w:after="0" w:line="1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“Licenses and Permits” </w:t>
      </w:r>
      <w:r>
        <w:rPr>
          <w:rFonts w:ascii="Arial" w:cs="Arial" w:eastAsia="Arial" w:hAnsi="Arial"/>
          <w:sz w:val="22"/>
          <w:szCs w:val="22"/>
          <w:color w:val="auto"/>
        </w:rPr>
        <w:t>means filings and registrations with, and licenses, permits, notices, approvals, grants, easements,</w:t>
      </w:r>
      <w:r>
        <w:rPr>
          <w:rFonts w:ascii="Arial" w:cs="Arial" w:eastAsia="Arial" w:hAnsi="Arial"/>
          <w:sz w:val="22"/>
          <w:szCs w:val="22"/>
          <w:b w:val="1"/>
          <w:bCs w:val="1"/>
          <w:color w:val="auto"/>
        </w:rPr>
        <w:t xml:space="preserve"> </w:t>
      </w:r>
      <w:r>
        <w:rPr>
          <w:rFonts w:ascii="Arial" w:cs="Arial" w:eastAsia="Arial" w:hAnsi="Arial"/>
          <w:sz w:val="22"/>
          <w:szCs w:val="22"/>
          <w:color w:val="auto"/>
        </w:rPr>
        <w:t>exemptions, variances and authorizations from, any Governmental Authority.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“Liquidating Events” </w:t>
      </w:r>
      <w:r>
        <w:rPr>
          <w:rFonts w:ascii="Arial" w:cs="Arial" w:eastAsia="Arial" w:hAnsi="Arial"/>
          <w:sz w:val="22"/>
          <w:szCs w:val="22"/>
          <w:color w:val="auto"/>
        </w:rPr>
        <w:t>is defined in Section 12.1(a).</w:t>
      </w:r>
    </w:p>
    <w:p>
      <w:pPr>
        <w:spacing w:after="0" w:line="19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“Manager” </w:t>
      </w:r>
      <w:r>
        <w:rPr>
          <w:rFonts w:ascii="Arial" w:cs="Arial" w:eastAsia="Arial" w:hAnsi="Arial"/>
          <w:sz w:val="19"/>
          <w:szCs w:val="19"/>
          <w:color w:val="auto"/>
        </w:rPr>
        <w:t>means the Person appointed by the Members pursuant to Article VI to manage the affairs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other Person hereafter appointed as a successor Manager of the Company as provided in Article VI. Pursuant to its appointment by the Members in Section 6.1, the Initial Class A Member shall be the initial Manager of the Company.</w:t>
      </w:r>
    </w:p>
    <w:p>
      <w:pPr>
        <w:spacing w:after="0" w:line="85"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“Master Services Provider” </w:t>
      </w:r>
      <w:r>
        <w:rPr>
          <w:rFonts w:ascii="Arial" w:cs="Arial" w:eastAsia="Arial" w:hAnsi="Arial"/>
          <w:sz w:val="19"/>
          <w:szCs w:val="19"/>
          <w:color w:val="auto"/>
        </w:rPr>
        <w:t>means [***], a Delaware limited liability company. For purposes of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Master Services Provider shall be considered an Affiliate of the Class B Member but not an Affiliate of the Class A Member.</w:t>
      </w:r>
    </w:p>
    <w:p>
      <w:pPr>
        <w:spacing w:after="0" w:line="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“Material Adverse Effect” </w:t>
      </w:r>
      <w:r>
        <w:rPr>
          <w:rFonts w:ascii="Arial" w:cs="Arial" w:eastAsia="Arial" w:hAnsi="Arial"/>
          <w:sz w:val="22"/>
          <w:szCs w:val="22"/>
          <w:color w:val="auto"/>
        </w:rPr>
        <w:t>means any act, event, condition or circumstance that, individually or in the aggregate, is, or</w:t>
      </w:r>
      <w:r>
        <w:rPr>
          <w:rFonts w:ascii="Arial" w:cs="Arial" w:eastAsia="Arial" w:hAnsi="Arial"/>
          <w:sz w:val="22"/>
          <w:szCs w:val="22"/>
          <w:b w:val="1"/>
          <w:bCs w:val="1"/>
          <w:color w:val="auto"/>
        </w:rPr>
        <w:t xml:space="preserve"> </w:t>
      </w:r>
      <w:r>
        <w:rPr>
          <w:rFonts w:ascii="Arial" w:cs="Arial" w:eastAsia="Arial" w:hAnsi="Arial"/>
          <w:sz w:val="22"/>
          <w:szCs w:val="22"/>
          <w:color w:val="auto"/>
        </w:rPr>
        <w:t>could reasonably be expected to be, materially adverse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73" w:name="page274"/>
    <w:bookmarkEnd w:id="273"/>
    <w:p>
      <w:pPr>
        <w:jc w:val="both"/>
        <w:spacing w:after="0" w:line="248" w:lineRule="auto"/>
        <w:rPr>
          <w:sz w:val="20"/>
          <w:szCs w:val="20"/>
          <w:color w:val="auto"/>
        </w:rPr>
      </w:pPr>
      <w:r>
        <w:rPr>
          <w:rFonts w:ascii="Arial" w:cs="Arial" w:eastAsia="Arial" w:hAnsi="Arial"/>
          <w:sz w:val="22"/>
          <w:szCs w:val="22"/>
          <w:color w:val="auto"/>
        </w:rPr>
        <w:t>the business, earnings, Assets, liabilities (contingent or otherwise), results of operations, prospects, condition (financial or otherwise) or properties of the Pinnacle Project Company or any other subsidiary of the Company, or on the ability of the Pinnacle Project Company or any other subsidiary of the Company to timely perform any of its respective obligations under any Transaction Document to which it is a party or the legality, validity, binding effect or enforceability of any such Transaction Document.</w:t>
      </w:r>
    </w:p>
    <w:p>
      <w:pPr>
        <w:spacing w:after="0" w:line="14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“Member” </w:t>
      </w:r>
      <w:r>
        <w:rPr>
          <w:rFonts w:ascii="Arial" w:cs="Arial" w:eastAsia="Arial" w:hAnsi="Arial"/>
          <w:sz w:val="22"/>
          <w:szCs w:val="22"/>
          <w:color w:val="auto"/>
        </w:rPr>
        <w:t>means any Person who executes the signature page of this Agreement as of the Effective Date or thereafter</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to be bound hereby and is admitted to the Company as a Member pursuant to this Agreement, excluding any Person that has ceased to be a Member.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“Member Loan” </w:t>
      </w:r>
      <w:r>
        <w:rPr>
          <w:rFonts w:ascii="Arial" w:cs="Arial" w:eastAsia="Arial" w:hAnsi="Arial"/>
          <w:sz w:val="22"/>
          <w:szCs w:val="22"/>
          <w:color w:val="auto"/>
        </w:rPr>
        <w:t>is defined in Section 3.4(a).</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“Member Nonrecourse Debt” </w:t>
      </w:r>
      <w:r>
        <w:rPr>
          <w:rFonts w:ascii="Arial" w:cs="Arial" w:eastAsia="Arial" w:hAnsi="Arial"/>
          <w:sz w:val="22"/>
          <w:szCs w:val="22"/>
          <w:color w:val="auto"/>
        </w:rPr>
        <w:t>has the meaning given the term “partner nonrecourse debt” in Treasury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1.704 2(b)(4).</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“Member Nonrecourse Debt Minimum Gain” </w:t>
      </w:r>
      <w:r>
        <w:rPr>
          <w:rFonts w:ascii="Arial" w:cs="Arial" w:eastAsia="Arial" w:hAnsi="Arial"/>
          <w:sz w:val="22"/>
          <w:szCs w:val="22"/>
          <w:color w:val="auto"/>
        </w:rPr>
        <w:t>has the meaning given the term “partner nonrecourse debt minimum</w:t>
      </w:r>
      <w:r>
        <w:rPr>
          <w:rFonts w:ascii="Arial" w:cs="Arial" w:eastAsia="Arial" w:hAnsi="Arial"/>
          <w:sz w:val="22"/>
          <w:szCs w:val="22"/>
          <w:b w:val="1"/>
          <w:bCs w:val="1"/>
          <w:color w:val="auto"/>
        </w:rPr>
        <w:t xml:space="preserve"> </w:t>
      </w:r>
      <w:r>
        <w:rPr>
          <w:rFonts w:ascii="Arial" w:cs="Arial" w:eastAsia="Arial" w:hAnsi="Arial"/>
          <w:sz w:val="22"/>
          <w:szCs w:val="22"/>
          <w:color w:val="auto"/>
        </w:rPr>
        <w:t>gain” set forth in Treasury Regulations Section 1.704 2(i)(2), and will be computed as provided in Treasury Regulations Section 1.704 2(i)(3).</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“Member Nonrecourse Deductions” </w:t>
      </w:r>
      <w:r>
        <w:rPr>
          <w:rFonts w:ascii="Arial" w:cs="Arial" w:eastAsia="Arial" w:hAnsi="Arial"/>
          <w:sz w:val="22"/>
          <w:szCs w:val="22"/>
          <w:color w:val="auto"/>
        </w:rPr>
        <w:t>has the same meaning as the term “partner nonrecourse deductions” in Treasury</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Sections 1.704 2(i)(1) and 1.704 2(i)(2).</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“Membership Interest” </w:t>
      </w:r>
      <w:r>
        <w:rPr>
          <w:rFonts w:ascii="Arial" w:cs="Arial" w:eastAsia="Arial" w:hAnsi="Arial"/>
          <w:sz w:val="21"/>
          <w:szCs w:val="21"/>
          <w:color w:val="auto"/>
        </w:rPr>
        <w:t>means either the Class A Interest or the Class B Interest or both, as the context requires.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“Moody’s” </w:t>
      </w:r>
      <w:r>
        <w:rPr>
          <w:rFonts w:ascii="Arial" w:cs="Arial" w:eastAsia="Arial" w:hAnsi="Arial"/>
          <w:sz w:val="22"/>
          <w:szCs w:val="22"/>
          <w:color w:val="auto"/>
        </w:rPr>
        <w:t>means Moody’s Investor Service, or any successor entity.</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“Nonrecourse Deductions” </w:t>
      </w:r>
      <w:r>
        <w:rPr>
          <w:rFonts w:ascii="Arial" w:cs="Arial" w:eastAsia="Arial" w:hAnsi="Arial"/>
          <w:sz w:val="22"/>
          <w:szCs w:val="22"/>
          <w:color w:val="auto"/>
        </w:rPr>
        <w:t>has the meaning given to such term in Treasury Regulations Sections 1.704 2(b)(1) and</w:t>
      </w:r>
      <w:r>
        <w:rPr>
          <w:rFonts w:ascii="Arial" w:cs="Arial" w:eastAsia="Arial" w:hAnsi="Arial"/>
          <w:sz w:val="22"/>
          <w:szCs w:val="22"/>
          <w:b w:val="1"/>
          <w:bCs w:val="1"/>
          <w:color w:val="auto"/>
        </w:rPr>
        <w:t xml:space="preserve"> </w:t>
      </w:r>
      <w:r>
        <w:rPr>
          <w:rFonts w:ascii="Arial" w:cs="Arial" w:eastAsia="Arial" w:hAnsi="Arial"/>
          <w:sz w:val="22"/>
          <w:szCs w:val="22"/>
          <w:color w:val="auto"/>
        </w:rPr>
        <w:t>1.704 2(c).</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“Nonrecourse Liability” </w:t>
      </w:r>
      <w:r>
        <w:rPr>
          <w:rFonts w:ascii="Arial" w:cs="Arial" w:eastAsia="Arial" w:hAnsi="Arial"/>
          <w:sz w:val="22"/>
          <w:szCs w:val="22"/>
          <w:color w:val="auto"/>
        </w:rPr>
        <w:t>has the meaning given such term in Treasury Regulations Section 1.704 2(b)(3).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NPV</w:t>
      </w:r>
      <w:r>
        <w:rPr>
          <w:rFonts w:ascii="Arial" w:cs="Arial" w:eastAsia="Arial" w:hAnsi="Arial"/>
          <w:sz w:val="22"/>
          <w:szCs w:val="22"/>
          <w:color w:val="auto"/>
        </w:rPr>
        <w:t>” means the value in the cell ‘Transaction Summary’!D18” in the Base Case Model.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“Officers” </w:t>
      </w:r>
      <w:r>
        <w:rPr>
          <w:rFonts w:ascii="Arial" w:cs="Arial" w:eastAsia="Arial" w:hAnsi="Arial"/>
          <w:sz w:val="22"/>
          <w:szCs w:val="22"/>
          <w:color w:val="auto"/>
        </w:rPr>
        <w:t>is defined in Section 6.4.</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LLC Agreement</w:t>
      </w:r>
      <w:r>
        <w:rPr>
          <w:rFonts w:ascii="Arial" w:cs="Arial" w:eastAsia="Arial" w:hAnsi="Arial"/>
          <w:sz w:val="22"/>
          <w:szCs w:val="22"/>
          <w:color w:val="auto"/>
        </w:rPr>
        <w:t>” is defined in the preamble to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Outside Admission Date</w:t>
      </w:r>
      <w:r>
        <w:rPr>
          <w:rFonts w:ascii="Arial" w:cs="Arial" w:eastAsia="Arial" w:hAnsi="Arial"/>
          <w:sz w:val="22"/>
          <w:szCs w:val="22"/>
          <w:color w:val="auto"/>
        </w:rPr>
        <w:t>” is defined in Section 9.8.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“Partnership Representative” </w:t>
      </w:r>
      <w:r>
        <w:rPr>
          <w:rFonts w:ascii="Arial" w:cs="Arial" w:eastAsia="Arial" w:hAnsi="Arial"/>
          <w:sz w:val="22"/>
          <w:szCs w:val="22"/>
          <w:color w:val="auto"/>
        </w:rPr>
        <w:t>is defined in Section 8.7(a).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“Party” </w:t>
      </w:r>
      <w:r>
        <w:rPr>
          <w:rFonts w:ascii="Arial" w:cs="Arial" w:eastAsia="Arial" w:hAnsi="Arial"/>
          <w:sz w:val="22"/>
          <w:szCs w:val="22"/>
          <w:color w:val="auto"/>
        </w:rPr>
        <w:t>means the Class B Member, the Company or the Class A Member, as the context requires.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“Permitted Investments” </w:t>
      </w:r>
      <w:r>
        <w:rPr>
          <w:rFonts w:ascii="Arial" w:cs="Arial" w:eastAsia="Arial" w:hAnsi="Arial"/>
          <w:sz w:val="22"/>
          <w:szCs w:val="22"/>
          <w:color w:val="auto"/>
        </w:rPr>
        <w:t>is defined in Section 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74" w:name="page275"/>
    <w:bookmarkEnd w:id="274"/>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means an individual, a corporation, a limited liability company, a partnership, an association, joint venture, a</w:t>
      </w:r>
      <w:r>
        <w:rPr>
          <w:rFonts w:ascii="Arial" w:cs="Arial" w:eastAsia="Arial" w:hAnsi="Arial"/>
          <w:sz w:val="22"/>
          <w:szCs w:val="22"/>
          <w:b w:val="1"/>
          <w:bCs w:val="1"/>
          <w:color w:val="auto"/>
        </w:rPr>
        <w:t xml:space="preserve"> </w:t>
      </w:r>
      <w:r>
        <w:rPr>
          <w:rFonts w:ascii="Arial" w:cs="Arial" w:eastAsia="Arial" w:hAnsi="Arial"/>
          <w:sz w:val="22"/>
          <w:szCs w:val="22"/>
          <w:color w:val="auto"/>
        </w:rPr>
        <w:t>labor union, a trust or any other entity or organization, including a Governmental Authority.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“Pinnacle Holdco” </w:t>
      </w:r>
      <w:r>
        <w:rPr>
          <w:rFonts w:ascii="Arial" w:cs="Arial" w:eastAsia="Arial" w:hAnsi="Arial"/>
          <w:sz w:val="22"/>
          <w:szCs w:val="22"/>
          <w:color w:val="auto"/>
        </w:rPr>
        <w:t>is defined in the recitals to this Agreement.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“Pinnacle Project” </w:t>
      </w:r>
      <w:r>
        <w:rPr>
          <w:rFonts w:ascii="Arial" w:cs="Arial" w:eastAsia="Arial" w:hAnsi="Arial"/>
          <w:sz w:val="22"/>
          <w:szCs w:val="22"/>
          <w:color w:val="auto"/>
        </w:rPr>
        <w:t>means the wind-powered electricity generation facility located in Mineral County, West Virginia,</w:t>
      </w:r>
      <w:r>
        <w:rPr>
          <w:rFonts w:ascii="Arial" w:cs="Arial" w:eastAsia="Arial" w:hAnsi="Arial"/>
          <w:sz w:val="22"/>
          <w:szCs w:val="22"/>
          <w:b w:val="1"/>
          <w:bCs w:val="1"/>
          <w:color w:val="auto"/>
        </w:rPr>
        <w:t xml:space="preserve"> </w:t>
      </w:r>
      <w:r>
        <w:rPr>
          <w:rFonts w:ascii="Arial" w:cs="Arial" w:eastAsia="Arial" w:hAnsi="Arial"/>
          <w:sz w:val="22"/>
          <w:szCs w:val="22"/>
          <w:color w:val="auto"/>
        </w:rPr>
        <w:t>with a nameplate rating of 53.7 MW, known as the “Pinnacle” project, including the turbines and related equipment, buildings, collection lines, substation, and other improvements related thereto.</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“Pinnacle Project Company” </w:t>
      </w:r>
      <w:r>
        <w:rPr>
          <w:rFonts w:ascii="Arial" w:cs="Arial" w:eastAsia="Arial" w:hAnsi="Arial"/>
          <w:sz w:val="22"/>
          <w:szCs w:val="22"/>
          <w:color w:val="auto"/>
        </w:rPr>
        <w:t>is defined in the recitals to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“Posting Notice” </w:t>
      </w:r>
      <w:r>
        <w:rPr>
          <w:rFonts w:ascii="Arial" w:cs="Arial" w:eastAsia="Arial" w:hAnsi="Arial"/>
          <w:sz w:val="22"/>
          <w:szCs w:val="22"/>
          <w:color w:val="auto"/>
        </w:rPr>
        <w:t>is defined in Section 3.5(a).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Preliminary Intent Notice</w:t>
      </w:r>
      <w:r>
        <w:rPr>
          <w:rFonts w:ascii="Arial" w:cs="Arial" w:eastAsia="Arial" w:hAnsi="Arial"/>
          <w:sz w:val="22"/>
          <w:szCs w:val="22"/>
          <w:color w:val="auto"/>
        </w:rPr>
        <w:t>” is defined in is defined in Section 9.6(d).</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“Pre-Tax IRR” </w:t>
      </w:r>
      <w:r>
        <w:rPr>
          <w:rFonts w:ascii="Arial" w:cs="Arial" w:eastAsia="Arial" w:hAnsi="Arial"/>
          <w:sz w:val="19"/>
          <w:szCs w:val="19"/>
          <w:color w:val="auto"/>
        </w:rPr>
        <w:t>means, with respect to the Holder of a Class A Unit and at the time of any determination, the annual</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discount rate (calculated and compounded on a daily basis using the Microsoft Excel XIRR function on all pre-tax cash flows) which sets A equal to B, where A is the sum of (a) the present value of all Cash Distributions in respect of such Class A Unit, plus (b) the present value of all indemnity payments received in respect of such Class A Unit, that compensate for loss of any item listed in the foregoing clauses (a) and (b); and B is the present value of the Class A Investment.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“PTCs” </w:t>
      </w:r>
      <w:r>
        <w:rPr>
          <w:rFonts w:ascii="Arial" w:cs="Arial" w:eastAsia="Arial" w:hAnsi="Arial"/>
          <w:sz w:val="22"/>
          <w:szCs w:val="22"/>
          <w:color w:val="auto"/>
        </w:rPr>
        <w:t>mean the renewable energy production tax credits provided for pursuant to Section 45 of the Code.</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“PUHCA” </w:t>
      </w:r>
      <w:r>
        <w:rPr>
          <w:rFonts w:ascii="Arial" w:cs="Arial" w:eastAsia="Arial" w:hAnsi="Arial"/>
          <w:sz w:val="22"/>
          <w:szCs w:val="22"/>
          <w:color w:val="auto"/>
        </w:rPr>
        <w:t>means the Public Utility Holding Company Act of 2005, 42 U.S.C. §§ 16451, et seq. and the regulations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FERC thereunder at 18 C.F.R. §§ 366.1, et seq.</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Option</w:t>
      </w:r>
      <w:r>
        <w:rPr>
          <w:rFonts w:ascii="Arial" w:cs="Arial" w:eastAsia="Arial" w:hAnsi="Arial"/>
          <w:sz w:val="22"/>
          <w:szCs w:val="22"/>
          <w:color w:val="auto"/>
        </w:rPr>
        <w:t>” is defined in Section 9.6.</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Option Period</w:t>
      </w:r>
      <w:r>
        <w:rPr>
          <w:rFonts w:ascii="Arial" w:cs="Arial" w:eastAsia="Arial" w:hAnsi="Arial"/>
          <w:sz w:val="22"/>
          <w:szCs w:val="22"/>
          <w:color w:val="auto"/>
        </w:rPr>
        <w:t>” is defined in Section 9.6(a).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Option Price</w:t>
      </w:r>
      <w:r>
        <w:rPr>
          <w:rFonts w:ascii="Arial" w:cs="Arial" w:eastAsia="Arial" w:hAnsi="Arial"/>
          <w:sz w:val="22"/>
          <w:szCs w:val="22"/>
          <w:color w:val="auto"/>
        </w:rPr>
        <w:t>” is defined in Section 9.6(a).</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“Qualified Transferee” </w:t>
      </w:r>
      <w:r>
        <w:rPr>
          <w:rFonts w:ascii="Arial" w:cs="Arial" w:eastAsia="Arial" w:hAnsi="Arial"/>
          <w:sz w:val="21"/>
          <w:szCs w:val="21"/>
          <w:color w:val="auto"/>
        </w:rPr>
        <w:t>means a nationally recognized Person (or a direct or indirect subsidiary of a Person): (a) that,</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an Encumbrance on a Class B Unit, (i) owns and manages or operates (before giving effect to any Transfer hereunder) not less than [***] of wind projects in the United States (excluding the Pinnacle Project), and such Person (or such Person’s direct or indirect Parent) must have done so for a period of [***] prior to the Transfer or (ii) engages a Person (at its own cost and expense) meeting the qualifications of clause (i) above to act as a non-member manager hereunder, and (b) that (i) has a credit rating of [***], and such parent provides a guaranty in favor of the Members not party to such Encumbrance, in form and substance reasonably acceptable to such Members.</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“RECs” </w:t>
      </w:r>
      <w:r>
        <w:rPr>
          <w:rFonts w:ascii="Arial" w:cs="Arial" w:eastAsia="Arial" w:hAnsi="Arial"/>
          <w:sz w:val="22"/>
          <w:szCs w:val="22"/>
          <w:color w:val="auto"/>
        </w:rPr>
        <w:t>means any credits, credit certificates, green tags or similar environmental or green energy attributes (such as</w:t>
      </w:r>
      <w:r>
        <w:rPr>
          <w:rFonts w:ascii="Arial" w:cs="Arial" w:eastAsia="Arial" w:hAnsi="Arial"/>
          <w:sz w:val="22"/>
          <w:szCs w:val="22"/>
          <w:b w:val="1"/>
          <w:bCs w:val="1"/>
          <w:color w:val="auto"/>
        </w:rPr>
        <w:t xml:space="preserve"> </w:t>
      </w:r>
      <w:r>
        <w:rPr>
          <w:rFonts w:ascii="Arial" w:cs="Arial" w:eastAsia="Arial" w:hAnsi="Arial"/>
          <w:sz w:val="22"/>
          <w:szCs w:val="22"/>
          <w:color w:val="auto"/>
        </w:rPr>
        <w:t>those for greenhouse reduction or the generation of green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2" w:right="339" w:bottom="1440" w:gutter="0" w:footer="0" w:header="0"/>
        </w:sectPr>
      </w:pPr>
    </w:p>
    <w:bookmarkStart w:id="275" w:name="page276"/>
    <w:bookmarkEnd w:id="275"/>
    <w:p>
      <w:pPr>
        <w:jc w:val="both"/>
        <w:spacing w:after="0" w:line="253" w:lineRule="auto"/>
        <w:rPr>
          <w:sz w:val="20"/>
          <w:szCs w:val="20"/>
          <w:color w:val="auto"/>
        </w:rPr>
      </w:pPr>
      <w:r>
        <w:rPr>
          <w:rFonts w:ascii="Arial" w:cs="Arial" w:eastAsia="Arial" w:hAnsi="Arial"/>
          <w:sz w:val="22"/>
          <w:szCs w:val="22"/>
          <w:color w:val="auto"/>
        </w:rPr>
        <w:t>or renewable energy) created by a Governmental Authority or independent certification board or group generally recognized in the electric power generation industry, and generated by or associated with the Pinnacle Project or electricity produced therefrom, but excluding PTCs or any other tax benefits.</w:t>
      </w:r>
    </w:p>
    <w:p>
      <w:pPr>
        <w:spacing w:after="0" w:line="139"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“Reference Rate” </w:t>
      </w:r>
      <w:r>
        <w:rPr>
          <w:rFonts w:ascii="Arial" w:cs="Arial" w:eastAsia="Arial" w:hAnsi="Arial"/>
          <w:sz w:val="19"/>
          <w:szCs w:val="19"/>
          <w:color w:val="auto"/>
        </w:rPr>
        <w:t>means the rate of interest published in The Wall Street Journal as the prime lending rate or “prime</w:t>
      </w:r>
      <w:r>
        <w:rPr>
          <w:rFonts w:ascii="Arial" w:cs="Arial" w:eastAsia="Arial" w:hAnsi="Arial"/>
          <w:sz w:val="19"/>
          <w:szCs w:val="19"/>
          <w:b w:val="1"/>
          <w:bCs w:val="1"/>
          <w:color w:val="auto"/>
        </w:rPr>
        <w:t xml:space="preserve"> </w:t>
      </w:r>
      <w:r>
        <w:rPr>
          <w:rFonts w:ascii="Arial" w:cs="Arial" w:eastAsia="Arial" w:hAnsi="Arial"/>
          <w:sz w:val="19"/>
          <w:szCs w:val="19"/>
          <w:color w:val="auto"/>
        </w:rPr>
        <w:t>rate”, with adjustments in that varying rate to be made on the same date as any change in that rate is so published.</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“Register” </w:t>
      </w:r>
      <w:r>
        <w:rPr>
          <w:rFonts w:ascii="Arial" w:cs="Arial" w:eastAsia="Arial" w:hAnsi="Arial"/>
          <w:sz w:val="22"/>
          <w:szCs w:val="22"/>
          <w:color w:val="auto"/>
        </w:rPr>
        <w:t>is defined in Section 2.8.</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“Regulatory Allocations” </w:t>
      </w:r>
      <w:r>
        <w:rPr>
          <w:rFonts w:ascii="Arial" w:cs="Arial" w:eastAsia="Arial" w:hAnsi="Arial"/>
          <w:sz w:val="22"/>
          <w:szCs w:val="22"/>
          <w:color w:val="auto"/>
        </w:rPr>
        <w:t>is defined in Section 4.3(i).</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“Related Party(ies)” </w:t>
      </w:r>
      <w:r>
        <w:rPr>
          <w:rFonts w:ascii="Arial" w:cs="Arial" w:eastAsia="Arial" w:hAnsi="Arial"/>
          <w:sz w:val="19"/>
          <w:szCs w:val="19"/>
          <w:color w:val="auto"/>
        </w:rPr>
        <w:t>means any Person who is considered for federal income tax purposes to be purchasing electricity</w:t>
      </w:r>
      <w:r>
        <w:rPr>
          <w:rFonts w:ascii="Arial" w:cs="Arial" w:eastAsia="Arial" w:hAnsi="Arial"/>
          <w:sz w:val="19"/>
          <w:szCs w:val="19"/>
          <w:b w:val="1"/>
          <w:bCs w:val="1"/>
          <w:color w:val="auto"/>
        </w:rPr>
        <w:t xml:space="preserve"> </w:t>
      </w:r>
      <w:r>
        <w:rPr>
          <w:rFonts w:ascii="Arial" w:cs="Arial" w:eastAsia="Arial" w:hAnsi="Arial"/>
          <w:sz w:val="19"/>
          <w:szCs w:val="19"/>
          <w:color w:val="auto"/>
        </w:rPr>
        <w:t>generated by the Pinnacle Project Company and who is related to the Pinnacle Project Company within the meaning of Section 267(b) or Section 707(b) of the Code or any successor provision, but excluding any Person that so purchases electricity generated by the Pinnacle Project Company to the extent such Person resells the electricity to another Person who is not related to the Pinnacle Project Company within the meaning of Section 267(b) or Section 707(b) of the Code or any successor provision.</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Repowering Capital Contribution</w:t>
      </w:r>
      <w:r>
        <w:rPr>
          <w:rFonts w:ascii="Arial" w:cs="Arial" w:eastAsia="Arial" w:hAnsi="Arial"/>
          <w:sz w:val="22"/>
          <w:szCs w:val="22"/>
          <w:color w:val="auto"/>
        </w:rPr>
        <w:t>” means the Incremental Class A Investment plus the Incremental Class B Investment.</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“Repowering Construction Contract” </w:t>
      </w:r>
      <w:r>
        <w:rPr>
          <w:rFonts w:ascii="Arial" w:cs="Arial" w:eastAsia="Arial" w:hAnsi="Arial"/>
          <w:sz w:val="22"/>
          <w:szCs w:val="22"/>
          <w:color w:val="auto"/>
        </w:rPr>
        <w:t>means one or more engineering, procurement, construction, balance of plant or</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contracts for the repowering of the Pinnacle Project providing a scope of supply and work not otherwise provided under the Repowering TSA.</w:t>
      </w:r>
    </w:p>
    <w:p>
      <w:pPr>
        <w:spacing w:after="0" w:line="13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“Repowering Construction Financing” </w:t>
      </w:r>
      <w:r>
        <w:rPr>
          <w:rFonts w:ascii="Arial" w:cs="Arial" w:eastAsia="Arial" w:hAnsi="Arial"/>
          <w:sz w:val="19"/>
          <w:szCs w:val="19"/>
          <w:color w:val="auto"/>
        </w:rPr>
        <w:t>means one or more construction financing facilities that the Borrower intends to</w:t>
      </w:r>
      <w:r>
        <w:rPr>
          <w:rFonts w:ascii="Arial" w:cs="Arial" w:eastAsia="Arial" w:hAnsi="Arial"/>
          <w:sz w:val="19"/>
          <w:szCs w:val="19"/>
          <w:b w:val="1"/>
          <w:bCs w:val="1"/>
          <w:color w:val="auto"/>
        </w:rPr>
        <w:t xml:space="preserve"> </w:t>
      </w:r>
      <w:r>
        <w:rPr>
          <w:rFonts w:ascii="Arial" w:cs="Arial" w:eastAsia="Arial" w:hAnsi="Arial"/>
          <w:sz w:val="19"/>
          <w:szCs w:val="19"/>
          <w:color w:val="auto"/>
        </w:rPr>
        <w:t>raise secured by all of the assets of the Borrower, the proceeds of which will be used to finance the development, construction and repowering of the Pinnacle Project using the Safe Harbor Equipment and to fund the Tapestry Prepayment Amount.</w:t>
      </w:r>
    </w:p>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“Repowering Financing Documents” </w:t>
      </w:r>
      <w:r>
        <w:rPr>
          <w:rFonts w:ascii="Arial" w:cs="Arial" w:eastAsia="Arial" w:hAnsi="Arial"/>
          <w:sz w:val="22"/>
          <w:szCs w:val="22"/>
          <w:color w:val="auto"/>
        </w:rPr>
        <w:t>means, collectively, the definitive financing and security documents, executed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in connection with the Repowering Construction Financing.</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“Repowering Project Documents” </w:t>
      </w:r>
      <w:r>
        <w:rPr>
          <w:rFonts w:ascii="Arial" w:cs="Arial" w:eastAsia="Arial" w:hAnsi="Arial"/>
          <w:sz w:val="22"/>
          <w:szCs w:val="22"/>
          <w:color w:val="auto"/>
        </w:rPr>
        <w:t>means the Repowering TSA, Repowering Construction Contract, the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listed on Exhibit E and the Additional Repowering Project Documents.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“Repowering TSA” </w:t>
      </w:r>
      <w:r>
        <w:rPr>
          <w:rFonts w:ascii="Arial" w:cs="Arial" w:eastAsia="Arial" w:hAnsi="Arial"/>
          <w:sz w:val="22"/>
          <w:szCs w:val="22"/>
          <w:color w:val="auto"/>
        </w:rPr>
        <w:t>means [***].</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“Representatives” </w:t>
      </w:r>
      <w:r>
        <w:rPr>
          <w:rFonts w:ascii="Arial" w:cs="Arial" w:eastAsia="Arial" w:hAnsi="Arial"/>
          <w:sz w:val="22"/>
          <w:szCs w:val="22"/>
          <w:color w:val="auto"/>
        </w:rPr>
        <w:t>is defined in Section 7.7(a).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“S&amp;P” </w:t>
      </w:r>
      <w:r>
        <w:rPr>
          <w:rFonts w:ascii="Arial" w:cs="Arial" w:eastAsia="Arial" w:hAnsi="Arial"/>
          <w:sz w:val="22"/>
          <w:szCs w:val="22"/>
          <w:color w:val="auto"/>
        </w:rPr>
        <w:t>means Standard &amp; Poor’s Ratings Group, a division of McGraw Hill, Inc., or any successor entity.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“Safe Harbor Equipment” </w:t>
      </w:r>
      <w:r>
        <w:rPr>
          <w:rFonts w:ascii="Arial" w:cs="Arial" w:eastAsia="Arial" w:hAnsi="Arial"/>
          <w:sz w:val="22"/>
          <w:szCs w:val="22"/>
          <w:color w:val="auto"/>
        </w:rPr>
        <w:t>means the equipment described on Annex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76" w:name="page277"/>
    <w:bookmarkEnd w:id="276"/>
    <w:p>
      <w:pPr>
        <w:ind w:left="660"/>
        <w:spacing w:after="0"/>
        <w:rPr>
          <w:sz w:val="20"/>
          <w:szCs w:val="20"/>
          <w:color w:val="auto"/>
        </w:rPr>
      </w:pPr>
      <w:r>
        <w:rPr>
          <w:rFonts w:ascii="Arial" w:cs="Arial" w:eastAsia="Arial" w:hAnsi="Arial"/>
          <w:sz w:val="19"/>
          <w:szCs w:val="19"/>
          <w:b w:val="1"/>
          <w:bCs w:val="1"/>
          <w:color w:val="auto"/>
        </w:rPr>
        <w:t xml:space="preserve">“Sanctioned Country” </w:t>
      </w:r>
      <w:r>
        <w:rPr>
          <w:rFonts w:ascii="Arial" w:cs="Arial" w:eastAsia="Arial" w:hAnsi="Arial"/>
          <w:sz w:val="19"/>
          <w:szCs w:val="19"/>
          <w:color w:val="auto"/>
        </w:rPr>
        <w:t>means, at any time, a country or territory which is itself the subject or target of any Sanctions.</w:t>
      </w:r>
    </w:p>
    <w:p>
      <w:pPr>
        <w:spacing w:after="0" w:line="21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“Sanctioned Person” </w:t>
      </w:r>
      <w:r>
        <w:rPr>
          <w:rFonts w:ascii="Arial" w:cs="Arial" w:eastAsia="Arial" w:hAnsi="Arial"/>
          <w:sz w:val="19"/>
          <w:szCs w:val="19"/>
          <w:color w:val="auto"/>
        </w:rPr>
        <w:t>means, at any time, (a) any Person listed in any Sanctions related list of designated Persons</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maintained by the Office of Foreign Assets Control of the U.S. Department of the Treasury, the U.S. Department of State, the United Nations Security Council, the European Union or any European Union member state, (b) any Person operating, organized or resident in a Sanctioned Country or (c) any Person owned or controlled by any such Person or Persons.</w:t>
      </w:r>
    </w:p>
    <w:p>
      <w:pPr>
        <w:spacing w:after="0" w:line="1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“Sanctions” </w:t>
      </w:r>
      <w:r>
        <w:rPr>
          <w:rFonts w:ascii="Arial" w:cs="Arial" w:eastAsia="Arial" w:hAnsi="Arial"/>
          <w:sz w:val="21"/>
          <w:szCs w:val="21"/>
          <w:color w:val="auto"/>
        </w:rPr>
        <w:t>mean (a) all U.S. and applicable international economic and trade sanctions and embargoes, including any</w:t>
      </w:r>
      <w:r>
        <w:rPr>
          <w:rFonts w:ascii="Arial" w:cs="Arial" w:eastAsia="Arial" w:hAnsi="Arial"/>
          <w:sz w:val="21"/>
          <w:szCs w:val="21"/>
          <w:b w:val="1"/>
          <w:bCs w:val="1"/>
          <w:color w:val="auto"/>
        </w:rPr>
        <w:t xml:space="preserve"> </w:t>
      </w:r>
      <w:r>
        <w:rPr>
          <w:rFonts w:ascii="Arial" w:cs="Arial" w:eastAsia="Arial" w:hAnsi="Arial"/>
          <w:sz w:val="21"/>
          <w:szCs w:val="21"/>
          <w:color w:val="auto"/>
        </w:rPr>
        <w:t>sanctions or regulations administered and enforced by the U.S. Department of State, the U.S. Department of the Treasury (including the Office of Foreign Assets Control) and any executive orders, rules and regulations relating thereto, (b) all applicable Laws concerning exportation, including rules and regulations administered by the U.S. Department of Commerce, the U.S. Department of State or the Bureau of Customs and Border Protection of the U.S. Department of Homeland Security, and (c) any anti-boycott Laws, including any executive orders, rules and regulations.</w:t>
      </w:r>
    </w:p>
    <w:p>
      <w:pPr>
        <w:spacing w:after="0" w:line="13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“Securities” </w:t>
      </w:r>
      <w:r>
        <w:rPr>
          <w:rFonts w:ascii="Arial" w:cs="Arial" w:eastAsia="Arial" w:hAnsi="Arial"/>
          <w:sz w:val="19"/>
          <w:szCs w:val="19"/>
          <w:color w:val="auto"/>
        </w:rPr>
        <w:t>means, with respect to any Person, such Person’s capital stock or limited liability company interests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warrants or other securities which are directly or indirectly convertible into, or exercisable or exchangeable for, such Person’s capital stock or limited liability company interests, whether or not such derivative securities are issued by such Person, and any reference herein to “Securities” refers also to any such derivative securities and all underlying securities directly or indirectly issuable upon conversion, exchange or exercise of such derivative securities.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means the Securities Act of 1933 or any successor statute, as amended from time to time.</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SNL ATC Forward</w:t>
      </w:r>
      <w:r>
        <w:rPr>
          <w:rFonts w:ascii="Arial" w:cs="Arial" w:eastAsia="Arial" w:hAnsi="Arial"/>
          <w:sz w:val="22"/>
          <w:szCs w:val="22"/>
          <w:color w:val="auto"/>
        </w:rPr>
        <w:t>” means S&amp;P Global’s “around-the-clock” weighted average blend of on- and off-peak energy pricing forecasted for a given year.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“Specified Share” </w:t>
      </w:r>
      <w:r>
        <w:rPr>
          <w:rFonts w:ascii="Arial" w:cs="Arial" w:eastAsia="Arial" w:hAnsi="Arial"/>
          <w:sz w:val="22"/>
          <w:szCs w:val="22"/>
          <w:color w:val="auto"/>
        </w:rPr>
        <w:t>means: (a) for the Class A Members, the Class A Distribution Percentage; and (b) for the Class B</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the Class B Distribution Percentage.</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“Subsequent Capital Contribution” </w:t>
      </w:r>
      <w:r>
        <w:rPr>
          <w:rFonts w:ascii="Arial" w:cs="Arial" w:eastAsia="Arial" w:hAnsi="Arial"/>
          <w:sz w:val="22"/>
          <w:szCs w:val="22"/>
          <w:color w:val="auto"/>
        </w:rPr>
        <w:t>means, with respect to a Member, any Capital Contribution by such Member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of the Company other than any Initial Capital Contribution pursuant to Section 3.1 and Section 3.2. For the avoidance of doubt, Subsequent Capital Contributions shall include the Construction Class B Investment and the Repowering Capital Contributions.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“Support Obligations” </w:t>
      </w:r>
      <w:r>
        <w:rPr>
          <w:rFonts w:ascii="Arial" w:cs="Arial" w:eastAsia="Arial" w:hAnsi="Arial"/>
          <w:sz w:val="22"/>
          <w:szCs w:val="22"/>
          <w:color w:val="auto"/>
        </w:rPr>
        <w:t>is defined in Section 3.5(a).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“Support Obligation Notice” </w:t>
      </w:r>
      <w:r>
        <w:rPr>
          <w:rFonts w:ascii="Arial" w:cs="Arial" w:eastAsia="Arial" w:hAnsi="Arial"/>
          <w:sz w:val="22"/>
          <w:szCs w:val="22"/>
          <w:color w:val="auto"/>
        </w:rPr>
        <w:t>is defined in Section 3.5(a).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2" w:right="339" w:bottom="1440" w:gutter="0" w:footer="0" w:header="0"/>
        </w:sectPr>
      </w:pPr>
    </w:p>
    <w:bookmarkStart w:id="277" w:name="page278"/>
    <w:bookmarkEnd w:id="277"/>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“Tapestry Indebtedness” </w:t>
      </w:r>
      <w:r>
        <w:rPr>
          <w:rFonts w:ascii="Arial" w:cs="Arial" w:eastAsia="Arial" w:hAnsi="Arial"/>
          <w:sz w:val="22"/>
          <w:szCs w:val="22"/>
          <w:color w:val="auto"/>
        </w:rPr>
        <w:t>means Indebtedness under that certain Credit Agreement, dated as of [***], by and among</w:t>
      </w:r>
      <w:r>
        <w:rPr>
          <w:rFonts w:ascii="Arial" w:cs="Arial" w:eastAsia="Arial" w:hAnsi="Arial"/>
          <w:sz w:val="22"/>
          <w:szCs w:val="22"/>
          <w:b w:val="1"/>
          <w:bCs w:val="1"/>
          <w:color w:val="auto"/>
        </w:rPr>
        <w:t xml:space="preserve"> </w:t>
      </w:r>
      <w:r>
        <w:rPr>
          <w:rFonts w:ascii="Arial" w:cs="Arial" w:eastAsia="Arial" w:hAnsi="Arial"/>
          <w:sz w:val="22"/>
          <w:szCs w:val="22"/>
          <w:color w:val="auto"/>
        </w:rPr>
        <w:t>Tapestry Wind LLC, [***] and the other lenders party thereto.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“Tapestry Prepayment Amount” </w:t>
      </w:r>
      <w:r>
        <w:rPr>
          <w:rFonts w:ascii="Arial" w:cs="Arial" w:eastAsia="Arial" w:hAnsi="Arial"/>
          <w:sz w:val="22"/>
          <w:szCs w:val="22"/>
          <w:color w:val="auto"/>
        </w:rPr>
        <w:t>is defined in Section 3.3(c).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“Tapestry Wind” </w:t>
      </w:r>
      <w:r>
        <w:rPr>
          <w:rFonts w:ascii="Arial" w:cs="Arial" w:eastAsia="Arial" w:hAnsi="Arial"/>
          <w:sz w:val="22"/>
          <w:szCs w:val="22"/>
          <w:color w:val="auto"/>
        </w:rPr>
        <w:t>is defined in the recitals to this Agreement.</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“Tax” or “Taxes” </w:t>
      </w:r>
      <w:r>
        <w:rPr>
          <w:rFonts w:ascii="Arial" w:cs="Arial" w:eastAsia="Arial" w:hAnsi="Arial"/>
          <w:sz w:val="22"/>
          <w:szCs w:val="22"/>
          <w:color w:val="auto"/>
        </w:rPr>
        <w:t>means all taxes, charges, fees, levies, penalties or other assessments imposed by any federal, state or</w:t>
      </w:r>
      <w:r>
        <w:rPr>
          <w:rFonts w:ascii="Arial" w:cs="Arial" w:eastAsia="Arial" w:hAnsi="Arial"/>
          <w:sz w:val="22"/>
          <w:szCs w:val="22"/>
          <w:b w:val="1"/>
          <w:bCs w:val="1"/>
          <w:color w:val="auto"/>
        </w:rPr>
        <w:t xml:space="preserve"> </w:t>
      </w:r>
      <w:r>
        <w:rPr>
          <w:rFonts w:ascii="Arial" w:cs="Arial" w:eastAsia="Arial" w:hAnsi="Arial"/>
          <w:sz w:val="22"/>
          <w:szCs w:val="22"/>
          <w:color w:val="auto"/>
        </w:rPr>
        <w:t>local or foreign taxing authority, including, but not limited to, income, excise, ad valorem, real or personal property, sales, transfer, franchise, payroll, withholding, social security, gross receipts, license, stamp, occupation, employment or other taxes, including any interest, penalties or additions attributable thereto.</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“Tax Benefits” </w:t>
      </w:r>
      <w:r>
        <w:rPr>
          <w:rFonts w:ascii="Arial" w:cs="Arial" w:eastAsia="Arial" w:hAnsi="Arial"/>
          <w:sz w:val="22"/>
          <w:szCs w:val="22"/>
          <w:color w:val="auto"/>
        </w:rPr>
        <w:t>means, with respect to a Class A Unit, the periodic federal income tax savings resulting from (a)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distributive share of PTCs allocated by the Company to the Holder of such Class A Unit, and (b) the distributive share of tax losses and deductions allocated by the Company to the Holder of such Class A Unit, in each case, as such federal income tax savings is determined in accordance with the Base Case Model.</w:t>
      </w:r>
    </w:p>
    <w:p>
      <w:pPr>
        <w:spacing w:after="0" w:line="15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“Tax Costs” </w:t>
      </w:r>
      <w:r>
        <w:rPr>
          <w:rFonts w:ascii="Arial" w:cs="Arial" w:eastAsia="Arial" w:hAnsi="Arial"/>
          <w:sz w:val="19"/>
          <w:szCs w:val="19"/>
          <w:color w:val="auto"/>
        </w:rPr>
        <w:t>means, with respect to a Class A Unit, the periodic federal income tax liability (after taking into account any</w:t>
      </w:r>
      <w:r>
        <w:rPr>
          <w:rFonts w:ascii="Arial" w:cs="Arial" w:eastAsia="Arial" w:hAnsi="Arial"/>
          <w:sz w:val="19"/>
          <w:szCs w:val="19"/>
          <w:b w:val="1"/>
          <w:bCs w:val="1"/>
          <w:color w:val="auto"/>
        </w:rPr>
        <w:t xml:space="preserve"> </w:t>
      </w:r>
      <w:r>
        <w:rPr>
          <w:rFonts w:ascii="Arial" w:cs="Arial" w:eastAsia="Arial" w:hAnsi="Arial"/>
          <w:sz w:val="19"/>
          <w:szCs w:val="19"/>
          <w:color w:val="auto"/>
        </w:rPr>
        <w:t>suspended losses of the Class A Members under Section 704(d)) resulting from (a) the distributive share of taxable income and gain allocated by the Company to the Holder of such Class A Unit (including expected chargebacks of Company Minimum Gain pursuant to Section 4.3(a), expected chargebacks of Member Nonrecourse Debt Minimum Gain pursuant to Section 4.3(b), and expected allocations of Items of income pursuant to the first sentence of Section 12.2(a)(v)), and (b) any gain recognized by such Holder under Sections 731(a) of the Code from Cash Distributions in respect of such Class A Unit, in each case, as such federal income tax liability is determined in accordance with the Base Case Model.</w:t>
      </w:r>
    </w:p>
    <w:p>
      <w:pPr>
        <w:spacing w:after="0" w:line="1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“Tax Equity Documents” </w:t>
      </w:r>
      <w:r>
        <w:rPr>
          <w:rFonts w:ascii="Arial" w:cs="Arial" w:eastAsia="Arial" w:hAnsi="Arial"/>
          <w:sz w:val="22"/>
          <w:szCs w:val="22"/>
          <w:color w:val="auto"/>
        </w:rPr>
        <w:t>means that certain Equity Capital Contribution Agreement, to be entered into by and among</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Pinnacle Holdco and the Tax Equity Investor in connection with the Tax Equity Financing (the “</w:t>
      </w:r>
      <w:r>
        <w:rPr>
          <w:rFonts w:ascii="Arial" w:cs="Arial" w:eastAsia="Arial" w:hAnsi="Arial"/>
          <w:sz w:val="22"/>
          <w:szCs w:val="22"/>
          <w:b w:val="1"/>
          <w:bCs w:val="1"/>
          <w:color w:val="auto"/>
        </w:rPr>
        <w:t>ECCA</w:t>
      </w:r>
      <w:r>
        <w:rPr>
          <w:rFonts w:ascii="Arial" w:cs="Arial" w:eastAsia="Arial" w:hAnsi="Arial"/>
          <w:sz w:val="22"/>
          <w:szCs w:val="22"/>
          <w:color w:val="auto"/>
        </w:rPr>
        <w:t>”), and related documentation that reflect the terms and conditions of the Tax Equity Financing, including the Beginning of Construction and Repowering Information Certificate (Closing Date) and the Beginning of Construction and Repowering Information Certificate (Funding Date) (each, as defined in the ECCA).</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Equity Entity” </w:t>
      </w:r>
      <w:r>
        <w:rPr>
          <w:rFonts w:ascii="Arial" w:cs="Arial" w:eastAsia="Arial" w:hAnsi="Arial"/>
          <w:sz w:val="22"/>
          <w:szCs w:val="22"/>
          <w:color w:val="auto"/>
        </w:rPr>
        <w:t>means the Borrower and Pinnacle Holdco.</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“Tax Equity Financing” </w:t>
      </w:r>
      <w:r>
        <w:rPr>
          <w:rFonts w:ascii="Arial" w:cs="Arial" w:eastAsia="Arial" w:hAnsi="Arial"/>
          <w:sz w:val="22"/>
          <w:szCs w:val="22"/>
          <w:color w:val="auto"/>
        </w:rPr>
        <w:t>means a tax equity investment to be made on the Tax Equity Funding Date by the Tax Equity</w:t>
      </w:r>
      <w:r>
        <w:rPr>
          <w:rFonts w:ascii="Arial" w:cs="Arial" w:eastAsia="Arial" w:hAnsi="Arial"/>
          <w:sz w:val="22"/>
          <w:szCs w:val="22"/>
          <w:b w:val="1"/>
          <w:bCs w:val="1"/>
          <w:color w:val="auto"/>
        </w:rPr>
        <w:t xml:space="preserve"> </w:t>
      </w:r>
      <w:r>
        <w:rPr>
          <w:rFonts w:ascii="Arial" w:cs="Arial" w:eastAsia="Arial" w:hAnsi="Arial"/>
          <w:sz w:val="22"/>
          <w:szCs w:val="22"/>
          <w:color w:val="auto"/>
        </w:rPr>
        <w:t>Investor.</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“Tax Equity Funding Date” </w:t>
      </w:r>
      <w:r>
        <w:rPr>
          <w:rFonts w:ascii="Arial" w:cs="Arial" w:eastAsia="Arial" w:hAnsi="Arial"/>
          <w:sz w:val="22"/>
          <w:szCs w:val="22"/>
          <w:color w:val="auto"/>
        </w:rPr>
        <w:t>means the date on which the Tax Equity Investor under the Tax Equity Documents will</w:t>
      </w:r>
      <w:r>
        <w:rPr>
          <w:rFonts w:ascii="Arial" w:cs="Arial" w:eastAsia="Arial" w:hAnsi="Arial"/>
          <w:sz w:val="22"/>
          <w:szCs w:val="22"/>
          <w:b w:val="1"/>
          <w:bCs w:val="1"/>
          <w:color w:val="auto"/>
        </w:rPr>
        <w:t xml:space="preserve"> </w:t>
      </w:r>
      <w:r>
        <w:rPr>
          <w:rFonts w:ascii="Arial" w:cs="Arial" w:eastAsia="Arial" w:hAnsi="Arial"/>
          <w:sz w:val="22"/>
          <w:szCs w:val="22"/>
          <w:color w:val="auto"/>
        </w:rPr>
        <w:t>acquire ownership interests in Pinnacle Holdco.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Equity Investor” </w:t>
      </w:r>
      <w:r>
        <w:rPr>
          <w:rFonts w:ascii="Arial" w:cs="Arial" w:eastAsia="Arial" w:hAnsi="Arial"/>
          <w:sz w:val="22"/>
          <w:szCs w:val="22"/>
          <w:color w:val="auto"/>
        </w:rPr>
        <w:t>is defined in the recitals to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“Tax Return” </w:t>
      </w:r>
      <w:r>
        <w:rPr>
          <w:rFonts w:ascii="Arial" w:cs="Arial" w:eastAsia="Arial" w:hAnsi="Arial"/>
          <w:sz w:val="21"/>
          <w:szCs w:val="21"/>
          <w:color w:val="auto"/>
        </w:rPr>
        <w:t>means the Company’s federal income tax return for each Taxable Year, including Schedule K 1s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2" w:right="339" w:bottom="1440" w:gutter="0" w:footer="0" w:header="0"/>
        </w:sectPr>
      </w:pPr>
    </w:p>
    <w:bookmarkStart w:id="278" w:name="page279"/>
    <w:bookmarkEnd w:id="278"/>
    <w:p>
      <w:pPr>
        <w:ind w:firstLine="648"/>
        <w:spacing w:after="0" w:line="294" w:lineRule="auto"/>
        <w:rPr>
          <w:sz w:val="20"/>
          <w:szCs w:val="20"/>
          <w:color w:val="auto"/>
        </w:rPr>
      </w:pPr>
      <w:r>
        <w:rPr>
          <w:rFonts w:ascii="Arial" w:cs="Arial" w:eastAsia="Arial" w:hAnsi="Arial"/>
          <w:sz w:val="19"/>
          <w:szCs w:val="19"/>
          <w:b w:val="1"/>
          <w:bCs w:val="1"/>
          <w:color w:val="auto"/>
        </w:rPr>
        <w:t xml:space="preserve">“Taxable Year” </w:t>
      </w:r>
      <w:r>
        <w:rPr>
          <w:rFonts w:ascii="Arial" w:cs="Arial" w:eastAsia="Arial" w:hAnsi="Arial"/>
          <w:sz w:val="19"/>
          <w:szCs w:val="19"/>
          <w:color w:val="auto"/>
        </w:rPr>
        <w:t>means the taxable year of the Company for federal income tax purposes, which shall be (a) the period</w:t>
      </w:r>
      <w:r>
        <w:rPr>
          <w:rFonts w:ascii="Arial" w:cs="Arial" w:eastAsia="Arial" w:hAnsi="Arial"/>
          <w:sz w:val="19"/>
          <w:szCs w:val="19"/>
          <w:b w:val="1"/>
          <w:bCs w:val="1"/>
          <w:color w:val="auto"/>
        </w:rPr>
        <w:t xml:space="preserve"> </w:t>
      </w:r>
      <w:r>
        <w:rPr>
          <w:rFonts w:ascii="Arial" w:cs="Arial" w:eastAsia="Arial" w:hAnsi="Arial"/>
          <w:sz w:val="19"/>
          <w:szCs w:val="19"/>
          <w:color w:val="auto"/>
        </w:rPr>
        <w:t>commencing on the Effective Date and ending on the immediately succeeding December 31, (b) any subsequent calendar year or</w:t>
      </w:r>
    </w:p>
    <w:p>
      <w:pPr>
        <w:spacing w:after="0" w:line="2" w:lineRule="exact"/>
        <w:rPr>
          <w:sz w:val="20"/>
          <w:szCs w:val="20"/>
          <w:color w:val="auto"/>
        </w:rPr>
      </w:pPr>
    </w:p>
    <w:p>
      <w:pPr>
        <w:ind w:firstLine="8"/>
        <w:spacing w:after="0" w:line="246" w:lineRule="auto"/>
        <w:tabs>
          <w:tab w:leader="none" w:pos="294" w:val="left"/>
        </w:tabs>
        <w:numPr>
          <w:ilvl w:val="0"/>
          <w:numId w:val="299"/>
        </w:numPr>
        <w:rPr>
          <w:rFonts w:ascii="Arial" w:cs="Arial" w:eastAsia="Arial" w:hAnsi="Arial"/>
          <w:sz w:val="22"/>
          <w:szCs w:val="22"/>
          <w:color w:val="auto"/>
        </w:rPr>
      </w:pPr>
      <w:r>
        <w:rPr>
          <w:rFonts w:ascii="Arial" w:cs="Arial" w:eastAsia="Arial" w:hAnsi="Arial"/>
          <w:sz w:val="22"/>
          <w:szCs w:val="22"/>
          <w:color w:val="auto"/>
        </w:rPr>
        <w:t>any portion of the period described in clause (a) or (b) for which the Company is required to allocate Company Items pursuant to Article IV or Section 12.2(a)(v).</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“Taxing Authority” </w:t>
      </w:r>
      <w:r>
        <w:rPr>
          <w:rFonts w:ascii="Arial" w:cs="Arial" w:eastAsia="Arial" w:hAnsi="Arial"/>
          <w:sz w:val="22"/>
          <w:szCs w:val="22"/>
          <w:color w:val="auto"/>
        </w:rPr>
        <w:t>means, with respect to a particular Tax, the agency or department of any Governmental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responsible for the administration and collection of such Tax.</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“Terminated Member” </w:t>
      </w:r>
      <w:r>
        <w:rPr>
          <w:rFonts w:ascii="Arial" w:cs="Arial" w:eastAsia="Arial" w:hAnsi="Arial"/>
          <w:sz w:val="22"/>
          <w:szCs w:val="22"/>
          <w:color w:val="auto"/>
        </w:rPr>
        <w:t>is defined in Section 9.7.</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“Third Party” </w:t>
      </w:r>
      <w:r>
        <w:rPr>
          <w:rFonts w:ascii="Arial" w:cs="Arial" w:eastAsia="Arial" w:hAnsi="Arial"/>
          <w:sz w:val="22"/>
          <w:szCs w:val="22"/>
          <w:color w:val="auto"/>
        </w:rPr>
        <w:t>means a Person other than a Member or an Affiliate of a Member.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“Transaction” </w:t>
      </w:r>
      <w:r>
        <w:rPr>
          <w:rFonts w:ascii="Arial" w:cs="Arial" w:eastAsia="Arial" w:hAnsi="Arial"/>
          <w:sz w:val="22"/>
          <w:szCs w:val="22"/>
          <w:color w:val="auto"/>
        </w:rPr>
        <w:t>means the transactions contemplated and provided for in the Investment Documents.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“Transaction Documents” </w:t>
      </w:r>
      <w:r>
        <w:rPr>
          <w:rFonts w:ascii="Arial" w:cs="Arial" w:eastAsia="Arial" w:hAnsi="Arial"/>
          <w:sz w:val="22"/>
          <w:szCs w:val="22"/>
          <w:color w:val="auto"/>
        </w:rPr>
        <w:t>mean the Repowering Financing Documents, the Repowering Project Documents,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Tax Equity Documents.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“Transfer” </w:t>
      </w:r>
      <w:r>
        <w:rPr>
          <w:rFonts w:ascii="Arial" w:cs="Arial" w:eastAsia="Arial" w:hAnsi="Arial"/>
          <w:sz w:val="22"/>
          <w:szCs w:val="22"/>
          <w:color w:val="auto"/>
        </w:rPr>
        <w:t>means the sale, transfer, assignment, conveyance, gift, exchange or other disposition of Class A Units or</w:t>
      </w:r>
      <w:r>
        <w:rPr>
          <w:rFonts w:ascii="Arial" w:cs="Arial" w:eastAsia="Arial" w:hAnsi="Arial"/>
          <w:sz w:val="22"/>
          <w:szCs w:val="22"/>
          <w:b w:val="1"/>
          <w:bCs w:val="1"/>
          <w:color w:val="auto"/>
        </w:rPr>
        <w:t xml:space="preserve"> </w:t>
      </w:r>
      <w:r>
        <w:rPr>
          <w:rFonts w:ascii="Arial" w:cs="Arial" w:eastAsia="Arial" w:hAnsi="Arial"/>
          <w:sz w:val="22"/>
          <w:szCs w:val="22"/>
          <w:color w:val="auto"/>
        </w:rPr>
        <w:t>Class B Units (and the Membership Interests represented thereby), whether directly by the Member or indirectly, excluding the creation of an Encumbrance, but including any such sale, transfer, assignment, conveyance, gift, exchange or other disposition in connection with, or in lieu of, the foreclosure of an Encumbrance.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“Transferee” </w:t>
      </w:r>
      <w:r>
        <w:rPr>
          <w:rFonts w:ascii="Arial" w:cs="Arial" w:eastAsia="Arial" w:hAnsi="Arial"/>
          <w:sz w:val="22"/>
          <w:szCs w:val="22"/>
          <w:color w:val="auto"/>
        </w:rPr>
        <w:t>means a Person to which a Transfer is or would be made.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Transferring Member</w:t>
      </w:r>
      <w:r>
        <w:rPr>
          <w:rFonts w:ascii="Arial" w:cs="Arial" w:eastAsia="Arial" w:hAnsi="Arial"/>
          <w:sz w:val="22"/>
          <w:szCs w:val="22"/>
          <w:color w:val="auto"/>
        </w:rPr>
        <w:t>” means the Member effecting a Transfer.</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“Treasury Regulations” </w:t>
      </w:r>
      <w:r>
        <w:rPr>
          <w:rFonts w:ascii="Arial" w:cs="Arial" w:eastAsia="Arial" w:hAnsi="Arial"/>
          <w:sz w:val="21"/>
          <w:szCs w:val="21"/>
          <w:color w:val="auto"/>
        </w:rPr>
        <w:t>means the regulations promulgated under the Code by the United States Department of</w:t>
      </w:r>
      <w:r>
        <w:rPr>
          <w:rFonts w:ascii="Arial" w:cs="Arial" w:eastAsia="Arial" w:hAnsi="Arial"/>
          <w:sz w:val="21"/>
          <w:szCs w:val="21"/>
          <w:b w:val="1"/>
          <w:bCs w:val="1"/>
          <w:color w:val="auto"/>
        </w:rPr>
        <w:t xml:space="preserve"> </w:t>
      </w:r>
      <w:r>
        <w:rPr>
          <w:rFonts w:ascii="Arial" w:cs="Arial" w:eastAsia="Arial" w:hAnsi="Arial"/>
          <w:sz w:val="21"/>
          <w:szCs w:val="21"/>
          <w:color w:val="auto"/>
        </w:rPr>
        <w:t>Treasury, as such regulations may be amended from time to time. All references herein to specific sections of the regulations shall be deemed also to refer to any corresponding provisions of succeeding regulations, and any reference to temporary regulations shall be deemed also to refer to any corresponding provisions of final regulations.</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UCC</w:t>
      </w:r>
      <w:r>
        <w:rPr>
          <w:rFonts w:ascii="Arial" w:cs="Arial" w:eastAsia="Arial" w:hAnsi="Arial"/>
          <w:sz w:val="22"/>
          <w:szCs w:val="22"/>
          <w:color w:val="auto"/>
        </w:rPr>
        <w:t>” or “</w:t>
      </w:r>
      <w:r>
        <w:rPr>
          <w:rFonts w:ascii="Arial" w:cs="Arial" w:eastAsia="Arial" w:hAnsi="Arial"/>
          <w:sz w:val="22"/>
          <w:szCs w:val="22"/>
          <w:b w:val="1"/>
          <w:bCs w:val="1"/>
          <w:color w:val="auto"/>
        </w:rPr>
        <w:t>Uniform Commercial Code</w:t>
      </w:r>
      <w:r>
        <w:rPr>
          <w:rFonts w:ascii="Arial" w:cs="Arial" w:eastAsia="Arial" w:hAnsi="Arial"/>
          <w:sz w:val="22"/>
          <w:szCs w:val="22"/>
          <w:color w:val="auto"/>
        </w:rPr>
        <w:t>” means the Uniform Commercial Code in effect in the State of Delaware from time to time.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“Units” </w:t>
      </w:r>
      <w:r>
        <w:rPr>
          <w:rFonts w:ascii="Arial" w:cs="Arial" w:eastAsia="Arial" w:hAnsi="Arial"/>
          <w:sz w:val="22"/>
          <w:szCs w:val="22"/>
          <w:color w:val="auto"/>
        </w:rPr>
        <w:t>means either the Class A Units or the Class B Units or both, as the context requires.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“Value” </w:t>
      </w:r>
      <w:r>
        <w:rPr>
          <w:rFonts w:ascii="Arial" w:cs="Arial" w:eastAsia="Arial" w:hAnsi="Arial"/>
          <w:sz w:val="22"/>
          <w:szCs w:val="22"/>
          <w:color w:val="auto"/>
        </w:rPr>
        <w:t>means, with respect to any Asset of the Company, such Asset’s adjusted basis for federal income tax purposes,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follows:</w:t>
      </w:r>
    </w:p>
    <w:p>
      <w:pPr>
        <w:spacing w:after="0" w:line="127" w:lineRule="exact"/>
        <w:rPr>
          <w:sz w:val="20"/>
          <w:szCs w:val="20"/>
          <w:color w:val="auto"/>
        </w:rPr>
      </w:pPr>
    </w:p>
    <w:p>
      <w:pPr>
        <w:ind w:firstLine="656"/>
        <w:spacing w:after="0" w:line="263" w:lineRule="auto"/>
        <w:tabs>
          <w:tab w:leader="none" w:pos="1134"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the initial Value of any Asset contributed by a Member to the Company shall be the gross fair market value of such Asset, as agreed to by the Members;</w:t>
      </w:r>
    </w:p>
    <w:p>
      <w:pPr>
        <w:spacing w:after="0" w:line="147" w:lineRule="exact"/>
        <w:rPr>
          <w:rFonts w:ascii="Arial" w:cs="Arial" w:eastAsia="Arial" w:hAnsi="Arial"/>
          <w:sz w:val="22"/>
          <w:szCs w:val="22"/>
          <w:color w:val="auto"/>
        </w:rPr>
      </w:pPr>
    </w:p>
    <w:p>
      <w:pPr>
        <w:ind w:firstLine="656"/>
        <w:spacing w:after="0" w:line="263" w:lineRule="auto"/>
        <w:tabs>
          <w:tab w:leader="none" w:pos="117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the Value of all Assets of the Company shall be adjusted to equal their respective gross fair market values (taking Code Section 7701(g) into account),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2" w:right="339" w:bottom="1440" w:gutter="0" w:footer="0" w:header="0"/>
        </w:sectPr>
      </w:pPr>
    </w:p>
    <w:bookmarkStart w:id="279" w:name="page280"/>
    <w:bookmarkEnd w:id="279"/>
    <w:p>
      <w:pPr>
        <w:jc w:val="both"/>
        <w:spacing w:after="0" w:line="245" w:lineRule="auto"/>
        <w:rPr>
          <w:sz w:val="20"/>
          <w:szCs w:val="20"/>
          <w:color w:val="auto"/>
        </w:rPr>
      </w:pPr>
      <w:r>
        <w:rPr>
          <w:rFonts w:ascii="Arial" w:cs="Arial" w:eastAsia="Arial" w:hAnsi="Arial"/>
          <w:sz w:val="22"/>
          <w:szCs w:val="22"/>
          <w:color w:val="auto"/>
        </w:rPr>
        <w:t>Members, in accordance with Treasury Regulations Section 1.704 1(b)(2)(iv)(f), as of the following times: (i) the acquisition of an additional Membership Interest in the Company by any new or existing Member in exchange for more than a de minimis Capital Contribution; (ii) the distribution by the Company to a Member of more than a de minimis amount of Company Assets as consideration for the acquisition of a Membership Interest in the Company; (iii) the grant of a Membership Interest in the Company (other than a de minimis interest) as consideration for the provision of services to or for the benefit of the Company by an existing Member acting in a Member capacity or a new Member acting in a Member capacity or in anticipation of being a Member; and (iv) the liquidation of the Company within the meaning of Treasury Regulations Section 1.704 1(b)(2)(ii)(g); provided that any adjustment described in clauses (i), (ii) or (iii) of this paragraph shall be made only upon the Consent of the Members;</w:t>
      </w:r>
    </w:p>
    <w:p>
      <w:pPr>
        <w:spacing w:after="0" w:line="160" w:lineRule="exact"/>
        <w:rPr>
          <w:sz w:val="20"/>
          <w:szCs w:val="20"/>
          <w:color w:val="auto"/>
        </w:rPr>
      </w:pPr>
    </w:p>
    <w:p>
      <w:pPr>
        <w:ind w:firstLine="656"/>
        <w:spacing w:after="0" w:line="343" w:lineRule="auto"/>
        <w:tabs>
          <w:tab w:leader="none" w:pos="1106" w:val="left"/>
        </w:tabs>
        <w:numPr>
          <w:ilvl w:val="0"/>
          <w:numId w:val="301"/>
        </w:numPr>
        <w:rPr>
          <w:rFonts w:ascii="Arial" w:cs="Arial" w:eastAsia="Arial" w:hAnsi="Arial"/>
          <w:sz w:val="19"/>
          <w:szCs w:val="19"/>
          <w:color w:val="auto"/>
        </w:rPr>
      </w:pPr>
      <w:r>
        <w:rPr>
          <w:rFonts w:ascii="Arial" w:cs="Arial" w:eastAsia="Arial" w:hAnsi="Arial"/>
          <w:sz w:val="19"/>
          <w:szCs w:val="19"/>
          <w:color w:val="auto"/>
        </w:rPr>
        <w:t>the Value of any Asset distributed to any Member shall be adjusted to equal the gross fair market value of such Asset on the date of distribution (taking Code Section 7701(g) into account), as determined by the Consent of the Members; and</w:t>
      </w:r>
    </w:p>
    <w:p>
      <w:pPr>
        <w:spacing w:after="0" w:line="77" w:lineRule="exact"/>
        <w:rPr>
          <w:rFonts w:ascii="Arial" w:cs="Arial" w:eastAsia="Arial" w:hAnsi="Arial"/>
          <w:sz w:val="19"/>
          <w:szCs w:val="19"/>
          <w:color w:val="auto"/>
        </w:rPr>
      </w:pPr>
    </w:p>
    <w:p>
      <w:pPr>
        <w:jc w:val="both"/>
        <w:ind w:firstLine="656"/>
        <w:spacing w:after="0" w:line="247" w:lineRule="auto"/>
        <w:tabs>
          <w:tab w:leader="none" w:pos="1182"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Value of Company Assets shall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 1(b)(2)(iv)(m); provided, however, that the Value shall not be adjusted pursuant to this clause (d) to the extent the Members determine that an adjustment pursuant to clause (b) of this definition is necessary or appropriate in connection with a transaction that would otherwise result in an adjustment pursuant to this clause (d).</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the Value of an Asset has been determined or adjusted pursuant to clause (a), (b) or (d) of this definition, such Value shall thereafter be adjusted by the Depreciation taken into account with respect to such Asset for purposes of determining Company Items and not by the depreciation, amortization, or other cost recovery deductions taken into account with respect to that asset for federal income tax purposes.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“Working Capital Loan” </w:t>
      </w:r>
      <w:r>
        <w:rPr>
          <w:rFonts w:ascii="Arial" w:cs="Arial" w:eastAsia="Arial" w:hAnsi="Arial"/>
          <w:sz w:val="22"/>
          <w:szCs w:val="22"/>
          <w:color w:val="auto"/>
        </w:rPr>
        <w:t>is defined in Section 3.4(a).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“Working Capital Notice” </w:t>
      </w:r>
      <w:r>
        <w:rPr>
          <w:rFonts w:ascii="Arial" w:cs="Arial" w:eastAsia="Arial" w:hAnsi="Arial"/>
          <w:sz w:val="22"/>
          <w:szCs w:val="22"/>
          <w:color w:val="auto"/>
        </w:rPr>
        <w:t>is defined in Section 3.4(a).</w:t>
      </w:r>
    </w:p>
    <w:p>
      <w:pPr>
        <w:spacing w:after="0" w:line="22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Other Definitional Provisions</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87" w:lineRule="auto"/>
        <w:rPr>
          <w:sz w:val="20"/>
          <w:szCs w:val="20"/>
          <w:color w:val="auto"/>
        </w:rPr>
      </w:pPr>
      <w:r>
        <w:rPr>
          <w:rFonts w:ascii="Arial" w:cs="Arial" w:eastAsia="Arial" w:hAnsi="Arial"/>
          <w:sz w:val="21"/>
          <w:szCs w:val="21"/>
          <w:color w:val="auto"/>
        </w:rPr>
        <w:t>(i)</w:t>
      </w:r>
      <w:r>
        <w:rPr>
          <w:rFonts w:ascii="Arial" w:cs="Arial" w:eastAsia="Arial" w:hAnsi="Arial"/>
          <w:sz w:val="21"/>
          <w:szCs w:val="21"/>
          <w:u w:val="single" w:color="auto"/>
          <w:color w:val="auto"/>
        </w:rPr>
        <w:t>Construction</w:t>
      </w:r>
      <w:r>
        <w:rPr>
          <w:rFonts w:ascii="Arial" w:cs="Arial" w:eastAsia="Arial" w:hAnsi="Arial"/>
          <w:sz w:val="21"/>
          <w:szCs w:val="21"/>
          <w:color w:val="auto"/>
        </w:rPr>
        <w:t>. As used herein, the singular shall include the plural, the masculine gender shall include the feminine and neuter and the neuter gender shall include the masculine and feminine unless the context otherwise indicates.</w:t>
      </w:r>
    </w:p>
    <w:p>
      <w:pPr>
        <w:spacing w:after="0" w:line="151" w:lineRule="exact"/>
        <w:rPr>
          <w:sz w:val="20"/>
          <w:szCs w:val="20"/>
          <w:color w:val="auto"/>
        </w:rPr>
      </w:pPr>
    </w:p>
    <w:p>
      <w:pPr>
        <w:jc w:val="both"/>
        <w:ind w:firstLine="384"/>
        <w:spacing w:after="0" w:line="248" w:lineRule="auto"/>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References</w:t>
      </w:r>
      <w:r>
        <w:rPr>
          <w:rFonts w:ascii="Arial" w:cs="Arial" w:eastAsia="Arial" w:hAnsi="Arial"/>
          <w:sz w:val="22"/>
          <w:szCs w:val="22"/>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Any date specified for action that is not a Business Day shall mean the first Business Day after such date. Any reference to a Person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80" w:name="page281"/>
    <w:bookmarkEnd w:id="280"/>
    <w:p>
      <w:pPr>
        <w:jc w:val="both"/>
        <w:spacing w:after="0" w:line="246" w:lineRule="auto"/>
        <w:rPr>
          <w:sz w:val="20"/>
          <w:szCs w:val="20"/>
          <w:color w:val="auto"/>
        </w:rPr>
      </w:pPr>
      <w:r>
        <w:rPr>
          <w:rFonts w:ascii="Arial" w:cs="Arial" w:eastAsia="Arial" w:hAnsi="Arial"/>
          <w:sz w:val="22"/>
          <w:szCs w:val="22"/>
          <w:color w:val="auto"/>
        </w:rPr>
        <w:t>include such Person’s successors and permitted assigns. Any reference to any document or documents shall be deemed to refer to such document or documents as amended, modified, supplemented or replaced from time to time in accordance with the terms of such document or documents and, as applicable,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1"/>
          <w:szCs w:val="21"/>
          <w:color w:val="auto"/>
        </w:rPr>
        <w:t>(iii)</w:t>
      </w:r>
      <w:r>
        <w:rPr>
          <w:rFonts w:ascii="Arial" w:cs="Arial" w:eastAsia="Arial" w:hAnsi="Arial"/>
          <w:sz w:val="21"/>
          <w:szCs w:val="21"/>
          <w:u w:val="single" w:color="auto"/>
          <w:color w:val="auto"/>
        </w:rPr>
        <w:t>Accounting Terms</w:t>
      </w:r>
      <w:r>
        <w:rPr>
          <w:rFonts w:ascii="Arial" w:cs="Arial" w:eastAsia="Arial" w:hAnsi="Arial"/>
          <w:sz w:val="21"/>
          <w:szCs w:val="21"/>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THE COMPANY</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Organization of Limited Liability Company</w:t>
      </w:r>
      <w:r>
        <w:rPr>
          <w:rFonts w:ascii="Arial" w:cs="Arial" w:eastAsia="Arial" w:hAnsi="Arial"/>
          <w:sz w:val="19"/>
          <w:szCs w:val="19"/>
          <w:color w:val="auto"/>
        </w:rPr>
        <w:t>.</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Class A Member of the Company is CWEN Pinnacle Repowering Holdco LLC and the Class B Member of the Company is CWSP Pinnacle Holding LLC. The Company was formed as a Delaware limited liability company by the filing of the Delaware Certificate pursuant to the Act. The rights and obligations of the Members shall be as provided in the Act, except as otherwise expressly provided herein. The Manager shall from time to time execute or cause to be executed all such certificates, instruments and other documents, and cause to be done all such filings and other actions, as the Manager may deem necessary or appropriate to operate, continue, or terminate the Company as a limited liability company under the laws of the State of Delaware and to qualify the Company to do business in all jurisdictions other than the State of Delaware in which the Company conducts or proposes to conduct business and in any other jurisdiction where such qualification is necessary or appropriate.</w:t>
      </w:r>
    </w:p>
    <w:p>
      <w:pPr>
        <w:spacing w:after="0" w:line="15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Name</w:t>
      </w:r>
      <w:r>
        <w:rPr>
          <w:rFonts w:ascii="Arial" w:cs="Arial" w:eastAsia="Arial" w:hAnsi="Arial"/>
          <w:sz w:val="19"/>
          <w:szCs w:val="19"/>
          <w:color w:val="auto"/>
        </w:rPr>
        <w:t>.</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name of the Company is, and the business of the Company shall be conducted under the name of, “Pinnacle Repowering Partnership LLC” or such other name or names as the Manager may designate from time to time, with the Consent of the Members. The Manager shall take any action that it determines is required to comply with the Act, assumed name act, fictitious name act, or similar statute in effect in each jurisdiction or political subdivision in which the Company conducts or proposes to conduct business and the Members agree to execute any documents reasonably requested by the Manager in connection with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81" w:name="page282"/>
    <w:bookmarkEnd w:id="281"/>
    <w:p>
      <w:pPr>
        <w:spacing w:after="0" w:line="20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Principal Office</w:t>
      </w:r>
      <w:r>
        <w:rPr>
          <w:rFonts w:ascii="Arial" w:cs="Arial" w:eastAsia="Arial" w:hAnsi="Arial"/>
          <w:sz w:val="19"/>
          <w:szCs w:val="19"/>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shall maintain a principal office at 300 Carnegie Center, Suite 300, Princeton, NJ 08540. The Manager may change the principal office of the Company from time to time upon prior written notice to the Members. The Manager shall maintain all records of the Company at its principal office or such location designated by the Manager in a notice to the Members.</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Registered Office; Registered Agent</w:t>
      </w:r>
      <w:r>
        <w:rPr>
          <w:rFonts w:ascii="Arial" w:cs="Arial" w:eastAsia="Arial" w:hAnsi="Arial"/>
          <w:sz w:val="19"/>
          <w:szCs w:val="19"/>
          <w:color w:val="auto"/>
        </w:rPr>
        <w:t>.</w:t>
      </w:r>
    </w:p>
    <w:p>
      <w:pPr>
        <w:spacing w:after="0" w:line="220"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The name of the registered agent of the Company in the State of Delaware is CT Corporation System. The address of the Company’s registered office in the State of Delaware is at Corporation Trust Center, 1209 Orange Street, Wilmington, DE 19801.</w:t>
      </w:r>
    </w:p>
    <w:p>
      <w:pPr>
        <w:spacing w:after="0" w:line="10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18"/>
          <w:szCs w:val="18"/>
          <w:u w:val="single" w:color="auto"/>
          <w:color w:val="auto"/>
        </w:rPr>
        <w:t>Purposes</w:t>
      </w:r>
      <w:r>
        <w:rPr>
          <w:rFonts w:ascii="Arial" w:cs="Arial" w:eastAsia="Arial" w:hAnsi="Arial"/>
          <w:sz w:val="18"/>
          <w:szCs w:val="18"/>
          <w:color w:val="auto"/>
        </w:rPr>
        <w:t>.</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purpose of the Company is to directly or indirectly, through its ownership of the membership interests in the Tax Equity Entities and the Pinnacle Project Company, (a) capitalize the Company as provided in Article III and own the Pinnacle Project Company, (b) operate, maintain and repair the Pinnacle Project for the purpose of producing energy, capacity, ancillary services and RECs, (c) sell energy, capacity and ancillary services produced by the Pinnacle Project and to sell RECs generated from the Pinnacle Project, (d) develop, construct and repower the Pinnacle Project, (e) negotiate, execute, deliver and perform each Repowering Project Document in order to achieve the Tax Equity Funding Date, (f) raise Repowering Construction Financing and negotiate, execute, deliver and perform each Repowering Financing Document in order to pay for or reimburse costs associated with the development, construction, repowering and financing of the Pinnacle Project, (g) raise Tax Equity Financing and negotiate, execute, deliver and perform each Tax Equity Financing Document, (h) enter into, comply with and perform its obligations and enforce its rights under this Agreement and each other Transaction Document to which it is a party and to cause the Pinnacle Project Company or any other subsidiary of the Company to comply with, and perform its obligations and enforce its rights under each Transaction Document to which the Pinnacle Project Company or other subsidiary of the Company is a party; and (i) engage in and perform any and all activities necessary, incidental, related or appropriate to accomplish the foregoing that may be engaged in by a limited liability company formed under the Act. The Company shall not engage in any activity or own any Assets that are not directly related to the Company’s purpose as set forth in the first sentence of this Section 2.5.</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f.</w:t>
      </w:r>
      <w:r>
        <w:rPr>
          <w:sz w:val="20"/>
          <w:szCs w:val="20"/>
          <w:color w:val="auto"/>
        </w:rPr>
        <w:tab/>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was formed on February 7, 2020, and shall continue in existence until dissolved and terminated in accordance with this Agreement or the Act.</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g.</w:t>
      </w:r>
      <w:r>
        <w:rPr>
          <w:sz w:val="20"/>
          <w:szCs w:val="20"/>
          <w:color w:val="auto"/>
        </w:rPr>
        <w:tab/>
      </w:r>
      <w:r>
        <w:rPr>
          <w:rFonts w:ascii="Arial" w:cs="Arial" w:eastAsia="Arial" w:hAnsi="Arial"/>
          <w:sz w:val="19"/>
          <w:szCs w:val="19"/>
          <w:u w:val="single" w:color="auto"/>
          <w:color w:val="auto"/>
        </w:rPr>
        <w:t>Title to Property</w:t>
      </w:r>
      <w:r>
        <w:rPr>
          <w:rFonts w:ascii="Arial" w:cs="Arial" w:eastAsia="Arial" w:hAnsi="Arial"/>
          <w:sz w:val="19"/>
          <w:szCs w:val="19"/>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Title to Company Assets, whether tangible or intangible, shall be held in the name of the Company, and no Member, individually, shall have title to or any interest in such property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reason of being a Member. Membership Interests of each Member shall be personal property for all purposes.</w:t>
      </w:r>
    </w:p>
    <w:p>
      <w:pPr>
        <w:spacing w:after="0" w:line="22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h.</w:t>
      </w:r>
      <w:r>
        <w:rPr>
          <w:sz w:val="20"/>
          <w:szCs w:val="20"/>
          <w:color w:val="auto"/>
        </w:rPr>
        <w:tab/>
      </w:r>
      <w:r>
        <w:rPr>
          <w:rFonts w:ascii="Arial" w:cs="Arial" w:eastAsia="Arial" w:hAnsi="Arial"/>
          <w:sz w:val="19"/>
          <w:szCs w:val="19"/>
          <w:u w:val="single" w:color="auto"/>
          <w:color w:val="auto"/>
        </w:rPr>
        <w:t>Units; Certificates of Membership Interest; Applicability of Article 8 of UCC</w:t>
      </w:r>
      <w:r>
        <w:rPr>
          <w:rFonts w:ascii="Arial" w:cs="Arial" w:eastAsia="Arial" w:hAnsi="Arial"/>
          <w:sz w:val="19"/>
          <w:szCs w:val="19"/>
          <w:color w:val="auto"/>
        </w:rPr>
        <w:t>.</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Membership Interests shall be represented by Units, divided into Class A Units (in the case of Class A Interest) and Class B Units (in the case of Class B Interest). The Membership Interests represented by Class A Units and Class B Units shall have the respective rights, powers and preferences ascribed to Class A Units and Class B Units in this Agreement. The class of Membership Interest of a Member shall be as provided in Annex I. The Members hereby specify, acknowledge and agree that all Units (and the Membership Interests represented thereby) are securities governed by Article 8 and all other provisions of the Uniform Commercial Code, and pursuant to the terms of Section 8 103(c) of the Uniform Commercial Code, such interests shall be “certificated securities” for all purposes under such Article 8 and under all other provisions of the Uniform Commercial Code. All Units (and the Membership Interests represented thereby) shall be represented by certificates substantially in the form attached hereto as Exhibit B, shall be recorded in a register (the “</w:t>
      </w:r>
      <w:r>
        <w:rPr>
          <w:rFonts w:ascii="Arial" w:cs="Arial" w:eastAsia="Arial" w:hAnsi="Arial"/>
          <w:sz w:val="19"/>
          <w:szCs w:val="19"/>
          <w:b w:val="1"/>
          <w:bCs w:val="1"/>
          <w:color w:val="auto"/>
        </w:rPr>
        <w:t>Register</w:t>
      </w:r>
      <w:r>
        <w:rPr>
          <w:rFonts w:ascii="Arial" w:cs="Arial" w:eastAsia="Arial" w:hAnsi="Arial"/>
          <w:sz w:val="19"/>
          <w:szCs w:val="19"/>
          <w:color w:val="auto"/>
        </w:rPr>
        <w:t>”) thereof maintained by the Company, and shall be subject to such rules for the issuance thereof in compliance with this Agreement and applicable Law.</w:t>
      </w:r>
    </w:p>
    <w:p>
      <w:pPr>
        <w:spacing w:after="0" w:line="15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i.</w:t>
      </w:r>
      <w:r>
        <w:rPr>
          <w:sz w:val="20"/>
          <w:szCs w:val="20"/>
          <w:color w:val="auto"/>
        </w:rPr>
        <w:tab/>
      </w:r>
      <w:r>
        <w:rPr>
          <w:rFonts w:ascii="Arial" w:cs="Arial" w:eastAsia="Arial" w:hAnsi="Arial"/>
          <w:sz w:val="19"/>
          <w:szCs w:val="19"/>
          <w:u w:val="single" w:color="auto"/>
          <w:color w:val="auto"/>
        </w:rPr>
        <w:t>No Partnership</w:t>
      </w:r>
      <w:r>
        <w:rPr>
          <w:rFonts w:ascii="Arial" w:cs="Arial" w:eastAsia="Arial" w:hAnsi="Arial"/>
          <w:sz w:val="19"/>
          <w:szCs w:val="19"/>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Members intend that the Company not be a partnership (including a limited partnership) or joint venture, and that no Member be a partner or joint venturer of any other Member, for any purposes other than tax purposes, and this Agreement may not be construed to suggest otherwise.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CONTRIBUTIONS; CREDIT SUPPORT</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Class A Interest</w:t>
      </w:r>
      <w:r>
        <w:rPr>
          <w:rFonts w:ascii="Arial" w:cs="Arial" w:eastAsia="Arial" w:hAnsi="Arial"/>
          <w:sz w:val="19"/>
          <w:szCs w:val="19"/>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Class A Member shall be entitled to the allocations, distributions and other rights as are prescribed for a Class A Member in this Agreement. The Class A Member’s Capital Account balance as of the Effective Date with respect to its Class A Interest is as indicated on Annex I. The number of Class A Units held by the Class A Member with respect to its Class A Interest as of the Effective Date is the number indicated on Annex I.</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Class B Interest</w:t>
      </w:r>
      <w:r>
        <w:rPr>
          <w:rFonts w:ascii="Arial" w:cs="Arial" w:eastAsia="Arial" w:hAnsi="Arial"/>
          <w:sz w:val="19"/>
          <w:szCs w:val="19"/>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Class B Member shall be entitled to the allocations, distributions and other rights as are prescribed for a Class B Member in this Agreement. Each Class B Member’s Capital Account balance as of the Effective Date with respect to its Class B Interest is as indicated on Annex I. The number of Class B Units held by the Class B Member with respect to its Class B Interest as of the Effective Date is the number indicated on 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83" w:name="page284"/>
    <w:bookmarkEnd w:id="283"/>
    <w:p>
      <w:pPr>
        <w:spacing w:after="0" w:line="20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Other Required Capital Contributions; Credit Support</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63" w:lineRule="auto"/>
        <w:rPr>
          <w:sz w:val="20"/>
          <w:szCs w:val="20"/>
          <w:color w:val="auto"/>
        </w:rPr>
      </w:pPr>
      <w:r>
        <w:rPr>
          <w:rFonts w:ascii="Arial" w:cs="Arial" w:eastAsia="Arial" w:hAnsi="Arial"/>
          <w:sz w:val="22"/>
          <w:szCs w:val="22"/>
          <w:color w:val="auto"/>
        </w:rPr>
        <w:t>(i)Except as provided in this Section 3.3, Section 3.1, Section 3.2, Section 3.6, Section 6.4(d), Section 6.6(f) and Section 12.3, no Member shall be obligated to make Capital Contributions.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(ii)[Reserved.]</w:t>
      </w:r>
    </w:p>
    <w:p>
      <w:pPr>
        <w:spacing w:after="0" w:line="22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(iii)[***] the Initial Class A Member shall contribute to the Company all of its right, title and interest in and to the equity interests in the Pinnacle Project Company, which equity interests shall constitute all of the outstanding equity interests in the Pinnacle Project Company [***] the Initial Class B Member shall cause Clearway Renew LLC, its Affiliate, to assign all of its rights and obligations under the Repowering TSA, including title to all equipment previously purchased thereunder for which title has passed to Clearway Renew LLC, to the Pinnacle Project Company in exchange for $[***]; [***].</w:t>
      </w:r>
    </w:p>
    <w:p>
      <w:pPr>
        <w:spacing w:after="0" w:line="141" w:lineRule="exact"/>
        <w:rPr>
          <w:sz w:val="20"/>
          <w:szCs w:val="20"/>
          <w:color w:val="auto"/>
        </w:rPr>
      </w:pPr>
    </w:p>
    <w:p>
      <w:pPr>
        <w:jc w:val="both"/>
        <w:ind w:firstLine="336"/>
        <w:spacing w:after="0" w:line="249" w:lineRule="auto"/>
        <w:rPr>
          <w:sz w:val="20"/>
          <w:szCs w:val="20"/>
          <w:color w:val="auto"/>
        </w:rPr>
      </w:pPr>
      <w:r>
        <w:rPr>
          <w:rFonts w:ascii="Arial" w:cs="Arial" w:eastAsia="Arial" w:hAnsi="Arial"/>
          <w:sz w:val="22"/>
          <w:szCs w:val="22"/>
          <w:color w:val="auto"/>
        </w:rPr>
        <w:t>(iv)The Class B Member shall be obligated to make additional Capital Contributions to the Company (the “</w:t>
      </w:r>
      <w:r>
        <w:rPr>
          <w:rFonts w:ascii="Arial" w:cs="Arial" w:eastAsia="Arial" w:hAnsi="Arial"/>
          <w:sz w:val="22"/>
          <w:szCs w:val="22"/>
          <w:b w:val="1"/>
          <w:bCs w:val="1"/>
          <w:color w:val="auto"/>
        </w:rPr>
        <w:t>Construction</w:t>
      </w:r>
      <w:r>
        <w:rPr>
          <w:rFonts w:ascii="Arial" w:cs="Arial" w:eastAsia="Arial" w:hAnsi="Arial"/>
          <w:sz w:val="22"/>
          <w:szCs w:val="22"/>
          <w:color w:val="auto"/>
        </w:rPr>
        <w:t xml:space="preserve"> </w:t>
      </w:r>
      <w:r>
        <w:rPr>
          <w:rFonts w:ascii="Arial" w:cs="Arial" w:eastAsia="Arial" w:hAnsi="Arial"/>
          <w:sz w:val="22"/>
          <w:szCs w:val="22"/>
          <w:b w:val="1"/>
          <w:bCs w:val="1"/>
          <w:color w:val="auto"/>
        </w:rPr>
        <w:t>Class B Investment</w:t>
      </w:r>
      <w:r>
        <w:rPr>
          <w:rFonts w:ascii="Arial" w:cs="Arial" w:eastAsia="Arial" w:hAnsi="Arial"/>
          <w:sz w:val="22"/>
          <w:szCs w:val="22"/>
          <w:color w:val="auto"/>
        </w:rPr>
        <w:t>”) in cash to fund all construction and post-financial closing development costs and expenses in respect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Pinnacle Project incurred in connection with the repowering of the Pinnacle Project and necessary to reach the Tax Equity Funding Date, to the extent that the proceeds of the Repowering Construction Financing are insufficient to cover such costs and expenses.</w:t>
      </w:r>
    </w:p>
    <w:p>
      <w:pPr>
        <w:spacing w:after="0" w:line="19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22"/>
          <w:szCs w:val="22"/>
          <w:color w:val="auto"/>
        </w:rPr>
        <w:t>(v)Upon each of the dates set forth in Exhibit D, the Members shall make Capital Contributions in an aggregate amount equal to the Repowering Capital Contribution to the Company. The Repowering Capital Contribution shall consist of the following:</w:t>
      </w:r>
    </w:p>
    <w:p>
      <w:pPr>
        <w:spacing w:after="0" w:line="185" w:lineRule="exact"/>
        <w:rPr>
          <w:sz w:val="20"/>
          <w:szCs w:val="20"/>
          <w:color w:val="auto"/>
        </w:rPr>
      </w:pPr>
    </w:p>
    <w:p>
      <w:pPr>
        <w:jc w:val="both"/>
        <w:ind w:firstLine="1952"/>
        <w:spacing w:after="0" w:line="248" w:lineRule="auto"/>
        <w:tabs>
          <w:tab w:leader="none" w:pos="2587" w:val="left"/>
        </w:tabs>
        <w:numPr>
          <w:ilvl w:val="0"/>
          <w:numId w:val="302"/>
        </w:numPr>
        <w:rPr>
          <w:rFonts w:ascii="Arial" w:cs="Arial" w:eastAsia="Arial" w:hAnsi="Arial"/>
          <w:sz w:val="22"/>
          <w:szCs w:val="22"/>
          <w:color w:val="auto"/>
        </w:rPr>
      </w:pPr>
      <w:r>
        <w:rPr>
          <w:rFonts w:ascii="Arial" w:cs="Arial" w:eastAsia="Arial" w:hAnsi="Arial"/>
          <w:sz w:val="22"/>
          <w:szCs w:val="22"/>
          <w:color w:val="auto"/>
        </w:rPr>
        <w:t>On the Tax Equity Funding Date, the Class A Member will be obligated to make Capital Contributions to the Company (the aggregate of all Capital Contributions made pursuant to this Section 3.3(e)(i), the “</w:t>
      </w:r>
      <w:r>
        <w:rPr>
          <w:rFonts w:ascii="Arial" w:cs="Arial" w:eastAsia="Arial" w:hAnsi="Arial"/>
          <w:sz w:val="22"/>
          <w:szCs w:val="22"/>
          <w:b w:val="1"/>
          <w:bCs w:val="1"/>
          <w:color w:val="auto"/>
        </w:rPr>
        <w:t>Incremental Class A Investment</w:t>
      </w:r>
      <w:r>
        <w:rPr>
          <w:rFonts w:ascii="Arial" w:cs="Arial" w:eastAsia="Arial" w:hAnsi="Arial"/>
          <w:sz w:val="22"/>
          <w:szCs w:val="22"/>
          <w:color w:val="auto"/>
        </w:rPr>
        <w:t>”) in an amount equal to the lesser of (x) the Incremental Class A Investment Cap and (y) the sum of (A) the amount required to repay, in full, the lenders under the Repowering Construction Financing and (B) any remaining payments due to vendors to reach Final Completion.</w:t>
      </w:r>
    </w:p>
    <w:p>
      <w:pPr>
        <w:spacing w:after="0" w:line="191" w:lineRule="exact"/>
        <w:rPr>
          <w:rFonts w:ascii="Arial" w:cs="Arial" w:eastAsia="Arial" w:hAnsi="Arial"/>
          <w:sz w:val="22"/>
          <w:szCs w:val="22"/>
          <w:color w:val="auto"/>
        </w:rPr>
      </w:pPr>
    </w:p>
    <w:p>
      <w:pPr>
        <w:ind w:left="2600" w:hanging="648"/>
        <w:spacing w:after="0"/>
        <w:tabs>
          <w:tab w:leader="none" w:pos="260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336"/>
        <w:spacing w:after="0" w:line="302" w:lineRule="auto"/>
        <w:rPr>
          <w:sz w:val="20"/>
          <w:szCs w:val="20"/>
          <w:color w:val="auto"/>
        </w:rPr>
      </w:pPr>
      <w:r>
        <w:rPr>
          <w:rFonts w:ascii="Arial" w:cs="Arial" w:eastAsia="Arial" w:hAnsi="Arial"/>
          <w:sz w:val="19"/>
          <w:szCs w:val="19"/>
          <w:color w:val="auto"/>
        </w:rPr>
        <w:t>(vi)The Class A Member and the Class B Member acknowledge and agree that Credit Support Obligations specified in this Section 3.3(f) are required in connection with Financing Required Capital Contributions and the Tax Equity Financing. Each Member agrees to satisfy the following Credit Support Obligations required under the Repowering Construction Financing and the Tax Equity Financing, as applicable, on or before the date required therefor under each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96" w:lineRule="exact"/>
        <w:rPr>
          <w:sz w:val="20"/>
          <w:szCs w:val="20"/>
          <w:color w:val="auto"/>
        </w:rPr>
      </w:pPr>
    </w:p>
    <w:p>
      <w:pPr>
        <w:jc w:val="both"/>
        <w:ind w:left="1300" w:firstLine="1092"/>
        <w:spacing w:after="0" w:line="302" w:lineRule="auto"/>
        <w:rPr>
          <w:sz w:val="20"/>
          <w:szCs w:val="20"/>
          <w:color w:val="auto"/>
        </w:rPr>
      </w:pPr>
      <w:r>
        <w:rPr>
          <w:rFonts w:ascii="Arial" w:cs="Arial" w:eastAsia="Arial" w:hAnsi="Arial"/>
          <w:sz w:val="19"/>
          <w:szCs w:val="19"/>
          <w:color w:val="auto"/>
        </w:rPr>
        <w:t>(i)the Class A Member will execute and deliver to the lenders under the Repowering Construction Financing an equity contribution agreement in respect of the Incremental Class A Investment (it being acknowledged that any such equity contribution agreement shall include a maximum amount of the Class A Member’s funding commitment to the lenders equal to the Incremental Class A Investment Cap),</w:t>
      </w:r>
    </w:p>
    <w:p>
      <w:pPr>
        <w:spacing w:after="0" w:line="34" w:lineRule="exact"/>
        <w:rPr>
          <w:sz w:val="20"/>
          <w:szCs w:val="20"/>
          <w:color w:val="auto"/>
        </w:rPr>
      </w:pPr>
    </w:p>
    <w:p>
      <w:pPr>
        <w:jc w:val="both"/>
        <w:ind w:left="1300" w:firstLine="1032"/>
        <w:spacing w:after="0" w:line="302" w:lineRule="auto"/>
        <w:rPr>
          <w:sz w:val="20"/>
          <w:szCs w:val="20"/>
          <w:color w:val="auto"/>
        </w:rPr>
      </w:pPr>
      <w:r>
        <w:rPr>
          <w:rFonts w:ascii="Arial" w:cs="Arial" w:eastAsia="Arial" w:hAnsi="Arial"/>
          <w:sz w:val="19"/>
          <w:szCs w:val="19"/>
          <w:color w:val="auto"/>
        </w:rPr>
        <w:t>(ii)the Class B Member will execute and deliver to the lenders under the Repowering Construction Financing an equity contribution agreement in respect of the Construction Class B Investment and (if required by the lenders) the Incremental Class B Investment (it being acknowledged that any such equity contribution agreement may include a maximum amount of the Class B Member’s funding commitment to the lenders); and</w:t>
      </w:r>
    </w:p>
    <w:p>
      <w:pPr>
        <w:spacing w:after="0" w:line="34" w:lineRule="exact"/>
        <w:rPr>
          <w:sz w:val="20"/>
          <w:szCs w:val="20"/>
          <w:color w:val="auto"/>
        </w:rPr>
      </w:pPr>
    </w:p>
    <w:p>
      <w:pPr>
        <w:jc w:val="both"/>
        <w:ind w:left="1300" w:firstLine="972"/>
        <w:spacing w:after="0" w:line="253" w:lineRule="auto"/>
        <w:rPr>
          <w:sz w:val="20"/>
          <w:szCs w:val="20"/>
          <w:color w:val="auto"/>
        </w:rPr>
      </w:pPr>
      <w:r>
        <w:rPr>
          <w:rFonts w:ascii="Arial" w:cs="Arial" w:eastAsia="Arial" w:hAnsi="Arial"/>
          <w:sz w:val="22"/>
          <w:szCs w:val="22"/>
          <w:color w:val="auto"/>
        </w:rPr>
        <w:t>(iii)the Class A Member will cause to be executed and delivered to the Tax Equity Investor under the Tax Equity Financing a guaranty in respect of the Borrower’s obligations under the Tax Equity Documents (the “</w:t>
      </w:r>
      <w:r>
        <w:rPr>
          <w:rFonts w:ascii="Arial" w:cs="Arial" w:eastAsia="Arial" w:hAnsi="Arial"/>
          <w:sz w:val="22"/>
          <w:szCs w:val="22"/>
          <w:b w:val="1"/>
          <w:bCs w:val="1"/>
          <w:color w:val="auto"/>
        </w:rPr>
        <w:t>Class A TE Guaranty</w:t>
      </w:r>
      <w:r>
        <w:rPr>
          <w:rFonts w:ascii="Arial" w:cs="Arial" w:eastAsia="Arial" w:hAnsi="Arial"/>
          <w:sz w:val="22"/>
          <w:szCs w:val="22"/>
          <w:color w:val="auto"/>
        </w:rPr>
        <w:t>”).</w:t>
      </w:r>
    </w:p>
    <w:p>
      <w:pPr>
        <w:spacing w:after="0" w:line="77" w:lineRule="exact"/>
        <w:rPr>
          <w:sz w:val="20"/>
          <w:szCs w:val="20"/>
          <w:color w:val="auto"/>
        </w:rPr>
      </w:pPr>
    </w:p>
    <w:p>
      <w:pPr>
        <w:jc w:val="both"/>
        <w:ind w:firstLine="276"/>
        <w:spacing w:after="0" w:line="287" w:lineRule="auto"/>
        <w:rPr>
          <w:sz w:val="20"/>
          <w:szCs w:val="20"/>
          <w:color w:val="auto"/>
        </w:rPr>
      </w:pPr>
      <w:r>
        <w:rPr>
          <w:rFonts w:ascii="Arial" w:cs="Arial" w:eastAsia="Arial" w:hAnsi="Arial"/>
          <w:sz w:val="19"/>
          <w:szCs w:val="19"/>
          <w:color w:val="auto"/>
        </w:rPr>
        <w:t>(vii)To the extent that the Tax Equity Funding Date occurs and the Class A Members fail to make any Incremental Class A Investments, in addition to any other rights and remedies that the Class B Members may have at law or in equity, amounts paid by the Class B Members in lieu of the Incremental Class A Investment shall be treated as a loan from the Class B Members to the Class A Members. Each of the Class A Members will be treated as making a Capital Contribution in the amount of the loan received from the Class B Members. Each such loan shall accrue interest at [***]%, calculated and compounded on December 31 of each year. Commencing on the first Distribution Date after the Tax Equity Funding Date, any Available Cash Flow that a Class A Member would otherwise be entitled to shall not be paid to such Class A Member (but for the sake of clarity shall be deemed to have been distributed to the Class A Member, but further directed to the Class B Member to satisfy such loan), and all such Available Cash Flow shall be paid to the Class B Member until the loan has been repaid in full with interest. Any such loan may be assigned or collaterally assigned by the Class B Member, and the Class A Member shall execute and deliver notes, agreements, consents, estoppels, opinions and other documentation reasonably requested by the Class B Member in connection with such an assignment or collateral assignment.</w:t>
      </w:r>
    </w:p>
    <w:p>
      <w:pPr>
        <w:spacing w:after="0" w:line="200" w:lineRule="exact"/>
        <w:rPr>
          <w:sz w:val="20"/>
          <w:szCs w:val="20"/>
          <w:color w:val="auto"/>
        </w:rPr>
      </w:pPr>
    </w:p>
    <w:p>
      <w:pPr>
        <w:spacing w:after="0" w:line="22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Member Loans</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92" w:lineRule="auto"/>
        <w:rPr>
          <w:sz w:val="20"/>
          <w:szCs w:val="20"/>
          <w:color w:val="auto"/>
        </w:rPr>
      </w:pPr>
      <w:r>
        <w:rPr>
          <w:rFonts w:ascii="Arial" w:cs="Arial" w:eastAsia="Arial" w:hAnsi="Arial"/>
          <w:sz w:val="19"/>
          <w:szCs w:val="19"/>
          <w:color w:val="auto"/>
        </w:rPr>
        <w:t>(i)In the event that, from time to time after the Effective Date, additional working capital is needed to enable the Company to cause the Assets of the Company and the Pinnacle Project Company to be properly operated and maintained (and to pay and perform the costs, expenses, obligations and liabilities of the Company or the Pinnacle Project Company) and such additional working capital is not required to be funded by the Members pursuant to an additional Capital Contribution pursuant to Section 3.3, then, at the discretion of the Manager, the Manager may give notice to the Members thereof (the “</w:t>
      </w:r>
      <w:r>
        <w:rPr>
          <w:rFonts w:ascii="Arial" w:cs="Arial" w:eastAsia="Arial" w:hAnsi="Arial"/>
          <w:sz w:val="19"/>
          <w:szCs w:val="19"/>
          <w:b w:val="1"/>
          <w:bCs w:val="1"/>
          <w:color w:val="auto"/>
        </w:rPr>
        <w:t>Working Capital</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and each Member shall have the right (but not the obligation) to advance all or part of the needed funds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Within ten (10) Business Days following the date of the Working Capital Notice,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285" w:name="page286"/>
    <w:bookmarkEnd w:id="285"/>
    <w:p>
      <w:pPr>
        <w:jc w:val="both"/>
        <w:spacing w:after="0" w:line="261" w:lineRule="auto"/>
        <w:rPr>
          <w:sz w:val="20"/>
          <w:szCs w:val="20"/>
          <w:color w:val="auto"/>
        </w:rPr>
      </w:pPr>
      <w:r>
        <w:rPr>
          <w:rFonts w:ascii="Arial" w:cs="Arial" w:eastAsia="Arial" w:hAnsi="Arial"/>
          <w:sz w:val="21"/>
          <w:szCs w:val="21"/>
          <w:color w:val="auto"/>
        </w:rPr>
        <w:t>participating Members shall give notice to the Manager and the other Members stating their election whether to provide such funding to the Company (the “</w:t>
      </w:r>
      <w:r>
        <w:rPr>
          <w:rFonts w:ascii="Arial" w:cs="Arial" w:eastAsia="Arial" w:hAnsi="Arial"/>
          <w:sz w:val="21"/>
          <w:szCs w:val="21"/>
          <w:b w:val="1"/>
          <w:bCs w:val="1"/>
          <w:color w:val="auto"/>
        </w:rPr>
        <w:t>Funding Notice</w:t>
      </w:r>
      <w:r>
        <w:rPr>
          <w:rFonts w:ascii="Arial" w:cs="Arial" w:eastAsia="Arial" w:hAnsi="Arial"/>
          <w:sz w:val="21"/>
          <w:szCs w:val="21"/>
          <w:color w:val="auto"/>
        </w:rPr>
        <w:t>”). If more than one Member states in the Funding Notice that it elects to provide such funds, then each Member shall provide an equal amount of funds (or such other amount as the Members decide) to the Company within five (5) Business Days after the date of the Funding Notice. Amounts advanced by any Member pursuant to this Section 3.4(a) shall be considered “</w:t>
      </w:r>
      <w:r>
        <w:rPr>
          <w:rFonts w:ascii="Arial" w:cs="Arial" w:eastAsia="Arial" w:hAnsi="Arial"/>
          <w:sz w:val="21"/>
          <w:szCs w:val="21"/>
          <w:b w:val="1"/>
          <w:bCs w:val="1"/>
          <w:color w:val="auto"/>
        </w:rPr>
        <w:t>Member Loans</w:t>
      </w:r>
      <w:r>
        <w:rPr>
          <w:rFonts w:ascii="Arial" w:cs="Arial" w:eastAsia="Arial" w:hAnsi="Arial"/>
          <w:sz w:val="21"/>
          <w:szCs w:val="21"/>
          <w:color w:val="auto"/>
        </w:rPr>
        <w:t>;” provided, however, that no Member Loan may impair the ability of the Company to distribute Available Cash Flow pursuant to Article 5.</w:t>
      </w:r>
    </w:p>
    <w:p>
      <w:pPr>
        <w:spacing w:after="0" w:line="179" w:lineRule="exact"/>
        <w:rPr>
          <w:sz w:val="20"/>
          <w:szCs w:val="20"/>
          <w:color w:val="auto"/>
        </w:rPr>
      </w:pPr>
    </w:p>
    <w:p>
      <w:pPr>
        <w:jc w:val="both"/>
        <w:ind w:firstLine="384"/>
        <w:spacing w:after="0" w:line="261" w:lineRule="auto"/>
        <w:rPr>
          <w:sz w:val="20"/>
          <w:szCs w:val="20"/>
          <w:color w:val="auto"/>
        </w:rPr>
      </w:pPr>
      <w:r>
        <w:rPr>
          <w:rFonts w:ascii="Arial" w:cs="Arial" w:eastAsia="Arial" w:hAnsi="Arial"/>
          <w:sz w:val="21"/>
          <w:szCs w:val="21"/>
          <w:color w:val="auto"/>
        </w:rPr>
        <w:t>(ii)Any Member Loan shall be unsecured and shall bear interest at a rate equal to the lesser of (A) the Reference Rate plus [***]% or (B) the highest rate of interest that may be charged by a Member in accordance with applicable Law, unless a lower rate of interest is otherwise agreed to by such Member in its sole discretion. Member Loans shall be repaid by the Company out of Available Cash Flow in accordance with the provisions of Section 5.1(f). Interest on each Member Loan pursuant to this Section 3.4 shall accrue and, if not paid in accordance with the immediately preceding sentence of this Section 3.4(b), be compounded to the principal amount thereof on each Distribution Date.</w:t>
      </w:r>
    </w:p>
    <w:p>
      <w:pPr>
        <w:spacing w:after="0" w:line="17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19"/>
          <w:szCs w:val="19"/>
          <w:u w:val="single" w:color="auto"/>
          <w:color w:val="auto"/>
        </w:rPr>
        <w:t>Support Obligations</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87" w:lineRule="auto"/>
        <w:rPr>
          <w:sz w:val="20"/>
          <w:szCs w:val="20"/>
          <w:color w:val="auto"/>
        </w:rPr>
      </w:pPr>
      <w:r>
        <w:rPr>
          <w:rFonts w:ascii="Arial" w:cs="Arial" w:eastAsia="Arial" w:hAnsi="Arial"/>
          <w:sz w:val="19"/>
          <w:szCs w:val="19"/>
          <w:color w:val="auto"/>
        </w:rPr>
        <w:t>(i)In the event that, from time to time after the Effective Date, the Company or a Project Company or any other subsidiary of the Company is required to provide a letter of credit or other credit support under a Repowering Project Document, excluding the Credit Support Obligations set forth in Section 3.3(f) (for which the obligations of the Members are addressed exclusively in accordance with Section 3.3(f)) (a “</w:t>
      </w:r>
      <w:r>
        <w:rPr>
          <w:rFonts w:ascii="Arial" w:cs="Arial" w:eastAsia="Arial" w:hAnsi="Arial"/>
          <w:sz w:val="19"/>
          <w:szCs w:val="19"/>
          <w:b w:val="1"/>
          <w:bCs w:val="1"/>
          <w:color w:val="auto"/>
        </w:rPr>
        <w:t>Support Obligation</w:t>
      </w:r>
      <w:r>
        <w:rPr>
          <w:rFonts w:ascii="Arial" w:cs="Arial" w:eastAsia="Arial" w:hAnsi="Arial"/>
          <w:sz w:val="19"/>
          <w:szCs w:val="19"/>
          <w:color w:val="auto"/>
        </w:rPr>
        <w:t>”), then, at the discretion of the Manager, the Manager may give notice to the Members thereof (the “</w:t>
      </w:r>
      <w:r>
        <w:rPr>
          <w:rFonts w:ascii="Arial" w:cs="Arial" w:eastAsia="Arial" w:hAnsi="Arial"/>
          <w:sz w:val="19"/>
          <w:szCs w:val="19"/>
          <w:b w:val="1"/>
          <w:bCs w:val="1"/>
          <w:color w:val="auto"/>
        </w:rPr>
        <w:t>Support Obligation Notice</w:t>
      </w:r>
      <w:r>
        <w:rPr>
          <w:rFonts w:ascii="Arial" w:cs="Arial" w:eastAsia="Arial" w:hAnsi="Arial"/>
          <w:sz w:val="19"/>
          <w:szCs w:val="19"/>
          <w:color w:val="auto"/>
        </w:rPr>
        <w:t>”), and each Member shall have the right (but not the obligation) to provide the Support Obligation. Within ten (10) Business Days following the date of the Support Obligation Notice, the participating Members shall give notice to the Manager and the other Members stating their election whether to provide such Support Obligation (the “</w:t>
      </w:r>
      <w:r>
        <w:rPr>
          <w:rFonts w:ascii="Arial" w:cs="Arial" w:eastAsia="Arial" w:hAnsi="Arial"/>
          <w:sz w:val="19"/>
          <w:szCs w:val="19"/>
          <w:b w:val="1"/>
          <w:bCs w:val="1"/>
          <w:color w:val="auto"/>
        </w:rPr>
        <w:t>Posting Notice</w:t>
      </w:r>
      <w:r>
        <w:rPr>
          <w:rFonts w:ascii="Arial" w:cs="Arial" w:eastAsia="Arial" w:hAnsi="Arial"/>
          <w:sz w:val="19"/>
          <w:szCs w:val="19"/>
          <w:color w:val="auto"/>
        </w:rPr>
        <w:t>”). If more than one Member states in the Posting Notice that it elects to provide such Support Obligation, then each Member shall provide an equal amount of the Support Obligation (or such other amount as the Members decide) to the Company within five (5) Business Days after the date of the Posting Notice; provided, however, that no Support Obligation may impair the ability of the Company to distribute Available Cash Flow pursuant to Article 5.</w:t>
      </w:r>
    </w:p>
    <w:p>
      <w:pPr>
        <w:spacing w:after="0" w:line="163" w:lineRule="exact"/>
        <w:rPr>
          <w:sz w:val="20"/>
          <w:szCs w:val="20"/>
          <w:color w:val="auto"/>
        </w:rPr>
      </w:pPr>
    </w:p>
    <w:p>
      <w:pPr>
        <w:jc w:val="both"/>
        <w:ind w:firstLine="384"/>
        <w:spacing w:after="0" w:line="294" w:lineRule="auto"/>
        <w:rPr>
          <w:sz w:val="20"/>
          <w:szCs w:val="20"/>
          <w:color w:val="auto"/>
        </w:rPr>
      </w:pPr>
      <w:r>
        <w:rPr>
          <w:rFonts w:ascii="Arial" w:cs="Arial" w:eastAsia="Arial" w:hAnsi="Arial"/>
          <w:sz w:val="19"/>
          <w:szCs w:val="19"/>
          <w:color w:val="auto"/>
        </w:rPr>
        <w:t>(ii)In the event that a Member causes to be provided Support Obligations, then all reasonable out-of-pocket fees, costs and expenses incurred in connection therewith, in each case to the extent that such fees, costs and expenses are included in the annual budget for the Company or the Pinnacle Project Company, shall be paid and reimbursed to the Member by the Company solely out of Available Cash Flow that would otherwise be distributed to the Members prior to distributions pursuant to the provisions of Section 5.1. If a Member is obligated to pay or reimburse any amount drawn or paid under such Support Obligations, the Member shall be deemed to have made a Member Loan to the Company in accordance with Section 3.4(b)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286" w:name="page287"/>
    <w:bookmarkEnd w:id="286"/>
    <w:p>
      <w:pPr>
        <w:spacing w:after="0" w:line="263" w:lineRule="auto"/>
        <w:rPr>
          <w:sz w:val="20"/>
          <w:szCs w:val="20"/>
          <w:color w:val="auto"/>
        </w:rPr>
      </w:pPr>
      <w:r>
        <w:rPr>
          <w:rFonts w:ascii="Arial" w:cs="Arial" w:eastAsia="Arial" w:hAnsi="Arial"/>
          <w:sz w:val="22"/>
          <w:szCs w:val="22"/>
          <w:color w:val="auto"/>
        </w:rPr>
        <w:t>to the amount so paid or reimbursed by the Member. A Member shall give notice thereof to the Manager promptly after such loan is deemed to be made.</w:t>
      </w:r>
    </w:p>
    <w:p>
      <w:pPr>
        <w:spacing w:after="0" w:line="17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f.</w:t>
      </w:r>
      <w:r>
        <w:rPr>
          <w:sz w:val="20"/>
          <w:szCs w:val="20"/>
          <w:color w:val="auto"/>
        </w:rPr>
        <w:tab/>
      </w:r>
      <w:r>
        <w:rPr>
          <w:rFonts w:ascii="Arial" w:cs="Arial" w:eastAsia="Arial" w:hAnsi="Arial"/>
          <w:sz w:val="19"/>
          <w:szCs w:val="19"/>
          <w:u w:val="single" w:color="auto"/>
          <w:color w:val="auto"/>
        </w:rPr>
        <w:t>Obligations Under Tax Equity Documents</w:t>
      </w:r>
      <w:r>
        <w:rPr>
          <w:rFonts w:ascii="Arial" w:cs="Arial" w:eastAsia="Arial" w:hAnsi="Arial"/>
          <w:sz w:val="19"/>
          <w:szCs w:val="19"/>
          <w:color w:val="auto"/>
        </w:rPr>
        <w:t>.</w:t>
      </w:r>
    </w:p>
    <w:p>
      <w:pPr>
        <w:spacing w:after="0" w:line="220" w:lineRule="exact"/>
        <w:rPr>
          <w:sz w:val="20"/>
          <w:szCs w:val="20"/>
          <w:color w:val="auto"/>
        </w:rPr>
      </w:pPr>
    </w:p>
    <w:p>
      <w:pPr>
        <w:jc w:val="both"/>
        <w:ind w:firstLine="452"/>
        <w:spacing w:after="0" w:line="261" w:lineRule="auto"/>
        <w:tabs>
          <w:tab w:leader="none" w:pos="718" w:val="left"/>
        </w:tabs>
        <w:numPr>
          <w:ilvl w:val="0"/>
          <w:numId w:val="303"/>
        </w:numPr>
        <w:rPr>
          <w:rFonts w:ascii="Arial" w:cs="Arial" w:eastAsia="Arial" w:hAnsi="Arial"/>
          <w:sz w:val="21"/>
          <w:szCs w:val="21"/>
          <w:color w:val="auto"/>
        </w:rPr>
      </w:pPr>
      <w:r>
        <w:rPr>
          <w:rFonts w:ascii="Arial" w:cs="Arial" w:eastAsia="Arial" w:hAnsi="Arial"/>
          <w:sz w:val="21"/>
          <w:szCs w:val="21"/>
          <w:color w:val="auto"/>
        </w:rPr>
        <w:t>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a Class A TE Obligation, then, in each case, (x) the Class A Member hereby irrevocably commits to contribute to the Borrower an amount equal to such payment obligation as and when required or contemplated pursuant to the Tax Equity Document and (y) the Manager shall cause the amount to be applied to the payment or reimbursement of such obligation.</w:t>
      </w:r>
    </w:p>
    <w:p>
      <w:pPr>
        <w:spacing w:after="0" w:line="179" w:lineRule="exact"/>
        <w:rPr>
          <w:sz w:val="20"/>
          <w:szCs w:val="20"/>
          <w:color w:val="auto"/>
        </w:rPr>
      </w:pPr>
    </w:p>
    <w:p>
      <w:pPr>
        <w:jc w:val="both"/>
        <w:ind w:firstLine="384"/>
        <w:spacing w:after="0" w:line="261" w:lineRule="auto"/>
        <w:rPr>
          <w:sz w:val="20"/>
          <w:szCs w:val="20"/>
          <w:color w:val="auto"/>
        </w:rPr>
      </w:pPr>
      <w:r>
        <w:rPr>
          <w:rFonts w:ascii="Arial" w:cs="Arial" w:eastAsia="Arial" w:hAnsi="Arial"/>
          <w:sz w:val="21"/>
          <w:szCs w:val="21"/>
          <w:color w:val="auto"/>
        </w:rPr>
        <w:t>(ii)In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a Class B TE Obligation, then, in each case, (x) the Class B Member hereby irrevocably commits to contribute to the Borrower an amount equal to such payment obligation as and when required or contemplated pursuant to the Tax Equity Document and (y) the Manager shall cause the amount to be applied to the payment or reimbursement of such obligation.</w:t>
      </w:r>
    </w:p>
    <w:p>
      <w:pPr>
        <w:spacing w:after="0" w:line="17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9"/>
          <w:szCs w:val="19"/>
          <w:color w:val="auto"/>
        </w:rPr>
        <w:t>(iii)In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neither a Class A TE Obligation nor a Class B TE Obligation, then, in each case, (x) each Member hereby irrevocably commits to contribute to the Borrower an amount equal to its Specified Share of such payment obligation as and when required or contemplated pursuant to the Tax Equity Document and (y) the Manager shall cause the amount to be applied to the payment or reimbursement of such obligation.</w:t>
      </w:r>
    </w:p>
    <w:p>
      <w:pPr>
        <w:spacing w:after="0" w:line="14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g.</w:t>
      </w:r>
      <w:r>
        <w:rPr>
          <w:sz w:val="20"/>
          <w:szCs w:val="20"/>
          <w:color w:val="auto"/>
        </w:rPr>
        <w:tab/>
      </w:r>
      <w:r>
        <w:rPr>
          <w:rFonts w:ascii="Arial" w:cs="Arial" w:eastAsia="Arial" w:hAnsi="Arial"/>
          <w:sz w:val="19"/>
          <w:szCs w:val="19"/>
          <w:u w:val="single" w:color="auto"/>
          <w:color w:val="auto"/>
        </w:rPr>
        <w:t>No Right to Return of Capital Contributions</w:t>
      </w:r>
      <w:r>
        <w:rPr>
          <w:rFonts w:ascii="Arial" w:cs="Arial" w:eastAsia="Arial" w:hAnsi="Arial"/>
          <w:sz w:val="19"/>
          <w:szCs w:val="19"/>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Except as otherwise provided in this Agreement, no Member may require a return of any part of its Capital Contributions or the payment of interest thereon from the Company or from another Member. An unrepaid Capital Contribution is not a liability of the Company or any Member.</w:t>
      </w:r>
    </w:p>
    <w:p>
      <w:pPr>
        <w:spacing w:after="0" w:line="18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h.</w:t>
        <w:tab/>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ACCOUNTS; ALLOCATIONS</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Capital Accounts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287" w:name="page288"/>
    <w:bookmarkEnd w:id="287"/>
    <w:p>
      <w:pPr>
        <w:jc w:val="both"/>
        <w:ind w:firstLine="444"/>
        <w:spacing w:after="0" w:line="263" w:lineRule="auto"/>
        <w:rPr>
          <w:sz w:val="20"/>
          <w:szCs w:val="20"/>
          <w:color w:val="auto"/>
        </w:rPr>
      </w:pPr>
      <w:r>
        <w:rPr>
          <w:rFonts w:ascii="Arial" w:cs="Arial" w:eastAsia="Arial" w:hAnsi="Arial"/>
          <w:sz w:val="22"/>
          <w:szCs w:val="22"/>
          <w:color w:val="auto"/>
        </w:rPr>
        <w:t>(i)The Company shall maintain for each Member a separate Capital Account in accordance with the rules of Treasury Regulations Section 1.704 l(b)(2)(iv).</w:t>
      </w:r>
    </w:p>
    <w:p>
      <w:pPr>
        <w:spacing w:after="0" w:line="175" w:lineRule="exact"/>
        <w:rPr>
          <w:sz w:val="20"/>
          <w:szCs w:val="20"/>
          <w:color w:val="auto"/>
        </w:rPr>
      </w:pPr>
    </w:p>
    <w:p>
      <w:pPr>
        <w:jc w:val="both"/>
        <w:ind w:firstLine="384"/>
        <w:spacing w:after="0" w:line="284" w:lineRule="auto"/>
        <w:rPr>
          <w:sz w:val="20"/>
          <w:szCs w:val="20"/>
          <w:color w:val="auto"/>
        </w:rPr>
      </w:pPr>
      <w:r>
        <w:rPr>
          <w:rFonts w:ascii="Arial" w:cs="Arial" w:eastAsia="Arial" w:hAnsi="Arial"/>
          <w:sz w:val="19"/>
          <w:szCs w:val="19"/>
          <w:color w:val="auto"/>
        </w:rPr>
        <w:t>(ii)A Member’s Capital Account will be increased by (i) such Member’s Capital Contributions, and (ii) the income and gain the Member is allocated by the Company, including any income and gain that is exempted from tax and including any income and gain described in Treasury Regulations Section 1.704 1(b)(2)(iv)(g), but excluding tax items of income and gain described in Treasury Regulations Section 1.704 1(b)(4)(i). A Member’s Capital Account will be decreased by (i) the amount of money distributed to the Member by the Company, (ii) the net value of any property other than money distributed to the Member by the Company (i.e., the fair market value of the property net of any liabilities secured by the property that the Member is considered to assume or take subject to under Section 752 of the Code), (iii) any expenditures of the Company described in Section 705(a)(2)</w:t>
      </w:r>
    </w:p>
    <w:p>
      <w:pPr>
        <w:spacing w:after="0" w:line="4" w:lineRule="exact"/>
        <w:rPr>
          <w:sz w:val="20"/>
          <w:szCs w:val="20"/>
          <w:color w:val="auto"/>
        </w:rPr>
      </w:pPr>
    </w:p>
    <w:p>
      <w:pPr>
        <w:jc w:val="both"/>
        <w:ind w:firstLine="8"/>
        <w:spacing w:after="0" w:line="244" w:lineRule="auto"/>
        <w:tabs>
          <w:tab w:leader="none" w:pos="352" w:val="left"/>
        </w:tabs>
        <w:numPr>
          <w:ilvl w:val="0"/>
          <w:numId w:val="304"/>
        </w:numPr>
        <w:rPr>
          <w:rFonts w:ascii="Arial" w:cs="Arial" w:eastAsia="Arial" w:hAnsi="Arial"/>
          <w:sz w:val="22"/>
          <w:szCs w:val="22"/>
          <w:color w:val="auto"/>
        </w:rPr>
      </w:pPr>
      <w:r>
        <w:rPr>
          <w:rFonts w:ascii="Arial" w:cs="Arial" w:eastAsia="Arial" w:hAnsi="Arial"/>
          <w:sz w:val="22"/>
          <w:szCs w:val="22"/>
          <w:color w:val="auto"/>
        </w:rPr>
        <w:t>of the Code (i.e., that cannot be capitalized or deducted in computing taxable income) that are allocated to the Member, (iv) losses and deductions that are allocated to the Member, but excluding tax items of loss or deduction described in Treasury Regulations Section 1.704 1(b)(4)(i), and (v) an amount equal to an allocation of downward basis adjustment to such Member as described in Treasury Regulations Section 1.704-1(b)(2)(iv)(j).</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(iii)In the event Units are Transferred in accordance with the terms of this Agreement, the Transferee shall succeed to the Capital Account of the Transferring Member to the extent it relates to the Units so Transferred.</w:t>
      </w:r>
    </w:p>
    <w:p>
      <w:pPr>
        <w:spacing w:after="0" w:line="175" w:lineRule="exact"/>
        <w:rPr>
          <w:sz w:val="20"/>
          <w:szCs w:val="20"/>
          <w:color w:val="auto"/>
        </w:rPr>
      </w:pPr>
    </w:p>
    <w:p>
      <w:pPr>
        <w:jc w:val="both"/>
        <w:ind w:firstLine="336"/>
        <w:spacing w:after="0" w:line="263" w:lineRule="auto"/>
        <w:rPr>
          <w:sz w:val="20"/>
          <w:szCs w:val="20"/>
          <w:color w:val="auto"/>
        </w:rPr>
      </w:pPr>
      <w:r>
        <w:rPr>
          <w:rFonts w:ascii="Arial" w:cs="Arial" w:eastAsia="Arial" w:hAnsi="Arial"/>
          <w:sz w:val="22"/>
          <w:szCs w:val="22"/>
          <w:color w:val="auto"/>
        </w:rPr>
        <w:t>(iv)In determining the amount of any liability for purposes of Section 4.1(b) there shall be taken into account Code Section 752(c) and any other applicable provisions of the Code and Treasury Regulations.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(v)The Members’ Initial Capital Contributions and initial Capital Accounts are set forth on Annex I.</w:t>
      </w:r>
    </w:p>
    <w:p>
      <w:pPr>
        <w:spacing w:after="0" w:line="220" w:lineRule="exact"/>
        <w:rPr>
          <w:sz w:val="20"/>
          <w:szCs w:val="20"/>
          <w:color w:val="auto"/>
        </w:rPr>
      </w:pPr>
    </w:p>
    <w:p>
      <w:pPr>
        <w:jc w:val="both"/>
        <w:ind w:firstLine="336"/>
        <w:spacing w:after="0" w:line="253" w:lineRule="auto"/>
        <w:rPr>
          <w:sz w:val="20"/>
          <w:szCs w:val="20"/>
          <w:color w:val="auto"/>
        </w:rPr>
      </w:pPr>
      <w:r>
        <w:rPr>
          <w:rFonts w:ascii="Arial" w:cs="Arial" w:eastAsia="Arial" w:hAnsi="Arial"/>
          <w:sz w:val="22"/>
          <w:szCs w:val="22"/>
          <w:color w:val="auto"/>
        </w:rPr>
        <w:t>(vi)This Section 4.1 and the other provisions of this Agreement relating to the maintenance of Capital Accounts are intended to comply with Treasury Regulations Section 1.704 1(b), and shall be interpreted and applied in a manner consistent with such Treasury Regulations.</w:t>
      </w:r>
    </w:p>
    <w:p>
      <w:pPr>
        <w:spacing w:after="0" w:line="18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Allocations</w:t>
      </w:r>
      <w:r>
        <w:rPr>
          <w:rFonts w:ascii="Arial" w:cs="Arial" w:eastAsia="Arial" w:hAnsi="Arial"/>
          <w:sz w:val="19"/>
          <w:szCs w:val="19"/>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purposes of maintaining Capital Accounts, all Company Items for any Taxable Year shall be allocated among the Members as follows:</w:t>
      </w:r>
    </w:p>
    <w:p>
      <w:pPr>
        <w:spacing w:after="0" w:line="175" w:lineRule="exact"/>
        <w:rPr>
          <w:sz w:val="20"/>
          <w:szCs w:val="20"/>
          <w:color w:val="auto"/>
        </w:rPr>
      </w:pPr>
    </w:p>
    <w:p>
      <w:pPr>
        <w:jc w:val="both"/>
        <w:ind w:firstLine="444"/>
        <w:spacing w:after="0" w:line="265" w:lineRule="auto"/>
        <w:rPr>
          <w:sz w:val="20"/>
          <w:szCs w:val="20"/>
          <w:color w:val="auto"/>
        </w:rPr>
      </w:pPr>
      <w:r>
        <w:rPr>
          <w:rFonts w:ascii="Arial" w:cs="Arial" w:eastAsia="Arial" w:hAnsi="Arial"/>
          <w:sz w:val="21"/>
          <w:szCs w:val="21"/>
          <w:color w:val="auto"/>
        </w:rPr>
        <w:t>(i)</w:t>
      </w:r>
      <w:r>
        <w:rPr>
          <w:rFonts w:ascii="Arial" w:cs="Arial" w:eastAsia="Arial" w:hAnsi="Arial"/>
          <w:sz w:val="21"/>
          <w:szCs w:val="21"/>
          <w:u w:val="single" w:color="auto"/>
          <w:color w:val="auto"/>
        </w:rPr>
        <w:t>General Allocations</w:t>
      </w:r>
      <w:r>
        <w:rPr>
          <w:rFonts w:ascii="Arial" w:cs="Arial" w:eastAsia="Arial" w:hAnsi="Arial"/>
          <w:sz w:val="21"/>
          <w:szCs w:val="21"/>
          <w:color w:val="auto"/>
        </w:rPr>
        <w:t>. Subject to Section 4.2(b), Section 4.3 and Section 12.2(a)(v), all Company Items attributable to the Pinnacle Project for any Taxable Year or relevant portion thereof shall be allocated among the Members as follows: the Class A Distribution Percentage to the Class A Members, pro rata in accordance with their Class A Units, and the Class B Distribution Percentage to the Class B Members, pro rata in accordance with their Class B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288" w:name="page289"/>
    <w:bookmarkEnd w:id="288"/>
    <w:p>
      <w:pPr>
        <w:jc w:val="both"/>
        <w:ind w:firstLine="384"/>
        <w:spacing w:after="0" w:line="253" w:lineRule="auto"/>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Items in Connection with Liquidation</w:t>
      </w:r>
      <w:r>
        <w:rPr>
          <w:rFonts w:ascii="Arial" w:cs="Arial" w:eastAsia="Arial" w:hAnsi="Arial"/>
          <w:sz w:val="22"/>
          <w:szCs w:val="22"/>
          <w:color w:val="auto"/>
        </w:rPr>
        <w:t>. Company Items for the Taxable Year in which there is a disposition or deemed disposition of all or substantially all of the Assets of the Company pursuant to Section 12.2(a)(iii) shall be allocated pursuant to Section 12.2(a)(v).</w:t>
      </w:r>
    </w:p>
    <w:p>
      <w:pPr>
        <w:spacing w:after="0" w:line="18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Adjustments</w:t>
      </w:r>
      <w:r>
        <w:rPr>
          <w:rFonts w:ascii="Arial" w:cs="Arial" w:eastAsia="Arial" w:hAnsi="Arial"/>
          <w:sz w:val="19"/>
          <w:szCs w:val="19"/>
          <w:color w:val="auto"/>
        </w:rPr>
        <w:t>.</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following adjustments shall be made to the allocations set forth in Section 4.2 in the following order of priority in order to comply with Treasury Regulations Sections 1.704 1(b) and 1.704 2:</w:t>
      </w:r>
    </w:p>
    <w:p>
      <w:pPr>
        <w:spacing w:after="0" w:line="175"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21"/>
          <w:szCs w:val="21"/>
          <w:color w:val="auto"/>
        </w:rPr>
        <w:t>(i)</w:t>
      </w:r>
      <w:r>
        <w:rPr>
          <w:rFonts w:ascii="Arial" w:cs="Arial" w:eastAsia="Arial" w:hAnsi="Arial"/>
          <w:sz w:val="21"/>
          <w:szCs w:val="21"/>
          <w:u w:val="single" w:color="auto"/>
          <w:color w:val="auto"/>
        </w:rPr>
        <w:t>Company Minimum Gain Chargeback</w:t>
      </w:r>
      <w:r>
        <w:rPr>
          <w:rFonts w:ascii="Arial" w:cs="Arial" w:eastAsia="Arial" w:hAnsi="Arial"/>
          <w:sz w:val="21"/>
          <w:szCs w:val="21"/>
          <w:color w:val="auto"/>
        </w:rPr>
        <w:t>. Notwithstanding the other provisions of this Article IV, except as provided in Treasury Regulations Section 1.704 2(f), if there is a net decrease in Company Minimum Gain during any taxable year of the Company, each Member shall be allocated Company Items of income and gain for such taxable year (and, if necessary subsequent taxable years) in an amount equal to such Member’s share of the net decrease in Company Minimum Gain, determined in accordance with Treasury Regulations Section 1.704 2(g). Allocations pursuant to the previous sentence shall be made in proportion to the respective amounts required to be allocated to each Member pursuant thereto. The Company Items to be so allocated shall be determined in accordance with Treasury Regulations Sections 1.704 2(f)(6) and 1.704 2(j)(2). This Section 4.3(a) is intended to comply with the minimum gain chargeback requirement in Treasury Regulations Section 1.704 2(f) and shall be interpreted consistently therewith.</w:t>
      </w:r>
    </w:p>
    <w:p>
      <w:pPr>
        <w:spacing w:after="0" w:line="179" w:lineRule="exact"/>
        <w:rPr>
          <w:sz w:val="20"/>
          <w:szCs w:val="20"/>
          <w:color w:val="auto"/>
        </w:rPr>
      </w:pPr>
    </w:p>
    <w:p>
      <w:pPr>
        <w:jc w:val="both"/>
        <w:ind w:firstLine="384"/>
        <w:spacing w:after="0" w:line="283"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Chargeback of Minimum Gain Attributable to Member Nonrecourse Debt</w:t>
      </w:r>
      <w:r>
        <w:rPr>
          <w:rFonts w:ascii="Arial" w:cs="Arial" w:eastAsia="Arial" w:hAnsi="Arial"/>
          <w:sz w:val="19"/>
          <w:szCs w:val="19"/>
          <w:color w:val="auto"/>
        </w:rPr>
        <w:t>. Notwithstanding the other provisions of this Article IV, except as provided in Treasury Regulations Section 1.704 2(i)(4), if there is a net decrease in Member Nonrecourse Debt Minimum Gain attributable to a Member Nonrecourse Debt during any taxable year of the Company, each Member who has a share of the Member Nonrecourse Debt Minimum Gain attributable to such Member Nonrecourse Debt, determined in accordance with Treasury Regulations Section 1.704 2(i)(5), shall be allocated Company Items of income and gain for such taxable year (and, if necessary, subsequent taxable year) in an amount equal to such Member’s share of the net decrease in Member Nonrecourse Debt, determined in accordance with Treasury Regulations Section 1.704 2(i)(4). Allocations pursuant to the previous sentence shall be made in proportion to the respective amounts required to be allocated to each Member pursuant thereto. The Company Items to be so allocated shall be determined in accordance with Treasury Regulations Sections 1.704 2(i)</w:t>
      </w:r>
    </w:p>
    <w:p>
      <w:pPr>
        <w:spacing w:after="0" w:line="8" w:lineRule="exact"/>
        <w:rPr>
          <w:sz w:val="20"/>
          <w:szCs w:val="20"/>
          <w:color w:val="auto"/>
        </w:rPr>
      </w:pPr>
    </w:p>
    <w:p>
      <w:pPr>
        <w:ind w:right="20" w:firstLine="8"/>
        <w:spacing w:after="0" w:line="269" w:lineRule="auto"/>
        <w:tabs>
          <w:tab w:leader="none" w:pos="331" w:val="left"/>
        </w:tabs>
        <w:numPr>
          <w:ilvl w:val="0"/>
          <w:numId w:val="305"/>
        </w:numPr>
        <w:rPr>
          <w:rFonts w:ascii="Arial" w:cs="Arial" w:eastAsia="Arial" w:hAnsi="Arial"/>
          <w:sz w:val="21"/>
          <w:szCs w:val="21"/>
          <w:color w:val="auto"/>
        </w:rPr>
      </w:pPr>
      <w:r>
        <w:rPr>
          <w:rFonts w:ascii="Arial" w:cs="Arial" w:eastAsia="Arial" w:hAnsi="Arial"/>
          <w:sz w:val="21"/>
          <w:szCs w:val="21"/>
          <w:color w:val="auto"/>
        </w:rPr>
        <w:t>and 1.704 2(j)(2). This Section 4.3(b) is intended to comply with the partner nonrecourse debt minimum gain chargeback requirement in Treasury Regulations Section 1.704 2(i)(4) and shall be interpreted consistently therewith.</w:t>
      </w:r>
    </w:p>
    <w:p>
      <w:pPr>
        <w:spacing w:after="0" w:line="17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Limitation on Losses and Deductions</w:t>
      </w:r>
      <w:r>
        <w:rPr>
          <w:rFonts w:ascii="Arial" w:cs="Arial" w:eastAsia="Arial" w:hAnsi="Arial"/>
          <w:sz w:val="22"/>
          <w:szCs w:val="22"/>
          <w:color w:val="auto"/>
        </w:rPr>
        <w:t>. No items of loss or deduction may be allocated to any Member to the extent the allocation would result in or increase an Adjusted Capital Account Deficit at the end of any Taxable Year. In the event some but not all of the Members would have Adjusted Capital Account Deficits as a consequence of an allocation of items of loss or deduction, this limitation shall be applied on a Member-by-Member basis and items of loss or deduction not allocable to any Member as a result of such limitation shall be allocated to the other Members in the manner otherwise required pursuant to Section 4.2 and Section 12.2(a)(v)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289" w:name="page290"/>
    <w:bookmarkEnd w:id="289"/>
    <w:p>
      <w:pPr>
        <w:jc w:val="both"/>
        <w:spacing w:after="0" w:line="263" w:lineRule="auto"/>
        <w:rPr>
          <w:sz w:val="20"/>
          <w:szCs w:val="20"/>
          <w:color w:val="auto"/>
        </w:rPr>
      </w:pPr>
      <w:r>
        <w:rPr>
          <w:rFonts w:ascii="Arial" w:cs="Arial" w:eastAsia="Arial" w:hAnsi="Arial"/>
          <w:sz w:val="22"/>
          <w:szCs w:val="22"/>
          <w:color w:val="auto"/>
        </w:rPr>
        <w:t>to the extent such other Members may be allocated such items of loss or deduction without producing an Adjusted Capital Account Deficit.</w:t>
      </w:r>
    </w:p>
    <w:p>
      <w:pPr>
        <w:spacing w:after="0" w:line="175" w:lineRule="exact"/>
        <w:rPr>
          <w:sz w:val="20"/>
          <w:szCs w:val="20"/>
          <w:color w:val="auto"/>
        </w:rPr>
      </w:pPr>
    </w:p>
    <w:p>
      <w:pPr>
        <w:jc w:val="both"/>
        <w:ind w:firstLine="336"/>
        <w:spacing w:after="0" w:line="294"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Qualified Income Offset</w:t>
      </w:r>
      <w:r>
        <w:rPr>
          <w:rFonts w:ascii="Arial" w:cs="Arial" w:eastAsia="Arial" w:hAnsi="Arial"/>
          <w:sz w:val="19"/>
          <w:szCs w:val="19"/>
          <w:color w:val="auto"/>
        </w:rPr>
        <w:t>. In the event any Member unexpectedly receives any adjustments, allocations or distributions described in Treasury Regulations Sections 1.704 1(b)(2)(ii)(d)(4), (5) or (6), Company Items of income and gain shall be allocated to such Member in an amount and manner sufficient to eliminate as quickly as possible, to the extent required by the Treasury Regulations, any Adjusted Capital Account Deficit; provided that an allocation pursuant to this Section 4.3(d) shall be made only if and to the extent that such Member would have such a deficit Capital Account after all other adjustments provided for in this Section 4.3 have been tentatively made as if this Section 4.3(d) were not in this Agreement.</w:t>
      </w:r>
    </w:p>
    <w:p>
      <w:pPr>
        <w:spacing w:after="0" w:line="149" w:lineRule="exact"/>
        <w:rPr>
          <w:sz w:val="20"/>
          <w:szCs w:val="20"/>
          <w:color w:val="auto"/>
        </w:rPr>
      </w:pPr>
    </w:p>
    <w:p>
      <w:pPr>
        <w:jc w:val="both"/>
        <w:ind w:firstLine="396"/>
        <w:spacing w:after="0" w:line="294" w:lineRule="auto"/>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Gross Income Allocation</w:t>
      </w:r>
      <w:r>
        <w:rPr>
          <w:rFonts w:ascii="Arial" w:cs="Arial" w:eastAsia="Arial" w:hAnsi="Arial"/>
          <w:sz w:val="19"/>
          <w:szCs w:val="19"/>
          <w:color w:val="auto"/>
        </w:rPr>
        <w:t>. In the event any Member has a deficit Capital Account at the end of any Taxable Year that is in excess of the amount such Member is deemed obligated to restore pursuant to the penultimate sentences of Treasury Regulations Sections 1.704 2(g)(1) and 1.704 2(i)(5), each such Member shall be specially allocated Company Items of income and gain in the amount of such excess as quickly as possible; provided that an allocation pursuant to this Section 4.3(e) shall be made only if and to the extent that such Member would have a deficit Capital Account in excess of such sum after all other special allocations provided for in this Section 4.3 have been made as if Section 4.3(d) and this Section 4.3(e) were not in this Agreement.</w:t>
      </w:r>
    </w:p>
    <w:p>
      <w:pPr>
        <w:spacing w:after="0" w:line="149" w:lineRule="exact"/>
        <w:rPr>
          <w:sz w:val="20"/>
          <w:szCs w:val="20"/>
          <w:color w:val="auto"/>
        </w:rPr>
      </w:pPr>
    </w:p>
    <w:p>
      <w:pPr>
        <w:jc w:val="both"/>
        <w:ind w:firstLine="336"/>
        <w:spacing w:after="0" w:line="287" w:lineRule="auto"/>
        <w:rPr>
          <w:sz w:val="20"/>
          <w:szCs w:val="20"/>
          <w:color w:val="auto"/>
        </w:rPr>
      </w:pPr>
      <w:r>
        <w:rPr>
          <w:rFonts w:ascii="Arial" w:cs="Arial" w:eastAsia="Arial" w:hAnsi="Arial"/>
          <w:sz w:val="19"/>
          <w:szCs w:val="19"/>
          <w:color w:val="auto"/>
        </w:rPr>
        <w:t>(vi)</w:t>
      </w:r>
      <w:r>
        <w:rPr>
          <w:rFonts w:ascii="Arial" w:cs="Arial" w:eastAsia="Arial" w:hAnsi="Arial"/>
          <w:sz w:val="19"/>
          <w:szCs w:val="19"/>
          <w:u w:val="single" w:color="auto"/>
          <w:color w:val="auto"/>
        </w:rPr>
        <w:t>Section 754 Adjustments</w:t>
      </w:r>
      <w:r>
        <w:rPr>
          <w:rFonts w:ascii="Arial" w:cs="Arial" w:eastAsia="Arial" w:hAnsi="Arial"/>
          <w:sz w:val="19"/>
          <w:szCs w:val="19"/>
          <w:color w:val="auto"/>
        </w:rPr>
        <w:t>. To the extent an adjustment to the adjusted tax basis of any Company Asset pursuant to Code Section 734(b) or Section 743(b) is required pursuant to Treasury Regulations Section 1.704 1(b)(2)(iv)(m)(2) or Section 1.704 1(b)(2)(iv)(m)(4) to be taken into account in determining Capital Accounts as the result of a distribution to a Member in complete liquidation of such Member’s interest in the Company or a distribution to a Member other than in complete liquidation of such Member’s interest in the Company, the amount of such adjustment to Capital Accounts shall be treated as an item of gain (if the adjustment increases the basis of the Asset) or loss (if the adjustment decreases such basis). Such gain or loss shall be specially allocated to the Members as follows: (A) to the Member to whom such distribution was made in the event the first sentence of Treasury Regulations Section 1.704 1(b)(2)(iv)(m)(4) applies; (B) in accordance with how the corresponding item of “displaced” gain or loss would be allocated to the Members pursuant to Section 4.2 to the extent the second sentence of Treasury Regulations Section 1.704 1(b)(2)(iv)(m)(4) applies; and (C) in accordance with the Members’ “interests in the Company” under Treasury Regulations Section 1.704 1(b)(3) in the event Treasury Regulations Section 1.704 1(b)(2)(iv)(m)(2) applies.</w:t>
      </w:r>
    </w:p>
    <w:p>
      <w:pPr>
        <w:spacing w:after="0" w:line="163" w:lineRule="exact"/>
        <w:rPr>
          <w:sz w:val="20"/>
          <w:szCs w:val="20"/>
          <w:color w:val="auto"/>
        </w:rPr>
      </w:pPr>
    </w:p>
    <w:p>
      <w:pPr>
        <w:jc w:val="both"/>
        <w:ind w:firstLine="276"/>
        <w:spacing w:after="0" w:line="253" w:lineRule="auto"/>
        <w:rPr>
          <w:sz w:val="20"/>
          <w:szCs w:val="20"/>
          <w:color w:val="auto"/>
        </w:rPr>
      </w:pPr>
      <w:r>
        <w:rPr>
          <w:rFonts w:ascii="Arial" w:cs="Arial" w:eastAsia="Arial" w:hAnsi="Arial"/>
          <w:sz w:val="22"/>
          <w:szCs w:val="22"/>
          <w:color w:val="auto"/>
        </w:rPr>
        <w:t>(vii)</w:t>
      </w:r>
      <w:r>
        <w:rPr>
          <w:rFonts w:ascii="Arial" w:cs="Arial" w:eastAsia="Arial" w:hAnsi="Arial"/>
          <w:sz w:val="22"/>
          <w:szCs w:val="22"/>
          <w:u w:val="single" w:color="auto"/>
          <w:color w:val="auto"/>
        </w:rPr>
        <w:t>Nonrecourse Deductions</w:t>
      </w:r>
      <w:r>
        <w:rPr>
          <w:rFonts w:ascii="Arial" w:cs="Arial" w:eastAsia="Arial" w:hAnsi="Arial"/>
          <w:sz w:val="22"/>
          <w:szCs w:val="22"/>
          <w:color w:val="auto"/>
        </w:rPr>
        <w:t>. Nonrecourse Deductions for any Taxable Year shall be allocated to the Members in accordance with (i) Section 4.2, as in effect at the time the Nonrecourse Deduction arises, or (ii) if applicable, Section 12.2(a)(v), as in effect at the time the Nonrecourse Deduction arises.</w:t>
      </w:r>
    </w:p>
    <w:p>
      <w:pPr>
        <w:spacing w:after="0" w:line="18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22"/>
          <w:szCs w:val="22"/>
          <w:color w:val="auto"/>
        </w:rPr>
        <w:t>(viii)</w:t>
      </w:r>
      <w:r>
        <w:rPr>
          <w:rFonts w:ascii="Arial" w:cs="Arial" w:eastAsia="Arial" w:hAnsi="Arial"/>
          <w:sz w:val="22"/>
          <w:szCs w:val="22"/>
          <w:u w:val="single" w:color="auto"/>
          <w:color w:val="auto"/>
        </w:rPr>
        <w:t>Member Nonrecourse Deductions</w:t>
      </w:r>
      <w:r>
        <w:rPr>
          <w:rFonts w:ascii="Arial" w:cs="Arial" w:eastAsia="Arial" w:hAnsi="Arial"/>
          <w:sz w:val="22"/>
          <w:szCs w:val="22"/>
          <w:color w:val="auto"/>
        </w:rPr>
        <w:t>. Any Member Nonrecourse Deductions for any Taxable Year shall be allocated to the Member who bears the economic risk of loss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290" w:name="page291"/>
    <w:bookmarkEnd w:id="290"/>
    <w:p>
      <w:pPr>
        <w:jc w:val="both"/>
        <w:spacing w:after="0" w:line="263" w:lineRule="auto"/>
        <w:rPr>
          <w:sz w:val="20"/>
          <w:szCs w:val="20"/>
          <w:color w:val="auto"/>
        </w:rPr>
      </w:pPr>
      <w:r>
        <w:rPr>
          <w:rFonts w:ascii="Arial" w:cs="Arial" w:eastAsia="Arial" w:hAnsi="Arial"/>
          <w:sz w:val="22"/>
          <w:szCs w:val="22"/>
          <w:color w:val="auto"/>
        </w:rPr>
        <w:t>to the Member Nonrecourse Debt to which such Member Nonrecourse Deductions are attributable in accordance with Treasury Regulations Section 1.704 2(i)(1).</w:t>
      </w:r>
    </w:p>
    <w:p>
      <w:pPr>
        <w:spacing w:after="0" w:line="169" w:lineRule="exact"/>
        <w:rPr>
          <w:sz w:val="20"/>
          <w:szCs w:val="20"/>
          <w:color w:val="auto"/>
        </w:rPr>
      </w:pPr>
    </w:p>
    <w:p>
      <w:pPr>
        <w:jc w:val="both"/>
        <w:ind w:firstLine="336"/>
        <w:spacing w:after="0" w:line="259" w:lineRule="auto"/>
        <w:rPr>
          <w:sz w:val="20"/>
          <w:szCs w:val="20"/>
          <w:color w:val="auto"/>
        </w:rPr>
      </w:pPr>
      <w:r>
        <w:rPr>
          <w:rFonts w:ascii="Arial" w:cs="Arial" w:eastAsia="Arial" w:hAnsi="Arial"/>
          <w:sz w:val="21"/>
          <w:szCs w:val="21"/>
          <w:color w:val="auto"/>
        </w:rPr>
        <w:t>(ix)</w:t>
      </w:r>
      <w:r>
        <w:rPr>
          <w:rFonts w:ascii="Arial" w:cs="Arial" w:eastAsia="Arial" w:hAnsi="Arial"/>
          <w:sz w:val="21"/>
          <w:szCs w:val="21"/>
          <w:u w:val="single" w:color="auto"/>
          <w:color w:val="auto"/>
        </w:rPr>
        <w:t>Regulatory Allocations</w:t>
      </w:r>
      <w:r>
        <w:rPr>
          <w:rFonts w:ascii="Arial" w:cs="Arial" w:eastAsia="Arial" w:hAnsi="Arial"/>
          <w:sz w:val="21"/>
          <w:szCs w:val="21"/>
          <w:color w:val="auto"/>
        </w:rPr>
        <w:t>. The allocations required in Section 4.3(a) through Section 4.3(h) (the “</w:t>
      </w:r>
      <w:r>
        <w:rPr>
          <w:rFonts w:ascii="Arial" w:cs="Arial" w:eastAsia="Arial" w:hAnsi="Arial"/>
          <w:sz w:val="21"/>
          <w:szCs w:val="21"/>
          <w:b w:val="1"/>
          <w:bCs w:val="1"/>
          <w:color w:val="auto"/>
        </w:rPr>
        <w:t>Regulatory Allocations</w:t>
      </w:r>
      <w:r>
        <w:rPr>
          <w:rFonts w:ascii="Arial" w:cs="Arial" w:eastAsia="Arial" w:hAnsi="Arial"/>
          <w:sz w:val="21"/>
          <w:szCs w:val="21"/>
          <w:color w:val="auto"/>
        </w:rPr>
        <w:t>”) are intended to comply with certain requirements of the Treasury Regulations. It is the intent of the Members that, to the extent consistent with the Treasury Regulations, all Regulatory Allocations shall be offset either with other Regulatory Allocations or with allocations of other Company Items. Therefore, notwithstanding any other provisions of this Article IV, the Regulatory Allocations shall be taken into account in allocating other Company Items among the Members such that, to the extent consistent with the Treasury Regulations, the net amount of allocations of such items and the Regulatory Allocations to each Member shall be equal to the net amount that would have been allocated to each Member if the Regulatory Allocations had not occurred and all Company Items were allocated pursuant to Section 4.2, this Section 4.3 (excluding the Regulatory Allocations) and this Section 4.3(i) and Section 12.2(a)(v).</w:t>
      </w:r>
    </w:p>
    <w:p>
      <w:pPr>
        <w:spacing w:after="0" w:line="18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Tax Allocations</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50" w:lineRule="auto"/>
        <w:rPr>
          <w:sz w:val="20"/>
          <w:szCs w:val="20"/>
          <w:color w:val="auto"/>
        </w:rPr>
      </w:pPr>
      <w:r>
        <w:rPr>
          <w:rFonts w:ascii="Arial" w:cs="Arial" w:eastAsia="Arial" w:hAnsi="Arial"/>
          <w:sz w:val="22"/>
          <w:szCs w:val="22"/>
          <w:color w:val="auto"/>
        </w:rPr>
        <w:t>(i)Except as otherwise provided in this Section 4.4, for federal, state and local income tax purposes each item of the Company’s income, gain, loss, deduction and credit as determined for federal income tax purposes shall be allocated to the Members in the same manner as the correlative Company Items are allocated for book purposes pursuant to Section 4.2, Section 4.3 and Section 12.2(a)(v).</w:t>
      </w:r>
    </w:p>
    <w:p>
      <w:pPr>
        <w:spacing w:after="0" w:line="188"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21"/>
          <w:szCs w:val="21"/>
          <w:color w:val="auto"/>
        </w:rPr>
        <w:t>(ii)In accordance with Code Section 704(c) and the Treasury Regulations thereunder, items of the Company’s income, gain, loss, deduction and credit as determined for federal income tax purposes that are attributable to any non-cash property contributed to the capital of the Company shall, solely for tax purposes, be allocated among the Members so as to take account of any variation between the adjusted basis of such property to the Company for federal income tax purposes and its initial Value using the “traditional” method permitted by Treasury Regulations Section 1.704 3(d).</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(iii)In the event the Value of any Company Asset is adjusted pursuant to subparagraph (b) of the definition of Value, subsequent allocations of Company Items with respect to such Asset shall take account of any variation between the adjusted basis of such Asset for federal income tax purposes and its Value in the same manner as under Code Section 704(c) and the Treasury Regulations thereunder.</w:t>
      </w:r>
    </w:p>
    <w:p>
      <w:pPr>
        <w:spacing w:after="0" w:line="188" w:lineRule="exact"/>
        <w:rPr>
          <w:sz w:val="20"/>
          <w:szCs w:val="20"/>
          <w:color w:val="auto"/>
        </w:rPr>
      </w:pPr>
    </w:p>
    <w:p>
      <w:pPr>
        <w:jc w:val="both"/>
        <w:ind w:firstLine="336"/>
        <w:spacing w:after="0" w:line="253" w:lineRule="auto"/>
        <w:rPr>
          <w:sz w:val="20"/>
          <w:szCs w:val="20"/>
          <w:color w:val="auto"/>
        </w:rPr>
      </w:pPr>
      <w:r>
        <w:rPr>
          <w:rFonts w:ascii="Arial" w:cs="Arial" w:eastAsia="Arial" w:hAnsi="Arial"/>
          <w:sz w:val="22"/>
          <w:szCs w:val="22"/>
          <w:color w:val="auto"/>
        </w:rPr>
        <w:t>(iv)Allocations pursuant to this Section 4.4 are solely for federal, state, and local income taxes and shall not affect, or in any way be taken into account in computing, any Member’s Capital Account or distributive share of Company Items or distributions pursuant to any provision of this Agreement.</w:t>
      </w:r>
    </w:p>
    <w:p>
      <w:pPr>
        <w:spacing w:after="0" w:line="18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19"/>
          <w:szCs w:val="19"/>
          <w:u w:val="single" w:color="auto"/>
          <w:color w:val="auto"/>
        </w:rPr>
        <w:t>Other Allocation Rules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291" w:name="page292"/>
    <w:bookmarkEnd w:id="291"/>
    <w:p>
      <w:pPr>
        <w:jc w:val="both"/>
        <w:ind w:firstLine="444"/>
        <w:spacing w:after="0" w:line="289" w:lineRule="auto"/>
        <w:rPr>
          <w:sz w:val="20"/>
          <w:szCs w:val="20"/>
          <w:color w:val="auto"/>
        </w:rPr>
      </w:pPr>
      <w:r>
        <w:rPr>
          <w:rFonts w:ascii="Arial" w:cs="Arial" w:eastAsia="Arial" w:hAnsi="Arial"/>
          <w:sz w:val="19"/>
          <w:szCs w:val="19"/>
          <w:color w:val="auto"/>
        </w:rPr>
        <w:t>(i)The Members are aware of the income tax consequences of the allocations made by this Article IV and Section 12.2(a) and hereby agree to be bound by the provisions of this Article IV and by Section 12.2(a) in reporting their distributive shares of Company Items for income tax purposes, unless otherwise required by applicable Law. If the respective Membership Interests or allocation ratios described in this Article IV of the existing Members in the Company change or if a Membership Interest is Transferred in compliance with this Agreement to any other Person, then, for the Taxable Year in which the change or Transfer occurs, all Company Items resulting from the operations of the Company shall be allocated, as between the Members for the Taxable Year in which the change occurs or between the Transferring Member and the Transferee, by taking into account their varying interests using the interim closing of the books method permitted by Treasury Regulations Section 1.706 1(c)(2)(ii), unless otherwise agreed in writing by all the Members.</w:t>
      </w:r>
    </w:p>
    <w:p>
      <w:pPr>
        <w:spacing w:after="0" w:line="157" w:lineRule="exact"/>
        <w:rPr>
          <w:sz w:val="20"/>
          <w:szCs w:val="20"/>
          <w:color w:val="auto"/>
        </w:rPr>
      </w:pPr>
    </w:p>
    <w:p>
      <w:pPr>
        <w:jc w:val="both"/>
        <w:ind w:firstLine="384"/>
        <w:spacing w:after="0" w:line="312" w:lineRule="auto"/>
        <w:rPr>
          <w:sz w:val="20"/>
          <w:szCs w:val="20"/>
          <w:color w:val="auto"/>
        </w:rPr>
      </w:pPr>
      <w:r>
        <w:rPr>
          <w:rFonts w:ascii="Arial" w:cs="Arial" w:eastAsia="Arial" w:hAnsi="Arial"/>
          <w:sz w:val="19"/>
          <w:szCs w:val="19"/>
          <w:color w:val="auto"/>
        </w:rPr>
        <w:t>(ii)The Members agree that solely for purposes of determining a Member’s proportionate share of the “excess nonrecourse liabilities” of the Company within the meaning of Treasury Regulations Section 1.752 3(a)(3), the Members’ interests in Company profits are in accordance with Section 4.2 as in effect at the time the excess nonrecourse liability arises.</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(iii)Each Member agrees to provide the Company with information in connection with a transaction subject to Sections 734 and 743 of the Code and the elections permitted and provisions required thereunder, including Treasury Regulations Section 1.743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DISTRIBUTIONS</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Distributions of Available Cash Flow</w:t>
      </w:r>
      <w:r>
        <w:rPr>
          <w:rFonts w:ascii="Arial" w:cs="Arial" w:eastAsia="Arial" w:hAnsi="Arial"/>
          <w:sz w:val="19"/>
          <w:szCs w:val="19"/>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Available Cash Flow shall be distributed to the Members as follows:</w:t>
      </w:r>
    </w:p>
    <w:p>
      <w:pPr>
        <w:spacing w:after="0" w:line="220" w:lineRule="exact"/>
        <w:rPr>
          <w:sz w:val="20"/>
          <w:szCs w:val="20"/>
          <w:color w:val="auto"/>
        </w:rPr>
      </w:pPr>
    </w:p>
    <w:p>
      <w:pPr>
        <w:jc w:val="both"/>
        <w:ind w:right="20" w:firstLine="444"/>
        <w:spacing w:after="0" w:line="343" w:lineRule="auto"/>
        <w:rPr>
          <w:sz w:val="20"/>
          <w:szCs w:val="20"/>
          <w:color w:val="auto"/>
        </w:rPr>
      </w:pPr>
      <w:r>
        <w:rPr>
          <w:rFonts w:ascii="Arial" w:cs="Arial" w:eastAsia="Arial" w:hAnsi="Arial"/>
          <w:sz w:val="19"/>
          <w:szCs w:val="19"/>
          <w:color w:val="auto"/>
        </w:rPr>
        <w:t>(i)Subject to Sections 3.3(g), 3.5(b) and 5.1(e), from and after the Effective Date, Available Cash Flow shall be distributed to the Members on each Distribution Date on which the Company has Available Cash Flow, in the following order and priority:</w:t>
      </w:r>
    </w:p>
    <w:p>
      <w:pPr>
        <w:spacing w:after="0" w:line="104" w:lineRule="exact"/>
        <w:rPr>
          <w:sz w:val="20"/>
          <w:szCs w:val="20"/>
          <w:color w:val="auto"/>
        </w:rPr>
      </w:pPr>
    </w:p>
    <w:p>
      <w:pPr>
        <w:ind w:firstLine="1952"/>
        <w:spacing w:after="0" w:line="263" w:lineRule="auto"/>
        <w:tabs>
          <w:tab w:leader="none" w:pos="2587" w:val="left"/>
        </w:tabs>
        <w:numPr>
          <w:ilvl w:val="0"/>
          <w:numId w:val="306"/>
        </w:numPr>
        <w:rPr>
          <w:rFonts w:ascii="Arial" w:cs="Arial" w:eastAsia="Arial" w:hAnsi="Arial"/>
          <w:sz w:val="22"/>
          <w:szCs w:val="22"/>
          <w:color w:val="auto"/>
        </w:rPr>
      </w:pPr>
      <w:r>
        <w:rPr>
          <w:rFonts w:ascii="Arial" w:cs="Arial" w:eastAsia="Arial" w:hAnsi="Arial"/>
          <w:sz w:val="22"/>
          <w:szCs w:val="22"/>
          <w:color w:val="auto"/>
        </w:rPr>
        <w:t>first, from and after the Effective Date until the Tax Equity Funding Date, 100% to the Class A Members, pro rata in accordance with their Class A Units; and</w:t>
      </w:r>
    </w:p>
    <w:p>
      <w:pPr>
        <w:spacing w:after="0" w:line="174"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306"/>
        </w:numPr>
        <w:rPr>
          <w:rFonts w:ascii="Arial" w:cs="Arial" w:eastAsia="Arial" w:hAnsi="Arial"/>
          <w:sz w:val="22"/>
          <w:szCs w:val="22"/>
          <w:color w:val="auto"/>
        </w:rPr>
      </w:pPr>
      <w:r>
        <w:rPr>
          <w:rFonts w:ascii="Arial" w:cs="Arial" w:eastAsia="Arial" w:hAnsi="Arial"/>
          <w:sz w:val="22"/>
          <w:szCs w:val="22"/>
          <w:color w:val="auto"/>
        </w:rPr>
        <w:t>second, from and after the Tax Equity Funding Date, the Class A Distribution Percentage to the Class A Members, pro rata in accordance with their Class A Units, and the Class B Distribution Percentage to the Class B Members, pro rata in accordance with their Class B Units.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(ii)Intentionally deleted.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(iii)Intentionally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292" w:name="page293"/>
    <w:bookmarkEnd w:id="292"/>
    <w:p>
      <w:pPr>
        <w:ind w:left="340"/>
        <w:spacing w:after="0"/>
        <w:rPr>
          <w:sz w:val="20"/>
          <w:szCs w:val="20"/>
          <w:color w:val="auto"/>
        </w:rPr>
      </w:pPr>
      <w:r>
        <w:rPr>
          <w:rFonts w:ascii="Arial" w:cs="Arial" w:eastAsia="Arial" w:hAnsi="Arial"/>
          <w:sz w:val="22"/>
          <w:szCs w:val="22"/>
          <w:color w:val="auto"/>
        </w:rPr>
        <w:t>(iv)Intentionally deleted.</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(v)[***].</w:t>
      </w:r>
    </w:p>
    <w:p>
      <w:pPr>
        <w:spacing w:after="0" w:line="220" w:lineRule="exact"/>
        <w:rPr>
          <w:sz w:val="20"/>
          <w:szCs w:val="20"/>
          <w:color w:val="auto"/>
        </w:rPr>
      </w:pPr>
    </w:p>
    <w:p>
      <w:pPr>
        <w:jc w:val="both"/>
        <w:ind w:firstLine="336"/>
        <w:spacing w:after="0" w:line="265" w:lineRule="auto"/>
        <w:rPr>
          <w:sz w:val="20"/>
          <w:szCs w:val="20"/>
          <w:color w:val="auto"/>
        </w:rPr>
      </w:pPr>
      <w:r>
        <w:rPr>
          <w:rFonts w:ascii="Arial" w:cs="Arial" w:eastAsia="Arial" w:hAnsi="Arial"/>
          <w:sz w:val="21"/>
          <w:szCs w:val="21"/>
          <w:color w:val="auto"/>
        </w:rPr>
        <w:t>(vi)Once all amounts have been distributed pursuant to Section 5.1(a) above on any Distribution Date, then if on such Distribution Date on which there is an unpaid balance on any Member Loan made by a Member in accordance with Section 3.4, any remaining Available Cash Flow shall be repaid to the Members participating in such Member Loan on such Distribution Date in an amount not to exceed the outstanding balance of such Member Loan.</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21"/>
          <w:szCs w:val="21"/>
          <w:u w:val="single" w:color="auto"/>
          <w:color w:val="auto"/>
        </w:rPr>
        <w:t>Limitation</w:t>
      </w:r>
      <w:r>
        <w:rPr>
          <w:rFonts w:ascii="Arial" w:cs="Arial" w:eastAsia="Arial" w:hAnsi="Arial"/>
          <w:sz w:val="21"/>
          <w:szCs w:val="21"/>
          <w:color w:val="auto"/>
        </w:rPr>
        <w: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distributions described in this Article V shall be made only from Available Cash Flow and only to the extent that there shall be sufficient Available Cash Flow to enable the Manager to make payments in accordance with the terms hereof. Notwithstanding any provision to the contrary contained in this Agreement, the Company shall not make a distribution to a Member on account of its Membership Interest if such distribution (including a return of Capital Contributions) would violate the Act or any other applicable Law.</w:t>
      </w:r>
    </w:p>
    <w:p>
      <w:pPr>
        <w:spacing w:after="0" w:line="1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Withholding</w:t>
      </w:r>
      <w:r>
        <w:rPr>
          <w:rFonts w:ascii="Arial" w:cs="Arial" w:eastAsia="Arial" w:hAnsi="Arial"/>
          <w:sz w:val="19"/>
          <w:szCs w:val="19"/>
          <w:color w:val="auto"/>
        </w:rPr>
        <w:t>.</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Notwithstanding any other provision of this Agreement, the Company shall comply with any withholding requirements under any Law and shall remit amounts withheld to, and file required forms with, applicable taxing authorities. To the extent that the Company is required to withhold and pay over any amounts to any taxing authority with respect to distributions or allocations to any Member, the amount withheld shall be treated as a distribution of cash to such Member in the amount of such withholding. The Company shall notify the Member and permit the Member, if permitted by applicable Law, to contest the applicability of the underlying Tax prior to making such withholding, provided that the Company shall not incur any interest, penalties or additions to tax (unless the contesting Member shall have agreed to indemnify and hold harmless the Company for any such additional liabilities). If an amount required to be withheld was not withheld from an actual distribution, the Company may reduce subsequent distributions by the amount of such required withholding and any penalties or interest thereon. Each Member agrees to furnish to the Company such forms or other documentation as is reasonably necessary to assist the Company in determining the extent of, and in fulfilling, its withholding obligations.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Manager</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312" w:lineRule="auto"/>
        <w:rPr>
          <w:sz w:val="20"/>
          <w:szCs w:val="20"/>
          <w:color w:val="auto"/>
        </w:rPr>
      </w:pPr>
      <w:r>
        <w:rPr>
          <w:rFonts w:ascii="Arial" w:cs="Arial" w:eastAsia="Arial" w:hAnsi="Arial"/>
          <w:sz w:val="19"/>
          <w:szCs w:val="19"/>
          <w:color w:val="auto"/>
        </w:rPr>
        <w:t>(i)The Initial Class A Member is hereby appointed by the Members as the initial Manager of the Company. Except as provided in Section 6.2 or as otherwise expressly provided in this Agreement, the Manager shall conduct, direct and exercise control over all activities of the Company, and shall have full power and authority on behalf of the Company to manage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293" w:name="page294"/>
    <w:bookmarkEnd w:id="293"/>
    <w:p>
      <w:pPr>
        <w:jc w:val="both"/>
        <w:spacing w:after="0" w:line="287" w:lineRule="auto"/>
        <w:rPr>
          <w:sz w:val="20"/>
          <w:szCs w:val="20"/>
          <w:color w:val="auto"/>
        </w:rPr>
      </w:pPr>
      <w:r>
        <w:rPr>
          <w:rFonts w:ascii="Arial" w:cs="Arial" w:eastAsia="Arial" w:hAnsi="Arial"/>
          <w:sz w:val="19"/>
          <w:szCs w:val="19"/>
          <w:color w:val="auto"/>
        </w:rPr>
        <w:t>administer the business and affairs of the Company and to do or cause to be done any and all acts reasonably considered by the Manager to be necessary or appropriate to conduct the business of the Company (including, without limitation, taking all necessary actions to cause the Company to cause the Pinnacle Project Company (and any other subsidiary of the Company) to distribute any Available Cash Flow in a timely manner and to perform its obligations and enforce its rights under the Repowering Project Documents to which it is a party and to otherwise carry out its purposes) without the need for approval by or any other consent from any Member, including the authority to bind the Company in making contracts and incurring obligations in the Company’s name in the course of the Company’s business. The Manager may delegate its management duties and obligations to third parties, including the Master Services Provider, or Officers but such delegation shall not relieve the Manager of its primary obligation with respect to such duties and obligations. Except to the extent that a Member is also the Manager or authority is delegated from the Manager, no Member shall have any authority to bind the Company. Without limiting the generality of the foregoing, the Manager shall (provided that, in each case as it relates to the Pinnacle Project Company or any other subsidiary of the Company, only to the extent that the Company has (directly or indirectly) the authority to control the management of the Pinnacle Project Company or other subsidiary of the Company):</w:t>
      </w:r>
    </w:p>
    <w:p>
      <w:pPr>
        <w:spacing w:after="0" w:line="200" w:lineRule="exact"/>
        <w:rPr>
          <w:sz w:val="20"/>
          <w:szCs w:val="20"/>
          <w:color w:val="auto"/>
        </w:rPr>
      </w:pPr>
    </w:p>
    <w:p>
      <w:pPr>
        <w:spacing w:after="0" w:line="215" w:lineRule="exact"/>
        <w:rPr>
          <w:sz w:val="20"/>
          <w:szCs w:val="20"/>
          <w:color w:val="auto"/>
        </w:rPr>
      </w:pPr>
    </w:p>
    <w:p>
      <w:pPr>
        <w:jc w:val="both"/>
        <w:ind w:firstLine="1952"/>
        <w:spacing w:after="0" w:line="271" w:lineRule="auto"/>
        <w:tabs>
          <w:tab w:leader="none" w:pos="2587" w:val="left"/>
        </w:tabs>
        <w:numPr>
          <w:ilvl w:val="0"/>
          <w:numId w:val="307"/>
        </w:numPr>
        <w:rPr>
          <w:rFonts w:ascii="Arial" w:cs="Arial" w:eastAsia="Arial" w:hAnsi="Arial"/>
          <w:sz w:val="21"/>
          <w:szCs w:val="21"/>
          <w:color w:val="auto"/>
        </w:rPr>
      </w:pPr>
      <w:r>
        <w:rPr>
          <w:rFonts w:ascii="Arial" w:cs="Arial" w:eastAsia="Arial" w:hAnsi="Arial"/>
          <w:sz w:val="21"/>
          <w:szCs w:val="21"/>
          <w:color w:val="auto"/>
        </w:rPr>
        <w:t>in accordance with Article VIII hereof, keep and maintain books of account that are true and correct in all material respects and prepare and timely file all necessary tax returns and make all necessary or desirable tax elections for the Company and the Pinnacle Project Company and any other subsidiary of the Company;</w:t>
      </w:r>
    </w:p>
    <w:p>
      <w:pPr>
        <w:spacing w:after="0" w:line="167" w:lineRule="exact"/>
        <w:rPr>
          <w:rFonts w:ascii="Arial" w:cs="Arial" w:eastAsia="Arial" w:hAnsi="Arial"/>
          <w:sz w:val="21"/>
          <w:szCs w:val="21"/>
          <w:color w:val="auto"/>
        </w:rPr>
      </w:pPr>
    </w:p>
    <w:p>
      <w:pPr>
        <w:jc w:val="both"/>
        <w:ind w:firstLine="1952"/>
        <w:spacing w:after="0" w:line="312" w:lineRule="auto"/>
        <w:tabs>
          <w:tab w:leader="none" w:pos="2587" w:val="left"/>
        </w:tabs>
        <w:numPr>
          <w:ilvl w:val="0"/>
          <w:numId w:val="307"/>
        </w:numPr>
        <w:rPr>
          <w:rFonts w:ascii="Arial" w:cs="Arial" w:eastAsia="Arial" w:hAnsi="Arial"/>
          <w:sz w:val="19"/>
          <w:szCs w:val="19"/>
          <w:color w:val="auto"/>
        </w:rPr>
      </w:pPr>
      <w:r>
        <w:rPr>
          <w:rFonts w:ascii="Arial" w:cs="Arial" w:eastAsia="Arial" w:hAnsi="Arial"/>
          <w:sz w:val="19"/>
          <w:szCs w:val="19"/>
          <w:color w:val="auto"/>
        </w:rPr>
        <w:t>prepare and submit all filings of any nature that are required to be made by the Company and the Pinnacle Project Company and other subsidiary of the Company under any laws, regulations, ordinances or otherwise applicable to the Company, the Pinnacle Project Company and/or other subsidiary of the Company, or the Pinnacle Project;</w:t>
      </w:r>
    </w:p>
    <w:p>
      <w:pPr>
        <w:spacing w:after="0" w:line="133" w:lineRule="exact"/>
        <w:rPr>
          <w:rFonts w:ascii="Arial" w:cs="Arial" w:eastAsia="Arial" w:hAnsi="Arial"/>
          <w:sz w:val="19"/>
          <w:szCs w:val="19"/>
          <w:color w:val="auto"/>
        </w:rPr>
      </w:pPr>
    </w:p>
    <w:p>
      <w:pPr>
        <w:ind w:firstLine="1952"/>
        <w:spacing w:after="0" w:line="263" w:lineRule="auto"/>
        <w:tabs>
          <w:tab w:leader="none" w:pos="2587" w:val="left"/>
        </w:tabs>
        <w:numPr>
          <w:ilvl w:val="0"/>
          <w:numId w:val="307"/>
        </w:numPr>
        <w:rPr>
          <w:rFonts w:ascii="Arial" w:cs="Arial" w:eastAsia="Arial" w:hAnsi="Arial"/>
          <w:sz w:val="22"/>
          <w:szCs w:val="22"/>
          <w:color w:val="auto"/>
        </w:rPr>
      </w:pPr>
      <w:r>
        <w:rPr>
          <w:rFonts w:ascii="Arial" w:cs="Arial" w:eastAsia="Arial" w:hAnsi="Arial"/>
          <w:sz w:val="22"/>
          <w:szCs w:val="22"/>
          <w:color w:val="auto"/>
        </w:rPr>
        <w:t>procure and maintain all Licenses and Permits (if any) required for the Company and the Pinnacle Project Company and any other subsidiary of the Company;</w:t>
      </w:r>
    </w:p>
    <w:p>
      <w:pPr>
        <w:spacing w:after="0" w:line="174" w:lineRule="exact"/>
        <w:rPr>
          <w:rFonts w:ascii="Arial" w:cs="Arial" w:eastAsia="Arial" w:hAnsi="Arial"/>
          <w:sz w:val="22"/>
          <w:szCs w:val="22"/>
          <w:color w:val="auto"/>
        </w:rPr>
      </w:pPr>
    </w:p>
    <w:p>
      <w:pPr>
        <w:ind w:firstLine="1952"/>
        <w:spacing w:after="0" w:line="263" w:lineRule="auto"/>
        <w:tabs>
          <w:tab w:leader="none" w:pos="2587" w:val="left"/>
        </w:tabs>
        <w:numPr>
          <w:ilvl w:val="0"/>
          <w:numId w:val="307"/>
        </w:numPr>
        <w:rPr>
          <w:rFonts w:ascii="Arial" w:cs="Arial" w:eastAsia="Arial" w:hAnsi="Arial"/>
          <w:sz w:val="22"/>
          <w:szCs w:val="22"/>
          <w:color w:val="auto"/>
        </w:rPr>
      </w:pPr>
      <w:r>
        <w:rPr>
          <w:rFonts w:ascii="Arial" w:cs="Arial" w:eastAsia="Arial" w:hAnsi="Arial"/>
          <w:sz w:val="22"/>
          <w:szCs w:val="22"/>
          <w:color w:val="auto"/>
        </w:rPr>
        <w:t>comply with the terms and conditions of this Agreement, the Transaction Documents, the Licenses and Permits and applicable Law;</w:t>
      </w:r>
    </w:p>
    <w:p>
      <w:pPr>
        <w:spacing w:after="0" w:line="174" w:lineRule="exact"/>
        <w:rPr>
          <w:rFonts w:ascii="Arial" w:cs="Arial" w:eastAsia="Arial" w:hAnsi="Arial"/>
          <w:sz w:val="22"/>
          <w:szCs w:val="22"/>
          <w:color w:val="auto"/>
        </w:rPr>
      </w:pPr>
    </w:p>
    <w:p>
      <w:pPr>
        <w:ind w:right="20" w:firstLine="1952"/>
        <w:spacing w:after="0" w:line="263" w:lineRule="auto"/>
        <w:tabs>
          <w:tab w:leader="none" w:pos="2587" w:val="left"/>
        </w:tabs>
        <w:numPr>
          <w:ilvl w:val="0"/>
          <w:numId w:val="307"/>
        </w:numPr>
        <w:rPr>
          <w:rFonts w:ascii="Arial" w:cs="Arial" w:eastAsia="Arial" w:hAnsi="Arial"/>
          <w:sz w:val="22"/>
          <w:szCs w:val="22"/>
          <w:color w:val="auto"/>
        </w:rPr>
      </w:pPr>
      <w:r>
        <w:rPr>
          <w:rFonts w:ascii="Arial" w:cs="Arial" w:eastAsia="Arial" w:hAnsi="Arial"/>
          <w:sz w:val="22"/>
          <w:szCs w:val="22"/>
          <w:color w:val="auto"/>
        </w:rPr>
        <w:t>procure and maintain, or cause to be procured and maintained, all insurance required to be maintained pursuant to the Repowering Project Documents and Repowering Financing Documents;</w:t>
      </w:r>
    </w:p>
    <w:p>
      <w:pPr>
        <w:spacing w:after="0" w:line="174" w:lineRule="exact"/>
        <w:rPr>
          <w:rFonts w:ascii="Arial" w:cs="Arial" w:eastAsia="Arial" w:hAnsi="Arial"/>
          <w:sz w:val="22"/>
          <w:szCs w:val="22"/>
          <w:color w:val="auto"/>
        </w:rPr>
      </w:pPr>
    </w:p>
    <w:p>
      <w:pPr>
        <w:jc w:val="both"/>
        <w:ind w:firstLine="1952"/>
        <w:spacing w:after="0" w:line="263" w:lineRule="auto"/>
        <w:tabs>
          <w:tab w:leader="none" w:pos="2587" w:val="left"/>
        </w:tabs>
        <w:numPr>
          <w:ilvl w:val="0"/>
          <w:numId w:val="307"/>
        </w:numPr>
        <w:rPr>
          <w:rFonts w:ascii="Arial" w:cs="Arial" w:eastAsia="Arial" w:hAnsi="Arial"/>
          <w:sz w:val="21"/>
          <w:szCs w:val="21"/>
          <w:color w:val="auto"/>
        </w:rPr>
      </w:pPr>
      <w:r>
        <w:rPr>
          <w:rFonts w:ascii="Arial" w:cs="Arial" w:eastAsia="Arial" w:hAnsi="Arial"/>
          <w:sz w:val="21"/>
          <w:szCs w:val="21"/>
          <w:color w:val="auto"/>
        </w:rPr>
        <w:t>enforce the Company’s and the Pinnacle Project Company’s and any other subsidiary of the Company’s, and any counterparty’s, compliance with the terms and conditions of all Contracts under which the Company or the Pinnacle Project Company or other subsidiary of the Company has any obligations or rights, including this Agreement, the Repowering Financing Documents, the Repowering Project Documents and ensure compliance with applicable Laws, including Environmental Laws, Anti-Corruption Laws and Laws relating to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294" w:name="page295"/>
    <w:bookmarkEnd w:id="294"/>
    <w:p>
      <w:pPr>
        <w:jc w:val="both"/>
        <w:ind w:firstLine="1952"/>
        <w:spacing w:after="0" w:line="253" w:lineRule="auto"/>
        <w:tabs>
          <w:tab w:leader="none" w:pos="2587" w:val="left"/>
        </w:tabs>
        <w:numPr>
          <w:ilvl w:val="0"/>
          <w:numId w:val="308"/>
        </w:numPr>
        <w:rPr>
          <w:rFonts w:ascii="Arial" w:cs="Arial" w:eastAsia="Arial" w:hAnsi="Arial"/>
          <w:sz w:val="22"/>
          <w:szCs w:val="22"/>
          <w:color w:val="auto"/>
        </w:rPr>
      </w:pPr>
      <w:r>
        <w:rPr>
          <w:rFonts w:ascii="Arial" w:cs="Arial" w:eastAsia="Arial" w:hAnsi="Arial"/>
          <w:sz w:val="22"/>
          <w:szCs w:val="22"/>
          <w:color w:val="auto"/>
        </w:rPr>
        <w:t>take any required actions to cause the Company and the Pinnacle Project Company and any other direct or indirect subsidiaries of the Company to distribute upstream to their respective members all Available Cash Flow as promptly as possible;</w:t>
      </w:r>
    </w:p>
    <w:p>
      <w:pPr>
        <w:spacing w:after="0" w:line="185" w:lineRule="exact"/>
        <w:rPr>
          <w:rFonts w:ascii="Arial" w:cs="Arial" w:eastAsia="Arial" w:hAnsi="Arial"/>
          <w:sz w:val="22"/>
          <w:szCs w:val="22"/>
          <w:color w:val="auto"/>
        </w:rPr>
      </w:pPr>
    </w:p>
    <w:p>
      <w:pPr>
        <w:jc w:val="both"/>
        <w:ind w:firstLine="1952"/>
        <w:spacing w:after="0" w:line="248" w:lineRule="auto"/>
        <w:tabs>
          <w:tab w:leader="none" w:pos="2587" w:val="left"/>
        </w:tabs>
        <w:numPr>
          <w:ilvl w:val="0"/>
          <w:numId w:val="308"/>
        </w:numPr>
        <w:rPr>
          <w:rFonts w:ascii="Arial" w:cs="Arial" w:eastAsia="Arial" w:hAnsi="Arial"/>
          <w:sz w:val="22"/>
          <w:szCs w:val="22"/>
          <w:color w:val="auto"/>
        </w:rPr>
      </w:pPr>
      <w:r>
        <w:rPr>
          <w:rFonts w:ascii="Arial" w:cs="Arial" w:eastAsia="Arial" w:hAnsi="Arial"/>
          <w:sz w:val="22"/>
          <w:szCs w:val="22"/>
          <w:color w:val="auto"/>
        </w:rPr>
        <w:t>manage the Company’s and the Pinnacle Project Company’s and any other subsidiary of the Company’s cash according to investment guidelines set forth in Section 8.5 and make distributions out of available cash as provided under the relevant provisions of this Agreement, the Pinnacle Project Company’s (or other subsidiary’s, as applicable) organizational documents, including the prompt distribution of cash from the Pinnacle Project Company (and any other subsidiary of the Company) to the Company;</w:t>
      </w:r>
    </w:p>
    <w:p>
      <w:pPr>
        <w:spacing w:after="0" w:line="191" w:lineRule="exact"/>
        <w:rPr>
          <w:rFonts w:ascii="Arial" w:cs="Arial" w:eastAsia="Arial" w:hAnsi="Arial"/>
          <w:sz w:val="22"/>
          <w:szCs w:val="22"/>
          <w:color w:val="auto"/>
        </w:rPr>
      </w:pPr>
    </w:p>
    <w:p>
      <w:pPr>
        <w:ind w:left="2600" w:hanging="648"/>
        <w:spacing w:after="0"/>
        <w:tabs>
          <w:tab w:leader="none" w:pos="260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prepare and deliver all of the reports and other information set forth in Section 8.4; and</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create and maintain the Register, including to reflect any Encumbrance on or Transfer of</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Membership Interests.</w:t>
      </w:r>
    </w:p>
    <w:p>
      <w:pPr>
        <w:spacing w:after="0" w:line="202" w:lineRule="exact"/>
        <w:rPr>
          <w:sz w:val="20"/>
          <w:szCs w:val="20"/>
          <w:color w:val="auto"/>
        </w:rPr>
      </w:pPr>
    </w:p>
    <w:p>
      <w:pPr>
        <w:jc w:val="both"/>
        <w:ind w:firstLine="384"/>
        <w:spacing w:after="0" w:line="248" w:lineRule="auto"/>
        <w:rPr>
          <w:sz w:val="20"/>
          <w:szCs w:val="20"/>
          <w:color w:val="auto"/>
        </w:rPr>
      </w:pPr>
      <w:r>
        <w:rPr>
          <w:rFonts w:ascii="Arial" w:cs="Arial" w:eastAsia="Arial" w:hAnsi="Arial"/>
          <w:sz w:val="22"/>
          <w:szCs w:val="22"/>
          <w:color w:val="auto"/>
        </w:rPr>
        <w:t>(ii)In addition to the actions required pursuant to Section 6.1(a), and in no event in limitation thereof, the Manager shall provide the following services to the Company and the Pinnacle Project Company or all other subsidiaries of the Company, as applicable (provided that, in each case as it relates to either Pinnacle Project Company or other subsidiary, only to the extent that the Company has (directly or indirectly) the authority to control the management of the Pinnacle Project Company or other subsidiary):</w:t>
      </w:r>
    </w:p>
    <w:p>
      <w:pPr>
        <w:spacing w:after="0" w:line="192" w:lineRule="exact"/>
        <w:rPr>
          <w:sz w:val="20"/>
          <w:szCs w:val="20"/>
          <w:color w:val="auto"/>
        </w:rPr>
      </w:pPr>
    </w:p>
    <w:p>
      <w:pPr>
        <w:jc w:val="both"/>
        <w:ind w:firstLine="1952"/>
        <w:spacing w:after="0" w:line="271" w:lineRule="auto"/>
        <w:tabs>
          <w:tab w:leader="none" w:pos="2587" w:val="left"/>
        </w:tabs>
        <w:numPr>
          <w:ilvl w:val="0"/>
          <w:numId w:val="309"/>
        </w:numPr>
        <w:rPr>
          <w:rFonts w:ascii="Arial" w:cs="Arial" w:eastAsia="Arial" w:hAnsi="Arial"/>
          <w:sz w:val="21"/>
          <w:szCs w:val="21"/>
          <w:color w:val="auto"/>
        </w:rPr>
      </w:pPr>
      <w:r>
        <w:rPr>
          <w:rFonts w:ascii="Arial" w:cs="Arial" w:eastAsia="Arial" w:hAnsi="Arial"/>
          <w:sz w:val="21"/>
          <w:szCs w:val="21"/>
          <w:u w:val="single" w:color="auto"/>
          <w:color w:val="auto"/>
        </w:rPr>
        <w:t>Accounting Services</w:t>
      </w:r>
      <w:r>
        <w:rPr>
          <w:rFonts w:ascii="Arial" w:cs="Arial" w:eastAsia="Arial" w:hAnsi="Arial"/>
          <w:sz w:val="21"/>
          <w:szCs w:val="21"/>
          <w:color w:val="auto"/>
        </w:rPr>
        <w:t>. The Manager shall and/or shall cause the Master Services Provider to provide accounting and administrative support for all operations, including the following accounting services, to the Company and the Pinnacle Project Company and to any other subsidiaries of the Company, as applicable:</w:t>
      </w:r>
    </w:p>
    <w:p>
      <w:pPr>
        <w:spacing w:after="0" w:line="167" w:lineRule="exact"/>
        <w:rPr>
          <w:sz w:val="20"/>
          <w:szCs w:val="20"/>
          <w:color w:val="auto"/>
        </w:rPr>
      </w:pPr>
    </w:p>
    <w:p>
      <w:pPr>
        <w:jc w:val="both"/>
        <w:ind w:left="1300" w:firstLine="1092"/>
        <w:spacing w:after="0" w:line="312" w:lineRule="auto"/>
        <w:rPr>
          <w:sz w:val="20"/>
          <w:szCs w:val="20"/>
          <w:color w:val="auto"/>
        </w:rPr>
      </w:pPr>
      <w:r>
        <w:rPr>
          <w:rFonts w:ascii="Arial" w:cs="Arial" w:eastAsia="Arial" w:hAnsi="Arial"/>
          <w:sz w:val="19"/>
          <w:szCs w:val="19"/>
          <w:color w:val="auto"/>
        </w:rPr>
        <w:t>(i)preparation, filing, storage and dissemination of all necessary documentation of each such Person’s actions and transactions as required by law, by the applicable Transaction Documents (including all reporting required thereunder) and of all documentation reasonably deemed necessary or appropriate by the Manager;</w:t>
      </w:r>
    </w:p>
    <w:p>
      <w:pPr>
        <w:spacing w:after="0" w:line="25" w:lineRule="exact"/>
        <w:rPr>
          <w:sz w:val="20"/>
          <w:szCs w:val="20"/>
          <w:color w:val="auto"/>
        </w:rPr>
      </w:pPr>
    </w:p>
    <w:p>
      <w:pPr>
        <w:jc w:val="both"/>
        <w:ind w:left="1300" w:firstLine="1032"/>
        <w:spacing w:after="0" w:line="341" w:lineRule="auto"/>
        <w:rPr>
          <w:sz w:val="20"/>
          <w:szCs w:val="20"/>
          <w:color w:val="auto"/>
        </w:rPr>
      </w:pPr>
      <w:r>
        <w:rPr>
          <w:rFonts w:ascii="Arial" w:cs="Arial" w:eastAsia="Arial" w:hAnsi="Arial"/>
          <w:sz w:val="19"/>
          <w:szCs w:val="19"/>
          <w:color w:val="auto"/>
        </w:rPr>
        <w:t>(ii)maintenance of accounting and tax records of each such Person’s transactions in accordance with the accounting standards set forth in the applicable Transaction Documents and this Agreement;</w:t>
      </w:r>
    </w:p>
    <w:p>
      <w:pPr>
        <w:jc w:val="both"/>
        <w:ind w:left="1300" w:firstLine="972"/>
        <w:spacing w:after="0" w:line="248" w:lineRule="auto"/>
        <w:rPr>
          <w:sz w:val="20"/>
          <w:szCs w:val="20"/>
          <w:color w:val="auto"/>
        </w:rPr>
      </w:pPr>
      <w:r>
        <w:rPr>
          <w:rFonts w:ascii="Arial" w:cs="Arial" w:eastAsia="Arial" w:hAnsi="Arial"/>
          <w:sz w:val="22"/>
          <w:szCs w:val="22"/>
          <w:color w:val="auto"/>
        </w:rPr>
        <w:t>(iii)facilitation of payment by the Company and the Pinnacle Project Company and any other subsidiary of the Company of all reasonable expenses of the Company, the Pinnacle Project Company or such other subsidiary, as applicable, in accordance with the applicable Transaction Documents and this Agreement, as reflected in the annual budget for the Company and the Pinnacle Project Company (or such other subsidiary), or reasonably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295" w:name="page296"/>
    <w:bookmarkEnd w:id="295"/>
    <w:p>
      <w:pPr>
        <w:spacing w:after="0" w:line="96" w:lineRule="exact"/>
        <w:rPr>
          <w:sz w:val="20"/>
          <w:szCs w:val="20"/>
          <w:color w:val="auto"/>
        </w:rPr>
      </w:pPr>
    </w:p>
    <w:p>
      <w:pPr>
        <w:jc w:val="both"/>
        <w:ind w:left="1080" w:firstLine="984"/>
        <w:spacing w:after="0" w:line="287" w:lineRule="auto"/>
        <w:rPr>
          <w:sz w:val="20"/>
          <w:szCs w:val="20"/>
          <w:color w:val="auto"/>
        </w:rPr>
      </w:pPr>
      <w:r>
        <w:rPr>
          <w:rFonts w:ascii="Arial" w:cs="Arial" w:eastAsia="Arial" w:hAnsi="Arial"/>
          <w:sz w:val="21"/>
          <w:szCs w:val="21"/>
          <w:color w:val="auto"/>
        </w:rPr>
        <w:t>(iv)preparation and distribution of all applicable financial reports, financial models and accompanying certificates in accordance with the applicable Transaction Documents and this Agreement;</w:t>
      </w:r>
    </w:p>
    <w:p>
      <w:pPr>
        <w:spacing w:after="0" w:line="43" w:lineRule="exact"/>
        <w:rPr>
          <w:sz w:val="20"/>
          <w:szCs w:val="20"/>
          <w:color w:val="auto"/>
        </w:rPr>
      </w:pPr>
    </w:p>
    <w:p>
      <w:pPr>
        <w:jc w:val="both"/>
        <w:ind w:left="1080" w:firstLine="1044"/>
        <w:spacing w:after="0" w:line="263" w:lineRule="auto"/>
        <w:rPr>
          <w:sz w:val="20"/>
          <w:szCs w:val="20"/>
          <w:color w:val="auto"/>
        </w:rPr>
      </w:pPr>
      <w:r>
        <w:rPr>
          <w:rFonts w:ascii="Arial" w:cs="Arial" w:eastAsia="Arial" w:hAnsi="Arial"/>
          <w:sz w:val="22"/>
          <w:szCs w:val="22"/>
          <w:color w:val="auto"/>
        </w:rPr>
        <w:t>(v)preparation and distribution of an annual budget for the Pinnacle Project Company and as may be required by the Transaction Documents and this Agreement (including Section 6.7 hereof);</w:t>
      </w:r>
    </w:p>
    <w:p>
      <w:pPr>
        <w:spacing w:after="0" w:line="67" w:lineRule="exact"/>
        <w:rPr>
          <w:sz w:val="20"/>
          <w:szCs w:val="20"/>
          <w:color w:val="auto"/>
        </w:rPr>
      </w:pPr>
    </w:p>
    <w:p>
      <w:pPr>
        <w:jc w:val="both"/>
        <w:ind w:left="1080" w:firstLine="984"/>
        <w:spacing w:after="0" w:line="263" w:lineRule="auto"/>
        <w:rPr>
          <w:sz w:val="20"/>
          <w:szCs w:val="20"/>
          <w:color w:val="auto"/>
        </w:rPr>
      </w:pPr>
      <w:r>
        <w:rPr>
          <w:rFonts w:ascii="Arial" w:cs="Arial" w:eastAsia="Arial" w:hAnsi="Arial"/>
          <w:sz w:val="22"/>
          <w:szCs w:val="22"/>
          <w:color w:val="auto"/>
        </w:rPr>
        <w:t>(vi)negotiation and administration of an engagement letter with the Certified Public Accountant for annual audit (if required) and tax return review services; and</w:t>
      </w:r>
    </w:p>
    <w:p>
      <w:pPr>
        <w:spacing w:after="0" w:line="67" w:lineRule="exact"/>
        <w:rPr>
          <w:sz w:val="20"/>
          <w:szCs w:val="20"/>
          <w:color w:val="auto"/>
        </w:rPr>
      </w:pPr>
    </w:p>
    <w:p>
      <w:pPr>
        <w:jc w:val="both"/>
        <w:ind w:left="1080" w:firstLine="924"/>
        <w:spacing w:after="0" w:line="253" w:lineRule="auto"/>
        <w:rPr>
          <w:sz w:val="20"/>
          <w:szCs w:val="20"/>
          <w:color w:val="auto"/>
        </w:rPr>
      </w:pPr>
      <w:r>
        <w:rPr>
          <w:rFonts w:ascii="Arial" w:cs="Arial" w:eastAsia="Arial" w:hAnsi="Arial"/>
          <w:sz w:val="22"/>
          <w:szCs w:val="22"/>
          <w:color w:val="auto"/>
        </w:rPr>
        <w:t>(vii)preparation, facilitation and / or distribution of all other reports, certificates, or transactional information or analysis as reasonably required by the Pinnacle Project Company or any other subsidiary of the Company.</w:t>
      </w:r>
    </w:p>
    <w:p>
      <w:pPr>
        <w:spacing w:after="0" w:line="77" w:lineRule="exact"/>
        <w:rPr>
          <w:sz w:val="20"/>
          <w:szCs w:val="20"/>
          <w:color w:val="auto"/>
        </w:rPr>
      </w:pPr>
    </w:p>
    <w:p>
      <w:pPr>
        <w:jc w:val="both"/>
        <w:ind w:left="-220" w:firstLine="1952"/>
        <w:spacing w:after="0" w:line="261" w:lineRule="auto"/>
        <w:tabs>
          <w:tab w:leader="none" w:pos="2367" w:val="left"/>
        </w:tabs>
        <w:numPr>
          <w:ilvl w:val="0"/>
          <w:numId w:val="310"/>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Subject to Article VIII and other more specific provisions of this Agreement and the related provisions contained in the Tax Equity Documents, the Manager shall provide, or cause to be provided, the following tax services to the Company and the Pinnacle Project Company and to any other subsidiaries of the Company in accordance with its obligations required by the Tax Equity Documents, as applicable (provided that, in each case as it relates to the Pinnacle Project Company or such other subsidiary, only to the extent that the Company has (directly or indirectly) the authority to control the management of the Pinnacle Project Company or other subsidiary):</w:t>
      </w:r>
    </w:p>
    <w:p>
      <w:pPr>
        <w:spacing w:after="0" w:line="179" w:lineRule="exact"/>
        <w:rPr>
          <w:sz w:val="20"/>
          <w:szCs w:val="20"/>
          <w:color w:val="auto"/>
        </w:rPr>
      </w:pPr>
    </w:p>
    <w:p>
      <w:pPr>
        <w:jc w:val="both"/>
        <w:ind w:left="1080" w:firstLine="1092"/>
        <w:spacing w:after="0" w:line="250" w:lineRule="auto"/>
        <w:rPr>
          <w:sz w:val="20"/>
          <w:szCs w:val="20"/>
          <w:color w:val="auto"/>
        </w:rPr>
      </w:pPr>
      <w:r>
        <w:rPr>
          <w:rFonts w:ascii="Arial" w:cs="Arial" w:eastAsia="Arial" w:hAnsi="Arial"/>
          <w:sz w:val="22"/>
          <w:szCs w:val="22"/>
          <w:color w:val="auto"/>
        </w:rPr>
        <w:t>(i)preparation and timely filing of all applicable federal, state, local and / or other Tax returns, including income, franchise, excise, gross receipts, sales and use tax returns and / or reports in accordance with the terms and conditions of the Transaction Documents and this Agreement, including the performance or coordination of any tax law research to support such filing;</w:t>
      </w:r>
    </w:p>
    <w:p>
      <w:pPr>
        <w:spacing w:after="0" w:line="80" w:lineRule="exact"/>
        <w:rPr>
          <w:sz w:val="20"/>
          <w:szCs w:val="20"/>
          <w:color w:val="auto"/>
        </w:rPr>
      </w:pPr>
    </w:p>
    <w:p>
      <w:pPr>
        <w:jc w:val="both"/>
        <w:ind w:left="1080" w:firstLine="1032"/>
        <w:spacing w:after="0" w:line="312" w:lineRule="auto"/>
        <w:rPr>
          <w:sz w:val="20"/>
          <w:szCs w:val="20"/>
          <w:color w:val="auto"/>
        </w:rPr>
      </w:pPr>
      <w:r>
        <w:rPr>
          <w:rFonts w:ascii="Arial" w:cs="Arial" w:eastAsia="Arial" w:hAnsi="Arial"/>
          <w:sz w:val="19"/>
          <w:szCs w:val="19"/>
          <w:color w:val="auto"/>
        </w:rPr>
        <w:t>(ii)administration, invoicing and coordination of property taxes including preparation of all applicable business property tax returns; the review of any property tax assessment on the Pinnacle Project; the review and timely payment of property tax bills; and administration of any property tax agreement, if applicable; and</w:t>
      </w:r>
    </w:p>
    <w:p>
      <w:pPr>
        <w:spacing w:after="0" w:line="25" w:lineRule="exact"/>
        <w:rPr>
          <w:sz w:val="20"/>
          <w:szCs w:val="20"/>
          <w:color w:val="auto"/>
        </w:rPr>
      </w:pPr>
    </w:p>
    <w:p>
      <w:pPr>
        <w:jc w:val="both"/>
        <w:ind w:left="1080" w:firstLine="972"/>
        <w:spacing w:after="0" w:line="297" w:lineRule="auto"/>
        <w:rPr>
          <w:sz w:val="20"/>
          <w:szCs w:val="20"/>
          <w:color w:val="auto"/>
        </w:rPr>
      </w:pPr>
      <w:r>
        <w:rPr>
          <w:rFonts w:ascii="Arial" w:cs="Arial" w:eastAsia="Arial" w:hAnsi="Arial"/>
          <w:sz w:val="19"/>
          <w:szCs w:val="19"/>
          <w:color w:val="auto"/>
        </w:rPr>
        <w:t>(iii)cause the Partnership Representative to represent the Company, and cause the partnership representative of the Pinnacle Project Company and each other subsidiary of the Company to represent the Pinnacle Project Company and other subsidiary, in any audit, examination, or review conducted by an appropriate taxing authority of any of the Company’s or the Pinnacle Project Company’s or other subsidiary’s federal, state, provincial, or local income, franchise, gross receipts, sales and use, or property tax filings.</w:t>
      </w:r>
    </w:p>
    <w:p>
      <w:pPr>
        <w:spacing w:after="0" w:line="39" w:lineRule="exact"/>
        <w:rPr>
          <w:sz w:val="20"/>
          <w:szCs w:val="20"/>
          <w:color w:val="auto"/>
        </w:rPr>
      </w:pPr>
    </w:p>
    <w:p>
      <w:pPr>
        <w:jc w:val="both"/>
        <w:ind w:left="-220" w:firstLine="1952"/>
        <w:spacing w:after="0" w:line="312" w:lineRule="auto"/>
        <w:tabs>
          <w:tab w:leader="none" w:pos="2367"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auto"/>
        </w:rPr>
        <w:t>Treasury Services</w:t>
      </w:r>
      <w:r>
        <w:rPr>
          <w:rFonts w:ascii="Arial" w:cs="Arial" w:eastAsia="Arial" w:hAnsi="Arial"/>
          <w:sz w:val="19"/>
          <w:szCs w:val="19"/>
          <w:color w:val="auto"/>
        </w:rPr>
        <w:t>. The Manager shall provide, or cause to be provided, the following treasury services, to the extent necessary, to the Company and the Pinnacle Project Company and to any other subsidiaries of the Company, as applicable (provided that, in each case as it relates to the Pinnacle Project Company or such other subsidiary,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20"/>
          </w:cols>
          <w:pgMar w:left="540" w:top="1440" w:right="339" w:bottom="1440" w:gutter="0" w:footer="0" w:header="0"/>
        </w:sectPr>
      </w:pPr>
    </w:p>
    <w:bookmarkStart w:id="296" w:name="page297"/>
    <w:bookmarkEnd w:id="296"/>
    <w:p>
      <w:pPr>
        <w:spacing w:after="0" w:line="263" w:lineRule="auto"/>
        <w:rPr>
          <w:sz w:val="20"/>
          <w:szCs w:val="20"/>
          <w:color w:val="auto"/>
        </w:rPr>
      </w:pPr>
      <w:r>
        <w:rPr>
          <w:rFonts w:ascii="Arial" w:cs="Arial" w:eastAsia="Arial" w:hAnsi="Arial"/>
          <w:sz w:val="22"/>
          <w:szCs w:val="22"/>
          <w:color w:val="auto"/>
        </w:rPr>
        <w:t>the extent that the Company has (directly or indirectly) the authority to control the management of the Pinnacle Project Company or other subsidiary):</w:t>
      </w:r>
    </w:p>
    <w:p>
      <w:pPr>
        <w:spacing w:after="0" w:line="175" w:lineRule="exact"/>
        <w:rPr>
          <w:sz w:val="20"/>
          <w:szCs w:val="20"/>
          <w:color w:val="auto"/>
        </w:rPr>
      </w:pPr>
    </w:p>
    <w:p>
      <w:pPr>
        <w:jc w:val="both"/>
        <w:ind w:left="1300" w:firstLine="1092"/>
        <w:spacing w:after="0" w:line="297" w:lineRule="auto"/>
        <w:rPr>
          <w:sz w:val="20"/>
          <w:szCs w:val="20"/>
          <w:color w:val="auto"/>
        </w:rPr>
      </w:pPr>
      <w:r>
        <w:rPr>
          <w:rFonts w:ascii="Arial" w:cs="Arial" w:eastAsia="Arial" w:hAnsi="Arial"/>
          <w:sz w:val="19"/>
          <w:szCs w:val="19"/>
          <w:color w:val="auto"/>
        </w:rPr>
        <w:t>(i)establishment, maintenance, and administration of one or more bank accounts in the name of the Company and the Pinnacle Project Company and any other subsidiary of the Company (with respect to the Pinnacle Project Company and other subsidiaries, if and as required) in which to deposit the Company’s or the Pinnacle Project Company’s or other subsidiary’s receipts, and from which to draw upon for the payment of all reasonable expenses of the Company or the Pinnacle Project Company or other such other subsidiary;</w:t>
      </w:r>
    </w:p>
    <w:p>
      <w:pPr>
        <w:spacing w:after="0" w:line="39" w:lineRule="exact"/>
        <w:rPr>
          <w:sz w:val="20"/>
          <w:szCs w:val="20"/>
          <w:color w:val="auto"/>
        </w:rPr>
      </w:pPr>
    </w:p>
    <w:p>
      <w:pPr>
        <w:jc w:val="both"/>
        <w:ind w:left="1300" w:firstLine="1032"/>
        <w:spacing w:after="0" w:line="250" w:lineRule="auto"/>
        <w:rPr>
          <w:sz w:val="20"/>
          <w:szCs w:val="20"/>
          <w:color w:val="auto"/>
        </w:rPr>
      </w:pPr>
      <w:r>
        <w:rPr>
          <w:rFonts w:ascii="Arial" w:cs="Arial" w:eastAsia="Arial" w:hAnsi="Arial"/>
          <w:sz w:val="22"/>
          <w:szCs w:val="22"/>
          <w:color w:val="auto"/>
        </w:rPr>
        <w:t>(ii)investment and distribution of the Company and the Pinnacle Project Company’s or any other subsidiary of the Company’s funds in association with reasonable and customary cash forecast and cash management practices and in accordance with the terms, conditions, and limitations of all applicable Transaction Documents and this Agreement;</w:t>
      </w:r>
    </w:p>
    <w:p>
      <w:pPr>
        <w:spacing w:after="0" w:line="80" w:lineRule="exact"/>
        <w:rPr>
          <w:sz w:val="20"/>
          <w:szCs w:val="20"/>
          <w:color w:val="auto"/>
        </w:rPr>
      </w:pPr>
    </w:p>
    <w:p>
      <w:pPr>
        <w:jc w:val="both"/>
        <w:ind w:left="1300" w:firstLine="972"/>
        <w:spacing w:after="0" w:line="253" w:lineRule="auto"/>
        <w:rPr>
          <w:sz w:val="20"/>
          <w:szCs w:val="20"/>
          <w:color w:val="auto"/>
        </w:rPr>
      </w:pPr>
      <w:r>
        <w:rPr>
          <w:rFonts w:ascii="Arial" w:cs="Arial" w:eastAsia="Arial" w:hAnsi="Arial"/>
          <w:sz w:val="22"/>
          <w:szCs w:val="22"/>
          <w:color w:val="auto"/>
        </w:rPr>
        <w:t>(iii)maintenance and administration of any revolving lines of credit available to the Company or the Pinnacle Project Company or of any other subsidiary of the Company subject to the terms and conditions of all applicable Transaction Documents and this Agreement;</w:t>
      </w:r>
    </w:p>
    <w:p>
      <w:pPr>
        <w:spacing w:after="0" w:line="77" w:lineRule="exact"/>
        <w:rPr>
          <w:sz w:val="20"/>
          <w:szCs w:val="20"/>
          <w:color w:val="auto"/>
        </w:rPr>
      </w:pPr>
    </w:p>
    <w:p>
      <w:pPr>
        <w:jc w:val="both"/>
        <w:ind w:left="1300" w:firstLine="984"/>
        <w:spacing w:after="0" w:line="253" w:lineRule="auto"/>
        <w:rPr>
          <w:sz w:val="20"/>
          <w:szCs w:val="20"/>
          <w:color w:val="auto"/>
        </w:rPr>
      </w:pPr>
      <w:r>
        <w:rPr>
          <w:rFonts w:ascii="Arial" w:cs="Arial" w:eastAsia="Arial" w:hAnsi="Arial"/>
          <w:sz w:val="22"/>
          <w:szCs w:val="22"/>
          <w:color w:val="auto"/>
        </w:rPr>
        <w:t>(iv)maintenance and administration of any letters of credit issued by, on behalf of, or for the benefit of the Company or the Pinnacle Project Company or any other subsidiary of the Company subject to the terms and conditions of all applicable Transaction Documents and this Agreement;</w:t>
      </w:r>
    </w:p>
    <w:p>
      <w:pPr>
        <w:spacing w:after="0" w:line="77" w:lineRule="exact"/>
        <w:rPr>
          <w:sz w:val="20"/>
          <w:szCs w:val="20"/>
          <w:color w:val="auto"/>
        </w:rPr>
      </w:pPr>
    </w:p>
    <w:p>
      <w:pPr>
        <w:jc w:val="both"/>
        <w:ind w:left="1300" w:firstLine="1044"/>
        <w:spacing w:after="0" w:line="253" w:lineRule="auto"/>
        <w:rPr>
          <w:sz w:val="20"/>
          <w:szCs w:val="20"/>
          <w:color w:val="auto"/>
        </w:rPr>
      </w:pPr>
      <w:r>
        <w:rPr>
          <w:rFonts w:ascii="Arial" w:cs="Arial" w:eastAsia="Arial" w:hAnsi="Arial"/>
          <w:sz w:val="22"/>
          <w:szCs w:val="22"/>
          <w:color w:val="auto"/>
        </w:rPr>
        <w:t>(v)maintenance by the Manager of the Company’s and the Pinnacle Project Company’s or any other subsidiary of the Company’s relationships with its banks, bondholders, rating agencies and/or other financial institutions, and their respective legal counsels; and</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(vi)periodic maintenance and analysis of the Pinnacle Project’s long- term economic projections.</w:t>
      </w:r>
    </w:p>
    <w:p>
      <w:pPr>
        <w:spacing w:after="0" w:line="123" w:lineRule="exact"/>
        <w:rPr>
          <w:sz w:val="20"/>
          <w:szCs w:val="20"/>
          <w:color w:val="auto"/>
        </w:rPr>
      </w:pPr>
    </w:p>
    <w:p>
      <w:pPr>
        <w:jc w:val="both"/>
        <w:ind w:firstLine="1952"/>
        <w:spacing w:after="0" w:line="294" w:lineRule="auto"/>
        <w:tabs>
          <w:tab w:leader="none" w:pos="2587" w:val="left"/>
        </w:tabs>
        <w:numPr>
          <w:ilvl w:val="0"/>
          <w:numId w:val="312"/>
        </w:numPr>
        <w:rPr>
          <w:rFonts w:ascii="Arial" w:cs="Arial" w:eastAsia="Arial" w:hAnsi="Arial"/>
          <w:sz w:val="19"/>
          <w:szCs w:val="19"/>
          <w:color w:val="auto"/>
        </w:rPr>
      </w:pPr>
      <w:r>
        <w:rPr>
          <w:rFonts w:ascii="Arial" w:cs="Arial" w:eastAsia="Arial" w:hAnsi="Arial"/>
          <w:sz w:val="19"/>
          <w:szCs w:val="19"/>
          <w:u w:val="single" w:color="auto"/>
          <w:color w:val="auto"/>
        </w:rPr>
        <w:t>Legal</w:t>
      </w:r>
      <w:r>
        <w:rPr>
          <w:rFonts w:ascii="Arial" w:cs="Arial" w:eastAsia="Arial" w:hAnsi="Arial"/>
          <w:sz w:val="19"/>
          <w:szCs w:val="19"/>
          <w:color w:val="auto"/>
        </w:rPr>
        <w:t>. The Manager shall coordinate legal services, in the name of and on behalf of the Company and the Pinnacle Project Company and any other subsidiary of the Company for whom the Company has (directly or indirectly) management authority, as it deems necessary to ensure the proper administration and management of the Pinnacle Project. In coordinating these legal services, the Manager will determine whether such legal services are to be performed by in-house legal staff (if at the time such legal services are performed during the term of this Agreement the Manager has in its employ any in-house legal staff), outside legal counsel, or any combination thereof.</w:t>
      </w:r>
    </w:p>
    <w:p>
      <w:pPr>
        <w:spacing w:after="0" w:line="149" w:lineRule="exact"/>
        <w:rPr>
          <w:rFonts w:ascii="Arial" w:cs="Arial" w:eastAsia="Arial" w:hAnsi="Arial"/>
          <w:sz w:val="19"/>
          <w:szCs w:val="19"/>
          <w:color w:val="auto"/>
        </w:rPr>
      </w:pPr>
    </w:p>
    <w:p>
      <w:pPr>
        <w:jc w:val="both"/>
        <w:ind w:firstLine="1952"/>
        <w:spacing w:after="0" w:line="265" w:lineRule="auto"/>
        <w:tabs>
          <w:tab w:leader="none" w:pos="2587" w:val="left"/>
        </w:tabs>
        <w:numPr>
          <w:ilvl w:val="0"/>
          <w:numId w:val="312"/>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If required under any of the Transaction Documents, the Manager shall procure insurance coverage for, and in the name of, the Company and (to the extent the Company has (directly or indirectly) management authority for the Pinnacle Project Company or other subsidiary of the Company) shall cause the Pinnacle Project Company or other subsidiary to procure, at the Company’s or the Pinnacle Project Company’s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297" w:name="page298"/>
    <w:bookmarkEnd w:id="297"/>
    <w:p>
      <w:pPr>
        <w:jc w:val="both"/>
        <w:spacing w:after="0" w:line="250" w:lineRule="auto"/>
        <w:rPr>
          <w:sz w:val="20"/>
          <w:szCs w:val="20"/>
          <w:color w:val="auto"/>
        </w:rPr>
      </w:pPr>
      <w:r>
        <w:rPr>
          <w:rFonts w:ascii="Arial" w:cs="Arial" w:eastAsia="Arial" w:hAnsi="Arial"/>
          <w:sz w:val="22"/>
          <w:szCs w:val="22"/>
          <w:color w:val="auto"/>
        </w:rPr>
        <w:t>subsidiary’s expense, as applicable, and shall enforce its rights to such insurance coverage, defense and indemnification; provided, however, that if any such insurance (after consultation with a reputable insurance broker) is not available on commercially reasonable terms only such insurance shall then be required to be carried pursuant to this Agreement as is then available on commercially reasonable terms.</w:t>
      </w:r>
    </w:p>
    <w:p>
      <w:pPr>
        <w:spacing w:after="0" w:line="188" w:lineRule="exact"/>
        <w:rPr>
          <w:sz w:val="20"/>
          <w:szCs w:val="20"/>
          <w:color w:val="auto"/>
        </w:rPr>
      </w:pPr>
    </w:p>
    <w:p>
      <w:pPr>
        <w:jc w:val="both"/>
        <w:ind w:firstLine="1952"/>
        <w:spacing w:after="0" w:line="292" w:lineRule="auto"/>
        <w:tabs>
          <w:tab w:leader="none" w:pos="2587" w:val="left"/>
        </w:tabs>
        <w:numPr>
          <w:ilvl w:val="0"/>
          <w:numId w:val="313"/>
        </w:numPr>
        <w:rPr>
          <w:rFonts w:ascii="Arial" w:cs="Arial" w:eastAsia="Arial" w:hAnsi="Arial"/>
          <w:sz w:val="19"/>
          <w:szCs w:val="19"/>
          <w:color w:val="auto"/>
        </w:rPr>
      </w:pPr>
      <w:r>
        <w:rPr>
          <w:rFonts w:ascii="Arial" w:cs="Arial" w:eastAsia="Arial" w:hAnsi="Arial"/>
          <w:sz w:val="19"/>
          <w:szCs w:val="19"/>
          <w:u w:val="single" w:color="auto"/>
          <w:color w:val="auto"/>
        </w:rPr>
        <w:t>Insurance Claims</w:t>
      </w:r>
      <w:r>
        <w:rPr>
          <w:rFonts w:ascii="Arial" w:cs="Arial" w:eastAsia="Arial" w:hAnsi="Arial"/>
          <w:sz w:val="19"/>
          <w:szCs w:val="19"/>
          <w:color w:val="auto"/>
        </w:rPr>
        <w:t>. The Manager shall adjust insurance claims of the Company and (to the extent the Company has (directly or indirectly) management authority for the Pinnacle Project Company or any other subsidiary of the Company) the Pinnacle Project Company or other subsidiary, with insurance carriers, as applicable, to ensure equitable recovery for property damage and business interruption claims. Adjustment of such a claim shall include: (A) filing proof of loss with all applicable supporting documentation, (B) site inspection, (C) negotiations with insurance carriers and (D) ensuring that insurance proceeds be deposited and distributed in accordance with the terms and conditions of this Agreement and the Transaction Documents. In the event of a liability claim, the Manager shall oversee the defense of the claim.</w:t>
      </w:r>
    </w:p>
    <w:p>
      <w:pPr>
        <w:spacing w:after="0" w:line="150" w:lineRule="exact"/>
        <w:rPr>
          <w:rFonts w:ascii="Arial" w:cs="Arial" w:eastAsia="Arial" w:hAnsi="Arial"/>
          <w:sz w:val="19"/>
          <w:szCs w:val="19"/>
          <w:color w:val="auto"/>
        </w:rPr>
      </w:pPr>
    </w:p>
    <w:p>
      <w:pPr>
        <w:jc w:val="both"/>
        <w:ind w:firstLine="1952"/>
        <w:spacing w:after="0" w:line="250" w:lineRule="auto"/>
        <w:tabs>
          <w:tab w:leader="none" w:pos="2587" w:val="left"/>
        </w:tabs>
        <w:numPr>
          <w:ilvl w:val="0"/>
          <w:numId w:val="313"/>
        </w:numPr>
        <w:rPr>
          <w:rFonts w:ascii="Arial" w:cs="Arial" w:eastAsia="Arial" w:hAnsi="Arial"/>
          <w:sz w:val="22"/>
          <w:szCs w:val="22"/>
          <w:color w:val="auto"/>
        </w:rPr>
      </w:pPr>
      <w:r>
        <w:rPr>
          <w:rFonts w:ascii="Arial" w:cs="Arial" w:eastAsia="Arial" w:hAnsi="Arial"/>
          <w:sz w:val="22"/>
          <w:szCs w:val="22"/>
          <w:u w:val="single" w:color="auto"/>
          <w:color w:val="auto"/>
        </w:rPr>
        <w:t>Indebtedness</w:t>
      </w:r>
      <w:r>
        <w:rPr>
          <w:rFonts w:ascii="Arial" w:cs="Arial" w:eastAsia="Arial" w:hAnsi="Arial"/>
          <w:sz w:val="22"/>
          <w:szCs w:val="22"/>
          <w:color w:val="auto"/>
        </w:rPr>
        <w:t>. During any such time during which the Company or (to the extent the Company has (directly or indirectly) management authority for the Pinnacle Project Company or any other subsidiary of the Company), the Pinnacle Project Company or subsidiary has Indebtedness that remains outstanding, the Manager shall cause the Company and the Pinnacle Project Company to:</w:t>
      </w:r>
    </w:p>
    <w:p>
      <w:pPr>
        <w:spacing w:after="0" w:line="188" w:lineRule="exact"/>
        <w:rPr>
          <w:sz w:val="20"/>
          <w:szCs w:val="20"/>
          <w:color w:val="auto"/>
        </w:rPr>
      </w:pPr>
    </w:p>
    <w:p>
      <w:pPr>
        <w:jc w:val="both"/>
        <w:ind w:left="1300" w:firstLine="1092"/>
        <w:spacing w:after="0" w:line="263" w:lineRule="auto"/>
        <w:rPr>
          <w:sz w:val="20"/>
          <w:szCs w:val="20"/>
          <w:color w:val="auto"/>
        </w:rPr>
      </w:pPr>
      <w:r>
        <w:rPr>
          <w:rFonts w:ascii="Arial" w:cs="Arial" w:eastAsia="Arial" w:hAnsi="Arial"/>
          <w:sz w:val="22"/>
          <w:szCs w:val="22"/>
          <w:color w:val="auto"/>
        </w:rPr>
        <w:t>(i)comply with the applicable financing documents, including, without limitation, by repaying such Indebtedness in the amounts and at the times required under such financing documents; and</w:t>
      </w:r>
    </w:p>
    <w:p>
      <w:pPr>
        <w:spacing w:after="0" w:line="67" w:lineRule="exact"/>
        <w:rPr>
          <w:sz w:val="20"/>
          <w:szCs w:val="20"/>
          <w:color w:val="auto"/>
        </w:rPr>
      </w:pPr>
    </w:p>
    <w:p>
      <w:pPr>
        <w:jc w:val="both"/>
        <w:ind w:left="1300" w:firstLine="1032"/>
        <w:spacing w:after="0" w:line="246" w:lineRule="auto"/>
        <w:rPr>
          <w:sz w:val="20"/>
          <w:szCs w:val="20"/>
          <w:color w:val="auto"/>
        </w:rPr>
      </w:pPr>
      <w:r>
        <w:rPr>
          <w:rFonts w:ascii="Arial" w:cs="Arial" w:eastAsia="Arial" w:hAnsi="Arial"/>
          <w:sz w:val="22"/>
          <w:szCs w:val="22"/>
          <w:color w:val="auto"/>
        </w:rPr>
        <w:t>(ii)as soon as practicable following the occurrence or existence of a default or an event of default under any financing documents, use cash or reserves of the Pinnacle Project Company or applicable subsidiary to effect (or make commercially reasonable efforts to effect) a cure (or request a waiver) of such a default or an event of default in accordance with the applicable financing documents. For the avoidance of doubt, any such cash used by the Company to cure (or attempt to cure or waive) such default or event of default shall be an expense of the Company and shall not be Available Cash Flow available for distribution to the Members pursuant to this Article VI.</w:t>
      </w:r>
    </w:p>
    <w:p>
      <w:pPr>
        <w:spacing w:after="0" w:line="88" w:lineRule="exact"/>
        <w:rPr>
          <w:sz w:val="20"/>
          <w:szCs w:val="20"/>
          <w:color w:val="auto"/>
        </w:rPr>
      </w:pPr>
    </w:p>
    <w:p>
      <w:pPr>
        <w:jc w:val="both"/>
        <w:ind w:firstLine="1952"/>
        <w:spacing w:after="0" w:line="259" w:lineRule="auto"/>
        <w:tabs>
          <w:tab w:leader="none" w:pos="2587" w:val="left"/>
        </w:tabs>
        <w:numPr>
          <w:ilvl w:val="0"/>
          <w:numId w:val="314"/>
        </w:numPr>
        <w:rPr>
          <w:rFonts w:ascii="Arial" w:cs="Arial" w:eastAsia="Arial" w:hAnsi="Arial"/>
          <w:sz w:val="21"/>
          <w:szCs w:val="21"/>
          <w:color w:val="auto"/>
        </w:rPr>
      </w:pPr>
      <w:r>
        <w:rPr>
          <w:rFonts w:ascii="Arial" w:cs="Arial" w:eastAsia="Arial" w:hAnsi="Arial"/>
          <w:sz w:val="21"/>
          <w:szCs w:val="21"/>
          <w:u w:val="single" w:color="auto"/>
          <w:color w:val="auto"/>
        </w:rPr>
        <w:t>Anti-Corruption Laws and Sanctions</w:t>
      </w:r>
      <w:r>
        <w:rPr>
          <w:rFonts w:ascii="Arial" w:cs="Arial" w:eastAsia="Arial" w:hAnsi="Arial"/>
          <w:sz w:val="21"/>
          <w:szCs w:val="21"/>
          <w:color w:val="auto"/>
        </w:rPr>
        <w:t>. The Manager shall cause the Company to maintain in effect and enforce policies and procedures designed to ensure compliance by the Company and the Pinnacle Project Company and all other subsidiaries of the Company, and their respective directors, officers, employees and agents, with Anti-Corruption Laws and applicable Sanctions. The Manager shall cause the Company and (to the extent the Company has (directly or indirectly) management authority for the Pinnacle Project Company or any other subsidiary of the Company) the Pinnacle Project Company and each such subsidiary, and their respective directors, officers, employees and agents, not to use any Company or Pinnacle Project Company or other subsidiary’s funds (A) in furtherance of an offer, payment, promise to pay, or authorization of the payment or giving of money, or anything else of value,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298" w:name="page299"/>
    <w:bookmarkEnd w:id="298"/>
    <w:p>
      <w:pPr>
        <w:jc w:val="both"/>
        <w:spacing w:after="0" w:line="253" w:lineRule="auto"/>
        <w:rPr>
          <w:sz w:val="20"/>
          <w:szCs w:val="20"/>
          <w:color w:val="auto"/>
        </w:rPr>
      </w:pPr>
      <w:r>
        <w:rPr>
          <w:rFonts w:ascii="Arial" w:cs="Arial" w:eastAsia="Arial" w:hAnsi="Arial"/>
          <w:sz w:val="22"/>
          <w:szCs w:val="22"/>
          <w:color w:val="auto"/>
        </w:rPr>
        <w:t>any Person in violation of any Anti-Corruption Laws, (B) for the purpose of funding, financing or facilitating any activities, business or transaction of or with any Sanctioned Person or in any Sanctioned Country or (C) in any manner that would result in the violation of any Sanctions.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avoidance of doubt, all services required to be performed by the Manager pursuant to this Section 6.1 shall be provided by the Manager at no cost or expense to the Company, except to the extent otherwise provided in this Agreement or the Approved Budget, including fees and expenses incurred pursuant to any subcontract entered into for the provision of such services in accordance with this Agreement.</w:t>
      </w:r>
    </w:p>
    <w:p>
      <w:pPr>
        <w:spacing w:after="0" w:line="14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21"/>
          <w:szCs w:val="21"/>
          <w:color w:val="auto"/>
        </w:rPr>
        <w:t>(iii)A Member shall not be deemed to be participating in the control of the business of the Company by virtue of its possessing or exercising any rights set forth in this Agreement or the Act or any other Contract relating to the Company.</w:t>
      </w:r>
    </w:p>
    <w:p>
      <w:pPr>
        <w:spacing w:after="0" w:line="15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Standard of Care; Required Consents</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53" w:lineRule="auto"/>
        <w:rPr>
          <w:sz w:val="20"/>
          <w:szCs w:val="20"/>
          <w:color w:val="auto"/>
        </w:rPr>
      </w:pPr>
      <w:r>
        <w:rPr>
          <w:rFonts w:ascii="Arial" w:cs="Arial" w:eastAsia="Arial" w:hAnsi="Arial"/>
          <w:sz w:val="22"/>
          <w:szCs w:val="22"/>
          <w:color w:val="auto"/>
        </w:rPr>
        <w:t>(i)In carrying out its duties hereunder, the Manager shall perform its duties and obligations hereunder in accordance in all material respects with the Transaction Documents, Licenses and Permits, applicable Laws, the purposes set forth in Section 2.5 and in accordance with the Good Management Standard.</w:t>
      </w:r>
    </w:p>
    <w:p>
      <w:pPr>
        <w:spacing w:after="0" w:line="185" w:lineRule="exact"/>
        <w:rPr>
          <w:sz w:val="20"/>
          <w:szCs w:val="20"/>
          <w:color w:val="auto"/>
        </w:rPr>
      </w:pPr>
    </w:p>
    <w:p>
      <w:pPr>
        <w:jc w:val="both"/>
        <w:ind w:firstLine="384"/>
        <w:spacing w:after="0" w:line="250" w:lineRule="auto"/>
        <w:rPr>
          <w:sz w:val="20"/>
          <w:szCs w:val="20"/>
          <w:color w:val="auto"/>
        </w:rPr>
      </w:pPr>
      <w:r>
        <w:rPr>
          <w:rFonts w:ascii="Arial" w:cs="Arial" w:eastAsia="Arial" w:hAnsi="Arial"/>
          <w:sz w:val="22"/>
          <w:szCs w:val="22"/>
          <w:color w:val="auto"/>
        </w:rPr>
        <w:t>(ii)Notwithstanding any other provision of this Agreement to the contrary, the Manager may not take, or cause or permit the Company or (to the extent the Company has (directly or indirectly) management authority for the Pinnacle Project Company or any other subsidiary of the Company) the Pinnacle Project Company or such subsidiary to take, any of the following actions without having first obtained the Consent of the Members:</w:t>
      </w:r>
    </w:p>
    <w:p>
      <w:pPr>
        <w:spacing w:after="0" w:line="188" w:lineRule="exact"/>
        <w:rPr>
          <w:sz w:val="20"/>
          <w:szCs w:val="20"/>
          <w:color w:val="auto"/>
        </w:rPr>
      </w:pPr>
    </w:p>
    <w:p>
      <w:pPr>
        <w:ind w:firstLine="1952"/>
        <w:spacing w:after="0" w:line="263" w:lineRule="auto"/>
        <w:tabs>
          <w:tab w:leader="none" w:pos="2587" w:val="left"/>
        </w:tabs>
        <w:numPr>
          <w:ilvl w:val="0"/>
          <w:numId w:val="315"/>
        </w:numPr>
        <w:rPr>
          <w:rFonts w:ascii="Arial" w:cs="Arial" w:eastAsia="Arial" w:hAnsi="Arial"/>
          <w:sz w:val="22"/>
          <w:szCs w:val="22"/>
          <w:color w:val="auto"/>
        </w:rPr>
      </w:pPr>
      <w:r>
        <w:rPr>
          <w:rFonts w:ascii="Arial" w:cs="Arial" w:eastAsia="Arial" w:hAnsi="Arial"/>
          <w:sz w:val="22"/>
          <w:szCs w:val="22"/>
          <w:color w:val="auto"/>
        </w:rPr>
        <w:t>Do any act in contravention of this Agreement or of the organizational documents of the Company or the Pinnacle Project Company or other such subsidiary;</w:t>
      </w:r>
    </w:p>
    <w:p>
      <w:pPr>
        <w:spacing w:after="0" w:line="174" w:lineRule="exact"/>
        <w:rPr>
          <w:rFonts w:ascii="Arial" w:cs="Arial" w:eastAsia="Arial" w:hAnsi="Arial"/>
          <w:sz w:val="22"/>
          <w:szCs w:val="22"/>
          <w:color w:val="auto"/>
        </w:rPr>
      </w:pPr>
    </w:p>
    <w:p>
      <w:pPr>
        <w:jc w:val="both"/>
        <w:ind w:firstLine="1952"/>
        <w:spacing w:after="0" w:line="250" w:lineRule="auto"/>
        <w:tabs>
          <w:tab w:leader="none" w:pos="2587" w:val="left"/>
        </w:tabs>
        <w:numPr>
          <w:ilvl w:val="0"/>
          <w:numId w:val="315"/>
        </w:numPr>
        <w:rPr>
          <w:rFonts w:ascii="Arial" w:cs="Arial" w:eastAsia="Arial" w:hAnsi="Arial"/>
          <w:sz w:val="22"/>
          <w:szCs w:val="22"/>
          <w:color w:val="auto"/>
        </w:rPr>
      </w:pPr>
      <w:r>
        <w:rPr>
          <w:rFonts w:ascii="Arial" w:cs="Arial" w:eastAsia="Arial" w:hAnsi="Arial"/>
          <w:sz w:val="22"/>
          <w:szCs w:val="22"/>
          <w:color w:val="auto"/>
        </w:rPr>
        <w:t>With respect to (A) the Company, engage in any business or activity that is not within the purpose of the Company, as set forth in Section 2.5, or to change such purpose, and (B) the Pinnacle Project Company or any other subsidiary of the Company, engage in any business or activity that is not within the purpose of the Pinnacle Project Company’s or other subsidiary’s organizational documents, or to change such purpose;</w:t>
      </w:r>
    </w:p>
    <w:p>
      <w:pPr>
        <w:spacing w:after="0" w:line="187" w:lineRule="exact"/>
        <w:rPr>
          <w:rFonts w:ascii="Arial" w:cs="Arial" w:eastAsia="Arial" w:hAnsi="Arial"/>
          <w:sz w:val="22"/>
          <w:szCs w:val="22"/>
          <w:color w:val="auto"/>
        </w:rPr>
      </w:pPr>
    </w:p>
    <w:p>
      <w:pPr>
        <w:jc w:val="both"/>
        <w:ind w:firstLine="1952"/>
        <w:spacing w:after="0" w:line="250" w:lineRule="auto"/>
        <w:tabs>
          <w:tab w:leader="none" w:pos="2587" w:val="left"/>
        </w:tabs>
        <w:numPr>
          <w:ilvl w:val="0"/>
          <w:numId w:val="315"/>
        </w:numPr>
        <w:rPr>
          <w:rFonts w:ascii="Arial" w:cs="Arial" w:eastAsia="Arial" w:hAnsi="Arial"/>
          <w:sz w:val="22"/>
          <w:szCs w:val="22"/>
          <w:color w:val="auto"/>
        </w:rPr>
      </w:pPr>
      <w:r>
        <w:rPr>
          <w:rFonts w:ascii="Arial" w:cs="Arial" w:eastAsia="Arial" w:hAnsi="Arial"/>
          <w:sz w:val="22"/>
          <w:szCs w:val="22"/>
          <w:color w:val="auto"/>
        </w:rPr>
        <w:t>Cause the Company to be treated other than as a partnership for tax purposes or cause the Pinnacle Project Company or any other subsidiary of the Company to be treated other than as set forth in its Tax Equity Documents and Repowering Financing Documents, in each case for United States federal income tax purposes (including by electing under Treasury Regulations Section 301.7701 3 to be classified as an association);</w:t>
      </w:r>
    </w:p>
    <w:p>
      <w:pPr>
        <w:spacing w:after="0" w:line="187"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315"/>
        </w:numPr>
        <w:rPr>
          <w:rFonts w:ascii="Arial" w:cs="Arial" w:eastAsia="Arial" w:hAnsi="Arial"/>
          <w:sz w:val="22"/>
          <w:szCs w:val="22"/>
          <w:color w:val="auto"/>
        </w:rPr>
      </w:pPr>
      <w:r>
        <w:rPr>
          <w:rFonts w:ascii="Arial" w:cs="Arial" w:eastAsia="Arial" w:hAnsi="Arial"/>
          <w:sz w:val="22"/>
          <w:szCs w:val="22"/>
          <w:color w:val="auto"/>
        </w:rPr>
        <w:t>Permit (unless such action is taken pursuant to the express terms of any Tax Equity Document or any Repowering Financing Document) (A) possession of property of the Company or the Pinnacle Project Company or any other subsidiary of the Company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299" w:name="page300"/>
    <w:bookmarkEnd w:id="299"/>
    <w:p>
      <w:pPr>
        <w:jc w:val="both"/>
        <w:spacing w:after="0" w:line="263" w:lineRule="auto"/>
        <w:rPr>
          <w:sz w:val="20"/>
          <w:szCs w:val="20"/>
          <w:color w:val="auto"/>
        </w:rPr>
      </w:pPr>
      <w:r>
        <w:rPr>
          <w:rFonts w:ascii="Arial" w:cs="Arial" w:eastAsia="Arial" w:hAnsi="Arial"/>
          <w:sz w:val="21"/>
          <w:szCs w:val="21"/>
          <w:color w:val="auto"/>
        </w:rPr>
        <w:t>Member, (B) the assignment, transfer, Encumbrance or pledge of rights of the Company or the Pinnacle Project Company or any other subsidiary of the Company in specific property of the Company or the Pinnacle Project Company for other than a Company or Pinnacle Project Company purpose, as applicable, or other than for the benefit of the Company or such Pinnacle Project Company or subsidiary, or (C) any commingling of the funds of the Company or the Pinnacle Project Company or any other subsidiary of the Company with the funds of any other Person;</w:t>
      </w:r>
    </w:p>
    <w:p>
      <w:pPr>
        <w:spacing w:after="0" w:line="175" w:lineRule="exact"/>
        <w:rPr>
          <w:sz w:val="20"/>
          <w:szCs w:val="20"/>
          <w:color w:val="auto"/>
        </w:rPr>
      </w:pPr>
    </w:p>
    <w:p>
      <w:pPr>
        <w:jc w:val="both"/>
        <w:ind w:firstLine="1952"/>
        <w:spacing w:after="0" w:line="271" w:lineRule="auto"/>
        <w:tabs>
          <w:tab w:leader="none" w:pos="2587" w:val="left"/>
        </w:tabs>
        <w:numPr>
          <w:ilvl w:val="0"/>
          <w:numId w:val="316"/>
        </w:numPr>
        <w:rPr>
          <w:rFonts w:ascii="Arial" w:cs="Arial" w:eastAsia="Arial" w:hAnsi="Arial"/>
          <w:sz w:val="21"/>
          <w:szCs w:val="21"/>
          <w:color w:val="auto"/>
        </w:rPr>
      </w:pPr>
      <w:r>
        <w:rPr>
          <w:rFonts w:ascii="Arial" w:cs="Arial" w:eastAsia="Arial" w:hAnsi="Arial"/>
          <w:sz w:val="21"/>
          <w:szCs w:val="21"/>
          <w:color w:val="auto"/>
        </w:rPr>
        <w:t>Amend the Delaware Certificate or the certificate of formation, certificate of incorporation, limited liability company agreement or other formation document, as applicable, of the Pinnacle Project Company or any other subsidiary of the Company, in any way that would be materially adverse to any Member;</w:t>
      </w:r>
    </w:p>
    <w:p>
      <w:pPr>
        <w:spacing w:after="0" w:line="167" w:lineRule="exact"/>
        <w:rPr>
          <w:rFonts w:ascii="Arial" w:cs="Arial" w:eastAsia="Arial" w:hAnsi="Arial"/>
          <w:sz w:val="21"/>
          <w:szCs w:val="21"/>
          <w:color w:val="auto"/>
        </w:rPr>
      </w:pPr>
    </w:p>
    <w:p>
      <w:pPr>
        <w:jc w:val="both"/>
        <w:ind w:firstLine="1952"/>
        <w:spacing w:after="0" w:line="247" w:lineRule="auto"/>
        <w:tabs>
          <w:tab w:leader="none" w:pos="2587" w:val="left"/>
        </w:tabs>
        <w:numPr>
          <w:ilvl w:val="0"/>
          <w:numId w:val="316"/>
        </w:numPr>
        <w:rPr>
          <w:rFonts w:ascii="Arial" w:cs="Arial" w:eastAsia="Arial" w:hAnsi="Arial"/>
          <w:sz w:val="22"/>
          <w:szCs w:val="22"/>
          <w:color w:val="auto"/>
        </w:rPr>
      </w:pPr>
      <w:r>
        <w:rPr>
          <w:rFonts w:ascii="Arial" w:cs="Arial" w:eastAsia="Arial" w:hAnsi="Arial"/>
          <w:sz w:val="22"/>
          <w:szCs w:val="22"/>
          <w:color w:val="auto"/>
        </w:rPr>
        <w:t>Cause the Company or the Pinnacle Project Company or any other subsidiary of the Company to be deemed Bankrupt, serve as one of the three (3) petitioning creditors in connection with an involuntary bankruptcy petition against the Company or the Pinnacle Project Company or any other subsidiary of the Company, cooperate with creditors in an effort to commence an involuntary bankruptcy petition, guarantee such creditors’ claims, or take any action to encourage or assist in any way with the commencement of an involuntary bankruptcy petition against the Company or the Pinnacle Project Company or any other subsidiary of the Company;</w:t>
      </w:r>
    </w:p>
    <w:p>
      <w:pPr>
        <w:spacing w:after="0" w:line="192" w:lineRule="exact"/>
        <w:rPr>
          <w:rFonts w:ascii="Arial" w:cs="Arial" w:eastAsia="Arial" w:hAnsi="Arial"/>
          <w:sz w:val="22"/>
          <w:szCs w:val="22"/>
          <w:color w:val="auto"/>
        </w:rPr>
      </w:pPr>
    </w:p>
    <w:p>
      <w:pPr>
        <w:ind w:left="2600" w:hanging="648"/>
        <w:spacing w:after="0"/>
        <w:tabs>
          <w:tab w:leader="none" w:pos="260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Make any distribution to any Member, except as specified in this Agreement;</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Repurchase, redeem or convert any membership interests in, or other securities of, the Company;</w:t>
      </w:r>
    </w:p>
    <w:p>
      <w:pPr>
        <w:spacing w:after="0" w:line="254" w:lineRule="exact"/>
        <w:rPr>
          <w:rFonts w:ascii="Arial" w:cs="Arial" w:eastAsia="Arial" w:hAnsi="Arial"/>
          <w:sz w:val="19"/>
          <w:szCs w:val="19"/>
          <w:color w:val="auto"/>
        </w:rPr>
      </w:pPr>
    </w:p>
    <w:p>
      <w:pPr>
        <w:jc w:val="both"/>
        <w:ind w:firstLine="1952"/>
        <w:spacing w:after="0" w:line="312" w:lineRule="auto"/>
        <w:tabs>
          <w:tab w:leader="none" w:pos="2587" w:val="left"/>
        </w:tabs>
        <w:numPr>
          <w:ilvl w:val="0"/>
          <w:numId w:val="316"/>
        </w:numPr>
        <w:rPr>
          <w:rFonts w:ascii="Arial" w:cs="Arial" w:eastAsia="Arial" w:hAnsi="Arial"/>
          <w:sz w:val="19"/>
          <w:szCs w:val="19"/>
          <w:color w:val="auto"/>
        </w:rPr>
      </w:pPr>
      <w:r>
        <w:rPr>
          <w:rFonts w:ascii="Arial" w:cs="Arial" w:eastAsia="Arial" w:hAnsi="Arial"/>
          <w:sz w:val="19"/>
          <w:szCs w:val="19"/>
          <w:color w:val="auto"/>
        </w:rPr>
        <w:t>Enter into any loan, contract or agreement with any Affiliate of the Manager other than as permitted by this Agreement or to loan any funds of the Company or the Pinnacle Project Company or any other subsidiary of the Company to any Person or make any advance payments of compensation or other consideration to the Manager or any of its Affiliates;</w:t>
      </w:r>
    </w:p>
    <w:p>
      <w:pPr>
        <w:spacing w:after="0" w:line="133" w:lineRule="exact"/>
        <w:rPr>
          <w:rFonts w:ascii="Arial" w:cs="Arial" w:eastAsia="Arial" w:hAnsi="Arial"/>
          <w:sz w:val="19"/>
          <w:szCs w:val="19"/>
          <w:color w:val="auto"/>
        </w:rPr>
      </w:pPr>
    </w:p>
    <w:p>
      <w:pPr>
        <w:jc w:val="both"/>
        <w:ind w:firstLine="1952"/>
        <w:spacing w:after="0" w:line="290" w:lineRule="auto"/>
        <w:tabs>
          <w:tab w:leader="none" w:pos="2587" w:val="left"/>
        </w:tabs>
        <w:numPr>
          <w:ilvl w:val="0"/>
          <w:numId w:val="316"/>
        </w:numPr>
        <w:rPr>
          <w:rFonts w:ascii="Arial" w:cs="Arial" w:eastAsia="Arial" w:hAnsi="Arial"/>
          <w:sz w:val="19"/>
          <w:szCs w:val="19"/>
          <w:color w:val="auto"/>
        </w:rPr>
      </w:pPr>
      <w:r>
        <w:rPr>
          <w:rFonts w:ascii="Arial" w:cs="Arial" w:eastAsia="Arial" w:hAnsi="Arial"/>
          <w:sz w:val="19"/>
          <w:szCs w:val="19"/>
          <w:color w:val="auto"/>
        </w:rPr>
        <w:t>Borrow any money in the name or on behalf of the Company or the Pinnacle Project Company or any other subsidiary of the Company, as applicable, in excess of $[***] in the aggregate (other than pursuant to the Repowering Financing Documents), or execute and issue promissory notes and other negotiable or non-negotiable instruments and evidences of indebtedness in excess of $[***] in the aggregate, except the Manager may borrow, or cause the Company or the Pinnacle Project Company or any other subsidiary of the Company to borrow money in the name and on behalf of the Company or the Pinnacle Project Company or any other subsidiary of the Company, as applicable, in such amounts as the Manager shall reasonably determine are necessary to preserve and protect the Company’s or the Pinnacle Project Company’s or any other subsidiary of the Company’s property upon the occurrence of an accident, catastrophe or similar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300" w:name="page301"/>
    <w:bookmarkEnd w:id="300"/>
    <w:p>
      <w:pPr>
        <w:jc w:val="both"/>
        <w:ind w:left="-8" w:firstLine="1952"/>
        <w:spacing w:after="0" w:line="286" w:lineRule="auto"/>
        <w:tabs>
          <w:tab w:leader="none" w:pos="2571" w:val="left"/>
        </w:tabs>
        <w:numPr>
          <w:ilvl w:val="1"/>
          <w:numId w:val="317"/>
        </w:numPr>
        <w:rPr>
          <w:rFonts w:ascii="Arial" w:cs="Arial" w:eastAsia="Arial" w:hAnsi="Arial"/>
          <w:sz w:val="19"/>
          <w:szCs w:val="19"/>
          <w:color w:val="auto"/>
        </w:rPr>
      </w:pPr>
      <w:r>
        <w:rPr>
          <w:rFonts w:ascii="Arial" w:cs="Arial" w:eastAsia="Arial" w:hAnsi="Arial"/>
          <w:sz w:val="19"/>
          <w:szCs w:val="19"/>
          <w:color w:val="auto"/>
        </w:rPr>
        <w:t>Mortgage, pledge, assign in trust or otherwise encumber any Company or Pinnacle Project Company’s or any other subsidiary of the Company’s property, or assign any monies owing or to be owing to the Company or the Pinnacle Project Company or any other subsidiary of the Company (other than in respect of the Repowering Financing Documents and the Tax Equity Documents) except: (A) to secure the payment of any other borrowing permitted hereunder, (B) for customary liens contained in or arising under any operating agreements, construction contracts and similar agreements executed by or binding on the Company or the Pinnacle Project Company or any other subsidiary of the Company with respect to amounts not yet due or not yet delinquent (or, if delinquent, that are being contested by the Manager, the Company or the Pinnacle Project Company or any other subsidiary of the Company in good faith and for which adequate reserves have been set aside in accordance with GAAP), or (C) for statutory liens for amounts not yet due or not yet delinquent (or, if delinquent, that are being contested by the Manager, the Company or the Pinnacle Project Company or any other subsidiary of the Company in good faith and for which adequate reserves have been set aside in accordance with GAAP); provided, that in no event shall the Manager mortgage, pledge, assign in trust or otherwise encumber (x) the Company’s right to receive Capital Contributions from the Members or (y) distributions from the Pinnacle Project Company, unless such encumbrance is required under the Repowering Financing Documents or Tax Equity Documents;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8" w:firstLine="1952"/>
        <w:spacing w:after="0" w:line="260" w:lineRule="auto"/>
        <w:tabs>
          <w:tab w:leader="none" w:pos="2579" w:val="left"/>
        </w:tabs>
        <w:numPr>
          <w:ilvl w:val="1"/>
          <w:numId w:val="317"/>
        </w:numPr>
        <w:rPr>
          <w:rFonts w:ascii="Arial" w:cs="Arial" w:eastAsia="Arial" w:hAnsi="Arial"/>
          <w:sz w:val="21"/>
          <w:szCs w:val="21"/>
          <w:color w:val="auto"/>
        </w:rPr>
      </w:pPr>
      <w:r>
        <w:rPr>
          <w:rFonts w:ascii="Arial" w:cs="Arial" w:eastAsia="Arial" w:hAnsi="Arial"/>
          <w:sz w:val="21"/>
          <w:szCs w:val="21"/>
          <w:color w:val="auto"/>
        </w:rPr>
        <w:t>Sell, lease, transfer, assign or distribute any interest in (A) the Pinnacle Project Company or the Pinnacle Project or any other subsidiary of the Company (except as contemplated by the Tax Equity Documents or the Repowering Financing Documents) or (B) any Asset or related group of Assets with a fair market value [***] in the aggregate in one or a related series of transactions, except for (1) the sale of energy, (2) the sale of RECs (3) otherwise in the ordinary course of the Pinnacle Project Company’s business and in accordance with the applicable Tax Equity Documents and the Repowering Financing Documents, (4) as contemplated in the Repowering TSA, or (5) as required under any security agreement in connection with a borrowing permitted hereunder;</w:t>
      </w:r>
    </w:p>
    <w:p>
      <w:pPr>
        <w:spacing w:after="0" w:line="180" w:lineRule="exact"/>
        <w:rPr>
          <w:rFonts w:ascii="Arial" w:cs="Arial" w:eastAsia="Arial" w:hAnsi="Arial"/>
          <w:sz w:val="21"/>
          <w:szCs w:val="21"/>
          <w:color w:val="auto"/>
        </w:rPr>
      </w:pPr>
    </w:p>
    <w:p>
      <w:pPr>
        <w:jc w:val="both"/>
        <w:ind w:left="-8" w:firstLine="1952"/>
        <w:spacing w:after="0" w:line="291" w:lineRule="auto"/>
        <w:tabs>
          <w:tab w:leader="none" w:pos="2579" w:val="left"/>
        </w:tabs>
        <w:numPr>
          <w:ilvl w:val="1"/>
          <w:numId w:val="317"/>
        </w:numPr>
        <w:rPr>
          <w:rFonts w:ascii="Arial" w:cs="Arial" w:eastAsia="Arial" w:hAnsi="Arial"/>
          <w:sz w:val="19"/>
          <w:szCs w:val="19"/>
          <w:color w:val="auto"/>
        </w:rPr>
      </w:pPr>
      <w:r>
        <w:rPr>
          <w:rFonts w:ascii="Arial" w:cs="Arial" w:eastAsia="Arial" w:hAnsi="Arial"/>
          <w:sz w:val="19"/>
          <w:szCs w:val="19"/>
          <w:color w:val="auto"/>
        </w:rPr>
        <w:t>Guarantee in the name or on behalf of the Company or the Pinnacle Project Company or any other subsidiary of the Company, the payment of money or the performance of any contract or other obligation of any Person except,</w:t>
      </w:r>
    </w:p>
    <w:p>
      <w:pPr>
        <w:spacing w:after="0" w:line="1" w:lineRule="exact"/>
        <w:rPr>
          <w:rFonts w:ascii="Arial" w:cs="Arial" w:eastAsia="Arial" w:hAnsi="Arial"/>
          <w:sz w:val="19"/>
          <w:szCs w:val="19"/>
          <w:color w:val="auto"/>
        </w:rPr>
      </w:pPr>
    </w:p>
    <w:p>
      <w:pPr>
        <w:jc w:val="both"/>
        <w:ind w:left="-8" w:firstLine="8"/>
        <w:spacing w:after="0" w:line="302" w:lineRule="auto"/>
        <w:tabs>
          <w:tab w:leader="none" w:pos="392" w:val="left"/>
        </w:tabs>
        <w:numPr>
          <w:ilvl w:val="0"/>
          <w:numId w:val="318"/>
        </w:numPr>
        <w:rPr>
          <w:rFonts w:ascii="Arial" w:cs="Arial" w:eastAsia="Arial" w:hAnsi="Arial"/>
          <w:sz w:val="19"/>
          <w:szCs w:val="19"/>
          <w:color w:val="auto"/>
        </w:rPr>
      </w:pPr>
      <w:r>
        <w:rPr>
          <w:rFonts w:ascii="Arial" w:cs="Arial" w:eastAsia="Arial" w:hAnsi="Arial"/>
          <w:sz w:val="19"/>
          <w:szCs w:val="19"/>
          <w:color w:val="auto"/>
        </w:rPr>
        <w:t>with respect to the Tax Equity Documents and the Repowering Financing Documents, for responsibilities customarily assumed under operating agreements considered standard in the wind power industry, or (B) guarantees made by Pinnacle Holdco or the Pinnacle Project Company for performance by the Borrower of its obligations under a borrowing permitted hereunder;</w:t>
      </w:r>
    </w:p>
    <w:p>
      <w:pPr>
        <w:spacing w:after="0" w:line="142" w:lineRule="exact"/>
        <w:rPr>
          <w:rFonts w:ascii="Arial" w:cs="Arial" w:eastAsia="Arial" w:hAnsi="Arial"/>
          <w:sz w:val="19"/>
          <w:szCs w:val="19"/>
          <w:color w:val="auto"/>
        </w:rPr>
      </w:pPr>
    </w:p>
    <w:p>
      <w:pPr>
        <w:jc w:val="both"/>
        <w:ind w:left="-8" w:firstLine="1952"/>
        <w:spacing w:after="0" w:line="294" w:lineRule="auto"/>
        <w:tabs>
          <w:tab w:leader="none" w:pos="2579" w:val="left"/>
        </w:tabs>
        <w:numPr>
          <w:ilvl w:val="1"/>
          <w:numId w:val="318"/>
        </w:numPr>
        <w:rPr>
          <w:rFonts w:ascii="Arial" w:cs="Arial" w:eastAsia="Arial" w:hAnsi="Arial"/>
          <w:sz w:val="19"/>
          <w:szCs w:val="19"/>
          <w:color w:val="auto"/>
        </w:rPr>
      </w:pPr>
      <w:r>
        <w:rPr>
          <w:rFonts w:ascii="Arial" w:cs="Arial" w:eastAsia="Arial" w:hAnsi="Arial"/>
          <w:sz w:val="19"/>
          <w:szCs w:val="19"/>
          <w:color w:val="auto"/>
        </w:rPr>
        <w:t>Amend the Approved Budget or the Construction Budget to increase projected expenditures or expend funds in excess of the Approved Budget or the Construction Budget for any Fiscal Year, except for (A) amendments or expenditures that do not increase the aggregate spending under the Approved Budget above [***] of the aggregate expense amount reflected in the Approved Budget for the Fiscal Year, (B) with respect to the Pinnacle Project Company, expenditures that, after taking into account amounts theretofore paid in such Fiscal Year, do not exceed [***] the amount budgeted to be expended in such Fiscal Year in the Approved Budget for the Pinnacle Project Company, (C) expenditures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32"/>
          </w:cols>
          <w:pgMar w:left="328" w:top="1428" w:right="339" w:bottom="1440" w:gutter="0" w:footer="0" w:header="0"/>
        </w:sectPr>
      </w:pPr>
    </w:p>
    <w:bookmarkStart w:id="301" w:name="page302"/>
    <w:bookmarkEnd w:id="301"/>
    <w:p>
      <w:pPr>
        <w:spacing w:after="0" w:line="263" w:lineRule="auto"/>
        <w:rPr>
          <w:sz w:val="20"/>
          <w:szCs w:val="20"/>
          <w:color w:val="auto"/>
        </w:rPr>
      </w:pPr>
      <w:r>
        <w:rPr>
          <w:rFonts w:ascii="Arial" w:cs="Arial" w:eastAsia="Arial" w:hAnsi="Arial"/>
          <w:sz w:val="22"/>
          <w:szCs w:val="22"/>
          <w:color w:val="auto"/>
        </w:rPr>
        <w:t>made under Tax Equity Documents and Repowering Financing Documents and (D) in connection with the Tax Equity Financing and the Repowering Financing Documents;</w:t>
      </w:r>
    </w:p>
    <w:p>
      <w:pPr>
        <w:spacing w:after="0" w:line="175" w:lineRule="exact"/>
        <w:rPr>
          <w:sz w:val="20"/>
          <w:szCs w:val="20"/>
          <w:color w:val="auto"/>
        </w:rPr>
      </w:pPr>
    </w:p>
    <w:p>
      <w:pPr>
        <w:jc w:val="both"/>
        <w:ind w:firstLine="1952"/>
        <w:spacing w:after="0" w:line="248" w:lineRule="auto"/>
        <w:tabs>
          <w:tab w:leader="none" w:pos="2587" w:val="left"/>
        </w:tabs>
        <w:numPr>
          <w:ilvl w:val="0"/>
          <w:numId w:val="319"/>
        </w:numPr>
        <w:rPr>
          <w:rFonts w:ascii="Arial" w:cs="Arial" w:eastAsia="Arial" w:hAnsi="Arial"/>
          <w:sz w:val="22"/>
          <w:szCs w:val="22"/>
          <w:color w:val="auto"/>
        </w:rPr>
      </w:pPr>
      <w:r>
        <w:rPr>
          <w:rFonts w:ascii="Arial" w:cs="Arial" w:eastAsia="Arial" w:hAnsi="Arial"/>
          <w:sz w:val="22"/>
          <w:szCs w:val="22"/>
          <w:color w:val="auto"/>
        </w:rPr>
        <w:t>Merge or consolidate the Company or the Pinnacle Project Company or any other subsidiary of the Company with any Member or other Person or entity, convert the Company or either Pinnacle Project Company or any other subsidiary of the Company to a general partnership or other entity, or agree to an exchange of interests with any other Person, or acquire all or substantially all of the assets, stock or interests of any other Person other than as contemplated by the Tax Equity Financing or the Repowering Financing Documents;</w:t>
      </w:r>
    </w:p>
    <w:p>
      <w:pPr>
        <w:spacing w:after="0" w:line="191" w:lineRule="exact"/>
        <w:rPr>
          <w:rFonts w:ascii="Arial" w:cs="Arial" w:eastAsia="Arial" w:hAnsi="Arial"/>
          <w:sz w:val="22"/>
          <w:szCs w:val="22"/>
          <w:color w:val="auto"/>
        </w:rPr>
      </w:pPr>
    </w:p>
    <w:p>
      <w:pPr>
        <w:jc w:val="both"/>
        <w:ind w:firstLine="1952"/>
        <w:spacing w:after="0" w:line="250" w:lineRule="auto"/>
        <w:tabs>
          <w:tab w:leader="none" w:pos="2587" w:val="left"/>
        </w:tabs>
        <w:numPr>
          <w:ilvl w:val="0"/>
          <w:numId w:val="319"/>
        </w:numPr>
        <w:rPr>
          <w:rFonts w:ascii="Arial" w:cs="Arial" w:eastAsia="Arial" w:hAnsi="Arial"/>
          <w:sz w:val="22"/>
          <w:szCs w:val="22"/>
          <w:color w:val="auto"/>
        </w:rPr>
      </w:pPr>
      <w:r>
        <w:rPr>
          <w:rFonts w:ascii="Arial" w:cs="Arial" w:eastAsia="Arial" w:hAnsi="Arial"/>
          <w:sz w:val="22"/>
          <w:szCs w:val="22"/>
          <w:color w:val="auto"/>
        </w:rPr>
        <w:t>Compromise or settle any lawsuit, administrative matter or other dispute where the amount the Company or the Pinnacle Project Company or any other subsidiary of the Company may recover or might be obligated to pay, as applicable, is in excess of $[***] in the aggregate, or which includes consent to the award of an injunction, specific performance or other equitable relief;</w:t>
      </w:r>
    </w:p>
    <w:p>
      <w:pPr>
        <w:spacing w:after="0" w:line="187" w:lineRule="exact"/>
        <w:rPr>
          <w:rFonts w:ascii="Arial" w:cs="Arial" w:eastAsia="Arial" w:hAnsi="Arial"/>
          <w:sz w:val="22"/>
          <w:szCs w:val="22"/>
          <w:color w:val="auto"/>
        </w:rPr>
      </w:pPr>
    </w:p>
    <w:p>
      <w:pPr>
        <w:jc w:val="both"/>
        <w:ind w:firstLine="1952"/>
        <w:spacing w:after="0" w:line="259" w:lineRule="auto"/>
        <w:tabs>
          <w:tab w:leader="none" w:pos="2587" w:val="left"/>
        </w:tabs>
        <w:numPr>
          <w:ilvl w:val="0"/>
          <w:numId w:val="319"/>
        </w:numPr>
        <w:rPr>
          <w:rFonts w:ascii="Arial" w:cs="Arial" w:eastAsia="Arial" w:hAnsi="Arial"/>
          <w:sz w:val="21"/>
          <w:szCs w:val="21"/>
          <w:color w:val="auto"/>
        </w:rPr>
      </w:pPr>
      <w:r>
        <w:rPr>
          <w:rFonts w:ascii="Arial" w:cs="Arial" w:eastAsia="Arial" w:hAnsi="Arial"/>
          <w:sz w:val="21"/>
          <w:szCs w:val="21"/>
          <w:color w:val="auto"/>
        </w:rPr>
        <w:t>Admit any additional Member to the Company except pursuant to the Tax Equity Financing or as permitted under Article IX hereof, cause any additional member to be admitted to a Tax Equity Entity or the Pinnacle Project Company or any other subsidiary of the Company except pursuant to the Tax Equity Financing, the Repowering Construction Financing and in accordance with the Pinnacle Project Company’s (or such other subsidiary’s) operating agreement, or otherwise issue, or permit the issuance of, any additional membership interests in the Company or the Pinnacle Project Company or any other subsidiary of the Company except pursuant to the Tax Equity Financing, the Repowering Construction Financing and except in accordance with the Pinnacle Project Company’s (or other subsidiary’s) operating agreement; provided that the Manager may not permit the issuance of additional Class A Units at any time during the term of this Agreement without having first obtained the Consent of the Class A Members;</w:t>
      </w:r>
    </w:p>
    <w:p>
      <w:pPr>
        <w:spacing w:after="0" w:line="179" w:lineRule="exact"/>
        <w:rPr>
          <w:rFonts w:ascii="Arial" w:cs="Arial" w:eastAsia="Arial" w:hAnsi="Arial"/>
          <w:sz w:val="21"/>
          <w:szCs w:val="21"/>
          <w:color w:val="auto"/>
        </w:rPr>
      </w:pPr>
    </w:p>
    <w:p>
      <w:pPr>
        <w:jc w:val="both"/>
        <w:ind w:firstLine="1952"/>
        <w:spacing w:after="0" w:line="261" w:lineRule="auto"/>
        <w:tabs>
          <w:tab w:leader="none" w:pos="2587" w:val="left"/>
        </w:tabs>
        <w:numPr>
          <w:ilvl w:val="0"/>
          <w:numId w:val="319"/>
        </w:numPr>
        <w:rPr>
          <w:rFonts w:ascii="Arial" w:cs="Arial" w:eastAsia="Arial" w:hAnsi="Arial"/>
          <w:sz w:val="21"/>
          <w:szCs w:val="21"/>
          <w:color w:val="auto"/>
        </w:rPr>
      </w:pPr>
      <w:r>
        <w:rPr>
          <w:rFonts w:ascii="Arial" w:cs="Arial" w:eastAsia="Arial" w:hAnsi="Arial"/>
          <w:sz w:val="21"/>
          <w:szCs w:val="21"/>
          <w:color w:val="auto"/>
        </w:rPr>
        <w:t>(A) Hire any employees, enter into or adopt any bonus, profit sharing, thrift, compensation, option, pension, retirement, savings, welfare, deferred compensation, employment, termination, severance or other employee benefit plan, agreement, trust, fund, policy or arrangement for the benefit or welfare of any directors, officers or employees of the Company or the Pinnacle Project Company or any other subsidiary of the Company, as the case may be or (B) transfer any Company Assets or the Assets of the Pinnacle Project Company or other subsidiary of the Company to satisfy any liabilities of any Class A Member or its Affiliates arising from ERISA;</w:t>
      </w:r>
    </w:p>
    <w:p>
      <w:pPr>
        <w:spacing w:after="0" w:line="179" w:lineRule="exact"/>
        <w:rPr>
          <w:rFonts w:ascii="Arial" w:cs="Arial" w:eastAsia="Arial" w:hAnsi="Arial"/>
          <w:sz w:val="21"/>
          <w:szCs w:val="21"/>
          <w:color w:val="auto"/>
        </w:rPr>
      </w:pPr>
    </w:p>
    <w:p>
      <w:pPr>
        <w:jc w:val="both"/>
        <w:ind w:firstLine="1952"/>
        <w:spacing w:after="0" w:line="248" w:lineRule="auto"/>
        <w:tabs>
          <w:tab w:leader="none" w:pos="2587" w:val="left"/>
        </w:tabs>
        <w:numPr>
          <w:ilvl w:val="0"/>
          <w:numId w:val="319"/>
        </w:numPr>
        <w:rPr>
          <w:rFonts w:ascii="Arial" w:cs="Arial" w:eastAsia="Arial" w:hAnsi="Arial"/>
          <w:sz w:val="22"/>
          <w:szCs w:val="22"/>
          <w:color w:val="auto"/>
        </w:rPr>
      </w:pPr>
      <w:r>
        <w:rPr>
          <w:rFonts w:ascii="Arial" w:cs="Arial" w:eastAsia="Arial" w:hAnsi="Arial"/>
          <w:sz w:val="22"/>
          <w:szCs w:val="22"/>
          <w:color w:val="auto"/>
        </w:rPr>
        <w:t>Change the Company’s or the Pinnacle Project Company’s or any other subsidiary of the Company’s methods of accounting as in effect on the Effective Date, except as required by GAAP, or take any action, other than reasonable and usual actions in the ordinary course of business or specifically contemplated under the Tax Equity Documents or the Repowering Financing Documents to which it is a party, with respect to accounting policies or procedures, unless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302" w:name="page303"/>
    <w:bookmarkEnd w:id="302"/>
    <w:p>
      <w:pPr>
        <w:jc w:val="both"/>
        <w:ind w:left="-220" w:firstLine="1952"/>
        <w:spacing w:after="0" w:line="253" w:lineRule="auto"/>
        <w:tabs>
          <w:tab w:leader="none" w:pos="2367"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Take any action that would result in a material breach or an event of default, or that would permit or result in the acceleration of any obligation or termination of any right, under any Transaction Document, which acceleration or termination would cause a Material Adverse Effect;</w:t>
      </w:r>
    </w:p>
    <w:p>
      <w:pPr>
        <w:spacing w:after="0" w:line="185" w:lineRule="exact"/>
        <w:rPr>
          <w:rFonts w:ascii="Arial" w:cs="Arial" w:eastAsia="Arial" w:hAnsi="Arial"/>
          <w:sz w:val="22"/>
          <w:szCs w:val="22"/>
          <w:color w:val="auto"/>
        </w:rPr>
      </w:pPr>
    </w:p>
    <w:p>
      <w:pPr>
        <w:jc w:val="both"/>
        <w:ind w:left="-220" w:firstLine="1952"/>
        <w:spacing w:after="0" w:line="258" w:lineRule="auto"/>
        <w:tabs>
          <w:tab w:leader="none" w:pos="2367" w:val="left"/>
        </w:tabs>
        <w:numPr>
          <w:ilvl w:val="0"/>
          <w:numId w:val="320"/>
        </w:numPr>
        <w:rPr>
          <w:rFonts w:ascii="Arial" w:cs="Arial" w:eastAsia="Arial" w:hAnsi="Arial"/>
          <w:sz w:val="21"/>
          <w:szCs w:val="21"/>
          <w:color w:val="auto"/>
        </w:rPr>
      </w:pPr>
      <w:r>
        <w:rPr>
          <w:rFonts w:ascii="Arial" w:cs="Arial" w:eastAsia="Arial" w:hAnsi="Arial"/>
          <w:sz w:val="21"/>
          <w:szCs w:val="21"/>
          <w:color w:val="auto"/>
        </w:rPr>
        <w:t>Enter into: (A) any Transaction Document (other than a power purchase agreement) or any amendment, modification, waiver or termination of any Transaction Document, or organizational document of the Pinnacle Project Company or any other subsidiary of the Company, including the Pinnacle Project Company’s or other subsidiary’s limited liability company agreement, or any Licenses or Permits, (B) any purchase order, notice to proceed or similar arrangement contemplated under any Repowering Project Document, (C) any substitution or replacement of any such document, (D) any Additional Project Document not contemplated by the then current Approved Budget or that could reasonably be expected to have a Material Adverse Effect, (E) any new agreement with an Affiliate other than in accordance with this Agreement or amend any economic provision or otherwise materially amend any existing contract with an Affiliate, or (F) any power purchase agreement which involves more than $1,000,000, or any material amendment, modification, substitution, extension or replacement of such power purchase agreement;</w:t>
      </w:r>
    </w:p>
    <w:p>
      <w:pPr>
        <w:spacing w:after="0" w:line="185" w:lineRule="exact"/>
        <w:rPr>
          <w:rFonts w:ascii="Arial" w:cs="Arial" w:eastAsia="Arial" w:hAnsi="Arial"/>
          <w:sz w:val="21"/>
          <w:szCs w:val="21"/>
          <w:color w:val="auto"/>
        </w:rPr>
      </w:pPr>
    </w:p>
    <w:p>
      <w:pPr>
        <w:jc w:val="both"/>
        <w:ind w:left="-220" w:firstLine="1952"/>
        <w:spacing w:after="0" w:line="250" w:lineRule="auto"/>
        <w:tabs>
          <w:tab w:leader="none" w:pos="2367" w:val="left"/>
        </w:tabs>
        <w:numPr>
          <w:ilvl w:val="0"/>
          <w:numId w:val="320"/>
        </w:numPr>
        <w:rPr>
          <w:rFonts w:ascii="Arial" w:cs="Arial" w:eastAsia="Arial" w:hAnsi="Arial"/>
          <w:sz w:val="22"/>
          <w:szCs w:val="22"/>
          <w:color w:val="auto"/>
        </w:rPr>
      </w:pPr>
      <w:r>
        <w:rPr>
          <w:rFonts w:ascii="Arial" w:cs="Arial" w:eastAsia="Arial" w:hAnsi="Arial"/>
          <w:sz w:val="22"/>
          <w:szCs w:val="22"/>
          <w:color w:val="auto"/>
        </w:rPr>
        <w:t>Remove the Master Services Provider or appoint a new Person to act in a similar capacity to the Master Services Provider or consent to or allow the assignment by the Master Services Provider of the agreement pursuant to which the Master Services Provider provides services to the Company, or any of its rights or obligations thereunder, other than to an Affiliate;</w:t>
      </w:r>
    </w:p>
    <w:p>
      <w:pPr>
        <w:spacing w:after="0" w:line="187" w:lineRule="exact"/>
        <w:rPr>
          <w:rFonts w:ascii="Arial" w:cs="Arial" w:eastAsia="Arial" w:hAnsi="Arial"/>
          <w:sz w:val="22"/>
          <w:szCs w:val="22"/>
          <w:color w:val="auto"/>
        </w:rPr>
      </w:pPr>
    </w:p>
    <w:p>
      <w:pPr>
        <w:jc w:val="both"/>
        <w:ind w:left="-220" w:firstLine="1952"/>
        <w:spacing w:after="0" w:line="250" w:lineRule="auto"/>
        <w:tabs>
          <w:tab w:leader="none" w:pos="2367" w:val="left"/>
        </w:tabs>
        <w:numPr>
          <w:ilvl w:val="0"/>
          <w:numId w:val="320"/>
        </w:numPr>
        <w:rPr>
          <w:rFonts w:ascii="Arial" w:cs="Arial" w:eastAsia="Arial" w:hAnsi="Arial"/>
          <w:sz w:val="22"/>
          <w:szCs w:val="22"/>
          <w:color w:val="auto"/>
        </w:rPr>
      </w:pPr>
      <w:r>
        <w:rPr>
          <w:rFonts w:ascii="Arial" w:cs="Arial" w:eastAsia="Arial" w:hAnsi="Arial"/>
          <w:sz w:val="22"/>
          <w:szCs w:val="22"/>
          <w:color w:val="auto"/>
        </w:rPr>
        <w:t>Allow the total proceeds borrowed, including, without limitation, borrowings under the Repowering Financing Documents, to at any time exceed an amount equal to the lesser of (a) $[***] and (b) the Construction Budget approved by the lenders under the Repowering Financing Documents. The determination of the Construction Budget shall be made at the time of the financial close of the Pinnacle Project.</w:t>
      </w:r>
    </w:p>
    <w:p>
      <w:pPr>
        <w:spacing w:after="0" w:line="187" w:lineRule="exact"/>
        <w:rPr>
          <w:rFonts w:ascii="Arial" w:cs="Arial" w:eastAsia="Arial" w:hAnsi="Arial"/>
          <w:sz w:val="22"/>
          <w:szCs w:val="22"/>
          <w:color w:val="auto"/>
        </w:rPr>
      </w:pPr>
    </w:p>
    <w:p>
      <w:pPr>
        <w:jc w:val="both"/>
        <w:ind w:left="-220" w:firstLine="1952"/>
        <w:spacing w:after="0" w:line="263" w:lineRule="auto"/>
        <w:tabs>
          <w:tab w:leader="none" w:pos="2367" w:val="left"/>
        </w:tabs>
        <w:numPr>
          <w:ilvl w:val="0"/>
          <w:numId w:val="320"/>
        </w:numPr>
        <w:rPr>
          <w:rFonts w:ascii="Arial" w:cs="Arial" w:eastAsia="Arial" w:hAnsi="Arial"/>
          <w:sz w:val="21"/>
          <w:szCs w:val="21"/>
          <w:color w:val="auto"/>
        </w:rPr>
      </w:pPr>
      <w:r>
        <w:rPr>
          <w:rFonts w:ascii="Arial" w:cs="Arial" w:eastAsia="Arial" w:hAnsi="Arial"/>
          <w:sz w:val="21"/>
          <w:szCs w:val="21"/>
          <w:color w:val="auto"/>
        </w:rPr>
        <w:t>Use any insurance proceeds received by the Company or the Pinnacle Project Company following damage to Company property or the Pinnacle Project Company property for any purpose other than restoration or replacement of such property, or, in the case of business interruption or similar insurance, to be treated as Available Cash Flow; provided, that the Consent of the Members shall not be required to use any insurance proceeds as required by the Repowering Financing Documents (as reasonably determined by the Manager);</w:t>
      </w:r>
    </w:p>
    <w:p>
      <w:pPr>
        <w:spacing w:after="0" w:line="175" w:lineRule="exact"/>
        <w:rPr>
          <w:rFonts w:ascii="Arial" w:cs="Arial" w:eastAsia="Arial" w:hAnsi="Arial"/>
          <w:sz w:val="21"/>
          <w:szCs w:val="21"/>
          <w:color w:val="auto"/>
        </w:rPr>
      </w:pPr>
    </w:p>
    <w:p>
      <w:pPr>
        <w:jc w:val="both"/>
        <w:ind w:left="-220" w:firstLine="1952"/>
        <w:spacing w:after="0" w:line="253" w:lineRule="auto"/>
        <w:tabs>
          <w:tab w:leader="none" w:pos="2367" w:val="left"/>
        </w:tabs>
        <w:numPr>
          <w:ilvl w:val="0"/>
          <w:numId w:val="320"/>
        </w:numPr>
        <w:rPr>
          <w:rFonts w:ascii="Arial" w:cs="Arial" w:eastAsia="Arial" w:hAnsi="Arial"/>
          <w:sz w:val="22"/>
          <w:szCs w:val="22"/>
          <w:color w:val="auto"/>
        </w:rPr>
      </w:pPr>
      <w:r>
        <w:rPr>
          <w:rFonts w:ascii="Arial" w:cs="Arial" w:eastAsia="Arial" w:hAnsi="Arial"/>
          <w:sz w:val="22"/>
          <w:szCs w:val="22"/>
          <w:color w:val="auto"/>
        </w:rPr>
        <w:t>Cause the Company or cause the Company to cause the Pinnacle Project Company or any other subsidiary of the Company to change its respective legal form, recapitalize, liquidate, wind up or dissolve (other than in accordance with this Agreement), or declare itself Bankrupt;</w:t>
      </w:r>
    </w:p>
    <w:p>
      <w:pPr>
        <w:spacing w:after="0" w:line="185" w:lineRule="exact"/>
        <w:rPr>
          <w:rFonts w:ascii="Arial" w:cs="Arial" w:eastAsia="Arial" w:hAnsi="Arial"/>
          <w:sz w:val="22"/>
          <w:szCs w:val="22"/>
          <w:color w:val="auto"/>
        </w:rPr>
      </w:pPr>
    </w:p>
    <w:p>
      <w:pPr>
        <w:jc w:val="both"/>
        <w:ind w:left="-220" w:firstLine="1952"/>
        <w:spacing w:after="0" w:line="253" w:lineRule="auto"/>
        <w:tabs>
          <w:tab w:leader="none" w:pos="2367" w:val="left"/>
        </w:tabs>
        <w:numPr>
          <w:ilvl w:val="0"/>
          <w:numId w:val="320"/>
        </w:numPr>
        <w:rPr>
          <w:rFonts w:ascii="Arial" w:cs="Arial" w:eastAsia="Arial" w:hAnsi="Arial"/>
          <w:sz w:val="22"/>
          <w:szCs w:val="22"/>
          <w:color w:val="auto"/>
        </w:rPr>
      </w:pPr>
      <w:r>
        <w:rPr>
          <w:rFonts w:ascii="Arial" w:cs="Arial" w:eastAsia="Arial" w:hAnsi="Arial"/>
          <w:sz w:val="22"/>
          <w:szCs w:val="22"/>
          <w:color w:val="auto"/>
        </w:rPr>
        <w:t>Cause the Company or the Pinnacle Project Company or any other subsidiary of the Company to hire legal advisors to act on such company’s behalf; provided that all legal advisors currently used by such company as of the Effective Date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020"/>
          </w:cols>
          <w:pgMar w:left="540" w:top="1428" w:right="339" w:bottom="1440" w:gutter="0" w:footer="0" w:header="0"/>
        </w:sectPr>
      </w:pPr>
    </w:p>
    <w:bookmarkStart w:id="303" w:name="page304"/>
    <w:bookmarkEnd w:id="303"/>
    <w:p>
      <w:pPr>
        <w:jc w:val="both"/>
        <w:ind w:firstLine="1952"/>
        <w:spacing w:after="0" w:line="312" w:lineRule="auto"/>
        <w:tabs>
          <w:tab w:leader="none" w:pos="2587" w:val="left"/>
        </w:tabs>
        <w:numPr>
          <w:ilvl w:val="0"/>
          <w:numId w:val="321"/>
        </w:numPr>
        <w:rPr>
          <w:rFonts w:ascii="Arial" w:cs="Arial" w:eastAsia="Arial" w:hAnsi="Arial"/>
          <w:sz w:val="19"/>
          <w:szCs w:val="19"/>
          <w:color w:val="auto"/>
        </w:rPr>
      </w:pPr>
      <w:r>
        <w:rPr>
          <w:rFonts w:ascii="Arial" w:cs="Arial" w:eastAsia="Arial" w:hAnsi="Arial"/>
          <w:sz w:val="19"/>
          <w:szCs w:val="19"/>
          <w:color w:val="auto"/>
        </w:rPr>
        <w:t>Enter into any agreement prohibiting or restricting the ability of the Company or the Pinnacle Project Company or any other direct or indirect subsidiary of the Company from authorizing or making any distributions to Members (or the members of such entity), other than the Repowering Financing Documents and the Tax Equity Documents; or</w:t>
      </w:r>
    </w:p>
    <w:p>
      <w:pPr>
        <w:spacing w:after="0" w:line="133" w:lineRule="exact"/>
        <w:rPr>
          <w:rFonts w:ascii="Arial" w:cs="Arial" w:eastAsia="Arial" w:hAnsi="Arial"/>
          <w:sz w:val="19"/>
          <w:szCs w:val="19"/>
          <w:color w:val="auto"/>
        </w:rPr>
      </w:pPr>
    </w:p>
    <w:p>
      <w:pPr>
        <w:ind w:firstLine="1952"/>
        <w:spacing w:after="0" w:line="263" w:lineRule="auto"/>
        <w:tabs>
          <w:tab w:leader="none" w:pos="2587" w:val="left"/>
        </w:tabs>
        <w:numPr>
          <w:ilvl w:val="0"/>
          <w:numId w:val="321"/>
        </w:numPr>
        <w:rPr>
          <w:rFonts w:ascii="Arial" w:cs="Arial" w:eastAsia="Arial" w:hAnsi="Arial"/>
          <w:sz w:val="22"/>
          <w:szCs w:val="22"/>
          <w:color w:val="auto"/>
        </w:rPr>
      </w:pPr>
      <w:r>
        <w:rPr>
          <w:rFonts w:ascii="Arial" w:cs="Arial" w:eastAsia="Arial" w:hAnsi="Arial"/>
          <w:sz w:val="22"/>
          <w:szCs w:val="22"/>
          <w:color w:val="auto"/>
        </w:rPr>
        <w:t>Except as otherwise expressly provided in this Agreement, pay, grant, authorize or approve the payment of any compensation to or for the Manager for serving in his or her capacity as Manager.</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(iii)Prior to the dissolution of the Company under the terms of this Agreement, the Manager shall devote such time and effort to the Company’s business as may be necessary to adequately promote the interests of the Company and the mutual interests of the Members.</w:t>
      </w:r>
    </w:p>
    <w:p>
      <w:pPr>
        <w:spacing w:after="0" w:line="185" w:lineRule="exact"/>
        <w:rPr>
          <w:sz w:val="20"/>
          <w:szCs w:val="20"/>
          <w:color w:val="auto"/>
        </w:rPr>
      </w:pPr>
    </w:p>
    <w:p>
      <w:pPr>
        <w:jc w:val="both"/>
        <w:ind w:firstLine="336"/>
        <w:spacing w:after="0" w:line="246" w:lineRule="auto"/>
        <w:rPr>
          <w:sz w:val="20"/>
          <w:szCs w:val="20"/>
          <w:color w:val="auto"/>
        </w:rPr>
      </w:pPr>
      <w:r>
        <w:rPr>
          <w:rFonts w:ascii="Arial" w:cs="Arial" w:eastAsia="Arial" w:hAnsi="Arial"/>
          <w:sz w:val="22"/>
          <w:szCs w:val="22"/>
          <w:color w:val="auto"/>
        </w:rPr>
        <w:t>(iv)With respect to any actions described in this Agreement that require the Consent of the Members (including, without limitation, those actions set forth in this Section 6.2), the Manager shall use commercially reasonable efforts to request such consent or approval from each Member no later than thirty (30) days prior to the proposed date for the taking of such action, and such request shall include, to the extent applicable, copies of all material documentation relating to the proposed action. The failure of any Member to deliver a response either approving or disapproving any action requiring the Consent of the Members within the thirty (30) day period after such Member’s receipt of such request shall be deemed such Member’s consent to the proposed action.</w:t>
      </w:r>
    </w:p>
    <w:p>
      <w:pPr>
        <w:spacing w:after="0" w:line="1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Removal and Election of Manager</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48" w:lineRule="auto"/>
        <w:rPr>
          <w:sz w:val="20"/>
          <w:szCs w:val="20"/>
          <w:color w:val="auto"/>
        </w:rPr>
      </w:pPr>
      <w:r>
        <w:rPr>
          <w:rFonts w:ascii="Arial" w:cs="Arial" w:eastAsia="Arial" w:hAnsi="Arial"/>
          <w:sz w:val="22"/>
          <w:szCs w:val="22"/>
          <w:color w:val="auto"/>
        </w:rPr>
        <w:t>(i)The Manager shall not have a right to resign unless and until a successor manager is elected or appointed as specified under this Section 6.3 and assumes the obligations of the Manager under this Agreement. If the Manager so resigns, the resigning Manager shall reasonably cooperate with the Members and the replacement Manager to effect an orderly transition of responsibilities and duties to the replacement Manager. Such replacement Manager shall be elected by a majority vote of the Class B Members, subject to subparagraph (b) below.</w:t>
      </w:r>
    </w:p>
    <w:p>
      <w:pPr>
        <w:spacing w:after="0" w:line="192" w:lineRule="exact"/>
        <w:rPr>
          <w:sz w:val="20"/>
          <w:szCs w:val="20"/>
          <w:color w:val="auto"/>
        </w:rPr>
      </w:pPr>
    </w:p>
    <w:p>
      <w:pPr>
        <w:jc w:val="both"/>
        <w:ind w:firstLine="384"/>
        <w:spacing w:after="0" w:line="291" w:lineRule="auto"/>
        <w:rPr>
          <w:sz w:val="20"/>
          <w:szCs w:val="20"/>
          <w:color w:val="auto"/>
        </w:rPr>
      </w:pPr>
      <w:r>
        <w:rPr>
          <w:rFonts w:ascii="Arial" w:cs="Arial" w:eastAsia="Arial" w:hAnsi="Arial"/>
          <w:sz w:val="19"/>
          <w:szCs w:val="19"/>
          <w:color w:val="auto"/>
        </w:rPr>
        <w:t>(ii)The Manager will be subject to removal as Manager by Consent of the Members (excluding any Member who is the Manager or an Affiliate of the Manager), if the Manager (in its capacity as Manager or its capacity as Partnership Representative)</w:t>
      </w:r>
    </w:p>
    <w:p>
      <w:pPr>
        <w:spacing w:after="0" w:line="1" w:lineRule="exact"/>
        <w:rPr>
          <w:sz w:val="20"/>
          <w:szCs w:val="20"/>
          <w:color w:val="auto"/>
        </w:rPr>
      </w:pPr>
    </w:p>
    <w:p>
      <w:pPr>
        <w:jc w:val="both"/>
        <w:ind w:firstLine="8"/>
        <w:spacing w:after="0" w:line="256" w:lineRule="auto"/>
        <w:tabs>
          <w:tab w:leader="none" w:pos="276" w:val="left"/>
        </w:tabs>
        <w:numPr>
          <w:ilvl w:val="0"/>
          <w:numId w:val="322"/>
        </w:numPr>
        <w:rPr>
          <w:rFonts w:ascii="Arial" w:cs="Arial" w:eastAsia="Arial" w:hAnsi="Arial"/>
          <w:sz w:val="21"/>
          <w:szCs w:val="21"/>
          <w:color w:val="auto"/>
        </w:rPr>
      </w:pPr>
      <w:r>
        <w:rPr>
          <w:rFonts w:ascii="Arial" w:cs="Arial" w:eastAsia="Arial" w:hAnsi="Arial"/>
          <w:sz w:val="21"/>
          <w:szCs w:val="21"/>
          <w:color w:val="auto"/>
        </w:rPr>
        <w:t>has engaged in gross negligence, willful misconduct or fraud, (ii) has intentionally violated any Law, or (iii) has performed any action that is in breach or violation of this Agreement or any Transaction Document to which it is a party and that has or is reasonably expected to have a Material Adverse Effect; provided, however, that in the case of this clause (iii), for any breach or violation other than a failure to make a cash distribution when due under this Agreement, the Manager shall have the opportunity to cure such breach or violation within thirty (30) days of receiving notice of such breach; provided, further, that if such breach cannot be cured within such period, and the Manager is proceeding with diligence to cure such breach, the 30-day cure period shall be extended by an additional sixty (60) days, for a total cure period of ninety (90) days; provided, further, that during such cure period the Manager may continue as the Manager (and Partnership Representative). In addition, the Manager shall be removed automatically without further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304" w:name="page305"/>
    <w:bookmarkEnd w:id="304"/>
    <w:p>
      <w:pPr>
        <w:jc w:val="both"/>
        <w:spacing w:after="0" w:line="253" w:lineRule="auto"/>
        <w:rPr>
          <w:sz w:val="20"/>
          <w:szCs w:val="20"/>
          <w:color w:val="auto"/>
        </w:rPr>
      </w:pPr>
      <w:r>
        <w:rPr>
          <w:rFonts w:ascii="Arial" w:cs="Arial" w:eastAsia="Arial" w:hAnsi="Arial"/>
          <w:sz w:val="22"/>
          <w:szCs w:val="22"/>
          <w:color w:val="auto"/>
        </w:rPr>
        <w:t>action or notice by any Member in the event of a Bankruptcy of the Manager, the Partnership Representative (if it is an Affiliate of the Manager) or any Member who is an Affiliate of the Manager, unless those Members who are not Affiliates of the Manager elect otherwise upon written notice.</w:t>
      </w:r>
    </w:p>
    <w:p>
      <w:pPr>
        <w:spacing w:after="0" w:line="18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9"/>
          <w:szCs w:val="19"/>
          <w:color w:val="auto"/>
        </w:rPr>
        <w:t>(iii)If the Manager is removed under subparagraph (b) above, the Consent of the Members (excluding any Member who is the Manager or an Affiliate of the Manager) shall be required to elect or appoint a successor Manager to succeed to all the rights, and to perform all of the obligations, set forth for the Manager hereunder. If the Manager is so removed, the removed Manager shall reasonably cooperate with the Members and the replacement Manager to effect an orderly transition of responsibilities and duties to the replacement Manager. The Person selected as the successor Manager shall be an entity that is experienced and reputable in operating wind facilities similar to the Pinnacle Project and shall execute a counterpart to this Agreement.</w:t>
      </w:r>
    </w:p>
    <w:p>
      <w:pPr>
        <w:spacing w:after="0" w:line="14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Indemnification and Exculpation</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302" w:lineRule="auto"/>
        <w:rPr>
          <w:sz w:val="20"/>
          <w:szCs w:val="20"/>
          <w:color w:val="auto"/>
        </w:rPr>
      </w:pPr>
      <w:r>
        <w:rPr>
          <w:rFonts w:ascii="Arial" w:cs="Arial" w:eastAsia="Arial" w:hAnsi="Arial"/>
          <w:sz w:val="19"/>
          <w:szCs w:val="19"/>
          <w:color w:val="auto"/>
        </w:rPr>
        <w:t>(i)To the fullest extent permitted by Law, the Manager and the Partnership Representative and their respective officers, directors, employees and agents shall be exculpated from, and the Company shall indemnify, from Available Cash Flow, such Persons from and against, all Damages any of them incur by reason of any act or omission performed or omitted by such Person in a manner reasonably believed to be consistent with its rights and obligations under Law and this Agreement; [***].</w:t>
      </w:r>
    </w:p>
    <w:p>
      <w:pPr>
        <w:spacing w:after="0" w:line="142" w:lineRule="exact"/>
        <w:rPr>
          <w:sz w:val="20"/>
          <w:szCs w:val="20"/>
          <w:color w:val="auto"/>
        </w:rPr>
      </w:pPr>
    </w:p>
    <w:p>
      <w:pPr>
        <w:jc w:val="both"/>
        <w:ind w:firstLine="384"/>
        <w:spacing w:after="0" w:line="265" w:lineRule="auto"/>
        <w:rPr>
          <w:sz w:val="20"/>
          <w:szCs w:val="20"/>
          <w:color w:val="auto"/>
        </w:rPr>
      </w:pPr>
      <w:r>
        <w:rPr>
          <w:rFonts w:ascii="Arial" w:cs="Arial" w:eastAsia="Arial" w:hAnsi="Arial"/>
          <w:sz w:val="21"/>
          <w:szCs w:val="21"/>
          <w:color w:val="auto"/>
        </w:rPr>
        <w:t>(ii)To the fullest extent permitted by Law, reasonable and documented expenses to be incurred by an indemnified Person under this Section 6.4 shall, from time to time, be advanced by the Company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(iii)Provided that the same is reflected in the Approved Budget, the Company may purchase and maintain insurance covering Damages as may be asserted or awarded against the Persons indemnified hereunder, whether or not the Company would have the obligation to indemnify the Person against liability for such Damages under the provisions of this Section 6.4.</w:t>
      </w:r>
    </w:p>
    <w:p>
      <w:pPr>
        <w:spacing w:after="0" w:line="133" w:lineRule="exact"/>
        <w:rPr>
          <w:sz w:val="20"/>
          <w:szCs w:val="20"/>
          <w:color w:val="auto"/>
        </w:rPr>
      </w:pPr>
    </w:p>
    <w:p>
      <w:pPr>
        <w:jc w:val="both"/>
        <w:ind w:firstLine="336"/>
        <w:spacing w:after="0" w:line="250" w:lineRule="auto"/>
        <w:rPr>
          <w:sz w:val="20"/>
          <w:szCs w:val="20"/>
          <w:color w:val="auto"/>
        </w:rPr>
      </w:pPr>
      <w:r>
        <w:rPr>
          <w:rFonts w:ascii="Arial" w:cs="Arial" w:eastAsia="Arial" w:hAnsi="Arial"/>
          <w:sz w:val="22"/>
          <w:szCs w:val="22"/>
          <w:color w:val="auto"/>
        </w:rPr>
        <w:t xml:space="preserve">(iv)Monies to fund the indemnification obligations hereunder (including advances under Section 6.4(b)) shall, (i) until the Tax Equity Funding Date, be sourced from Available Cash Flow, and (ii) thereafter shall be sourced by Capital Contributions from the Members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based on their respective Specified Share (and shall not limit the ability of the Company to make distributions from Available Cash Flow pursuant to Section 5.1(a)).</w:t>
      </w:r>
    </w:p>
    <w:p>
      <w:pPr>
        <w:spacing w:after="0" w:line="18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19"/>
          <w:szCs w:val="19"/>
          <w:u w:val="single" w:color="auto"/>
          <w:color w:val="auto"/>
        </w:rPr>
        <w:t>Company Reimbursement; Fund Formation Expenses</w:t>
      </w:r>
      <w:r>
        <w:rPr>
          <w:rFonts w:ascii="Arial" w:cs="Arial" w:eastAsia="Arial" w:hAnsi="Arial"/>
          <w:sz w:val="19"/>
          <w:szCs w:val="19"/>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Company shall directly pay and reimburse the Manager for all Company Reimbursable Expenses incurred from time to time.</w:t>
      </w:r>
    </w:p>
    <w:p>
      <w:pPr>
        <w:spacing w:after="0" w:line="25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f.</w:t>
      </w:r>
      <w:r>
        <w:rPr>
          <w:sz w:val="20"/>
          <w:szCs w:val="20"/>
          <w:color w:val="auto"/>
        </w:rPr>
        <w:tab/>
      </w:r>
      <w:r>
        <w:rPr>
          <w:rFonts w:ascii="Arial" w:cs="Arial" w:eastAsia="Arial" w:hAnsi="Arial"/>
          <w:sz w:val="19"/>
          <w:szCs w:val="19"/>
          <w:u w:val="single" w:color="auto"/>
          <w:color w:val="auto"/>
        </w:rPr>
        <w:t>Officers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305" w:name="page306"/>
    <w:bookmarkEnd w:id="305"/>
    <w:p>
      <w:pPr>
        <w:jc w:val="both"/>
        <w:ind w:firstLine="444"/>
        <w:spacing w:after="0" w:line="253" w:lineRule="auto"/>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Number</w:t>
      </w:r>
      <w:r>
        <w:rPr>
          <w:rFonts w:ascii="Arial" w:cs="Arial" w:eastAsia="Arial" w:hAnsi="Arial"/>
          <w:sz w:val="22"/>
          <w:szCs w:val="22"/>
          <w:color w:val="auto"/>
        </w:rPr>
        <w:t>. The officers of the Company shall be a President, a Secretary and any number of Vice Presidents or Assistant Secretaries or other officers (each an “</w:t>
      </w:r>
      <w:r>
        <w:rPr>
          <w:rFonts w:ascii="Arial" w:cs="Arial" w:eastAsia="Arial" w:hAnsi="Arial"/>
          <w:sz w:val="22"/>
          <w:szCs w:val="22"/>
          <w:b w:val="1"/>
          <w:bCs w:val="1"/>
          <w:color w:val="auto"/>
        </w:rPr>
        <w:t>Officer</w:t>
      </w:r>
      <w:r>
        <w:rPr>
          <w:rFonts w:ascii="Arial" w:cs="Arial" w:eastAsia="Arial" w:hAnsi="Arial"/>
          <w:sz w:val="22"/>
          <w:szCs w:val="22"/>
          <w:color w:val="auto"/>
        </w:rPr>
        <w:t>” and collectively “</w:t>
      </w:r>
      <w:r>
        <w:rPr>
          <w:rFonts w:ascii="Arial" w:cs="Arial" w:eastAsia="Arial" w:hAnsi="Arial"/>
          <w:sz w:val="22"/>
          <w:szCs w:val="22"/>
          <w:b w:val="1"/>
          <w:bCs w:val="1"/>
          <w:color w:val="auto"/>
        </w:rPr>
        <w:t>Officers</w:t>
      </w:r>
      <w:r>
        <w:rPr>
          <w:rFonts w:ascii="Arial" w:cs="Arial" w:eastAsia="Arial" w:hAnsi="Arial"/>
          <w:sz w:val="22"/>
          <w:szCs w:val="22"/>
          <w:color w:val="auto"/>
        </w:rPr>
        <w:t>”) as may be elected by the Manager. Any two (2) or more offices may be held by the same person.</w:t>
      </w:r>
    </w:p>
    <w:p>
      <w:pPr>
        <w:spacing w:after="0" w:line="185" w:lineRule="exact"/>
        <w:rPr>
          <w:sz w:val="20"/>
          <w:szCs w:val="20"/>
          <w:color w:val="auto"/>
        </w:rPr>
      </w:pPr>
    </w:p>
    <w:p>
      <w:pPr>
        <w:jc w:val="both"/>
        <w:ind w:firstLine="384"/>
        <w:spacing w:after="0" w:line="250" w:lineRule="auto"/>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Election and Term of Office</w:t>
      </w:r>
      <w:r>
        <w:rPr>
          <w:rFonts w:ascii="Arial" w:cs="Arial" w:eastAsia="Arial" w:hAnsi="Arial"/>
          <w:sz w:val="22"/>
          <w:szCs w:val="22"/>
          <w:color w:val="auto"/>
        </w:rPr>
        <w:t>. The Officers of the Company shall be elected or appointed by the Manager. Vacancies may be filled or new offices created and filled by the Manager. Each Officer shall hold office until his successor shall have been duly elected or appointed or until his death or until he shall resign or shall have been removed in the manner hereinafter provided. Election of an Officer shall not of itself create contract rights.</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Vacancies</w:t>
      </w:r>
      <w:r>
        <w:rPr>
          <w:rFonts w:ascii="Arial" w:cs="Arial" w:eastAsia="Arial" w:hAnsi="Arial"/>
          <w:sz w:val="22"/>
          <w:szCs w:val="22"/>
          <w:color w:val="auto"/>
        </w:rPr>
        <w:t>. A vacancy in any office because of death, resignation, removal, disqualification or otherwise, may be filled by the Manager for the unexpired portion of the term.</w:t>
      </w:r>
    </w:p>
    <w:p>
      <w:pPr>
        <w:spacing w:after="0" w:line="175" w:lineRule="exact"/>
        <w:rPr>
          <w:sz w:val="20"/>
          <w:szCs w:val="20"/>
          <w:color w:val="auto"/>
        </w:rPr>
      </w:pPr>
    </w:p>
    <w:p>
      <w:pPr>
        <w:jc w:val="both"/>
        <w:ind w:firstLine="336"/>
        <w:spacing w:after="0" w:line="253" w:lineRule="auto"/>
        <w:rPr>
          <w:sz w:val="20"/>
          <w:szCs w:val="20"/>
          <w:color w:val="auto"/>
        </w:rPr>
      </w:pPr>
      <w:r>
        <w:rPr>
          <w:rFonts w:ascii="Arial" w:cs="Arial" w:eastAsia="Arial" w:hAnsi="Arial"/>
          <w:sz w:val="22"/>
          <w:szCs w:val="22"/>
          <w:color w:val="auto"/>
        </w:rPr>
        <w:t>(iv)</w:t>
      </w:r>
      <w:r>
        <w:rPr>
          <w:rFonts w:ascii="Arial" w:cs="Arial" w:eastAsia="Arial" w:hAnsi="Arial"/>
          <w:sz w:val="22"/>
          <w:szCs w:val="22"/>
          <w:u w:val="single" w:color="auto"/>
          <w:color w:val="auto"/>
        </w:rPr>
        <w:t>Removal</w:t>
      </w:r>
      <w:r>
        <w:rPr>
          <w:rFonts w:ascii="Arial" w:cs="Arial" w:eastAsia="Arial" w:hAnsi="Arial"/>
          <w:sz w:val="22"/>
          <w:szCs w:val="22"/>
          <w:color w:val="auto"/>
        </w:rPr>
        <w:t>. Any Officer elected or appointed by the Manager may be removed by the Manager whenever in its judgment the best interests of the Company would be served thereby, but such removal shall be without prejudice to the contract rights, if any, of the person so removed.</w:t>
      </w:r>
    </w:p>
    <w:p>
      <w:pPr>
        <w:spacing w:after="0" w:line="185" w:lineRule="exact"/>
        <w:rPr>
          <w:sz w:val="20"/>
          <w:szCs w:val="20"/>
          <w:color w:val="auto"/>
        </w:rPr>
      </w:pPr>
    </w:p>
    <w:p>
      <w:pPr>
        <w:jc w:val="both"/>
        <w:ind w:firstLine="396"/>
        <w:spacing w:after="0" w:line="302" w:lineRule="auto"/>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Duties; Standard of Care</w:t>
      </w:r>
      <w:r>
        <w:rPr>
          <w:rFonts w:ascii="Arial" w:cs="Arial" w:eastAsia="Arial" w:hAnsi="Arial"/>
          <w:sz w:val="19"/>
          <w:szCs w:val="19"/>
          <w:color w:val="auto"/>
        </w:rPr>
        <w:t>. Each Officer is only authorized to perform the duties specifically enumerated herein or as may be specifically assigned to such Officer in accordance with the terms of this Agreement. Each Officer shall be subject to the same standard of care applicable to the Manager as set forth in Section 6.2(a) in carrying out any of their relevant duties whatsoever and shall be required to obtain the necessary prior consents for actions specified in Section 6.2(b).</w:t>
      </w:r>
    </w:p>
    <w:p>
      <w:pPr>
        <w:spacing w:after="0" w:line="142" w:lineRule="exact"/>
        <w:rPr>
          <w:sz w:val="20"/>
          <w:szCs w:val="20"/>
          <w:color w:val="auto"/>
        </w:rPr>
      </w:pPr>
    </w:p>
    <w:p>
      <w:pPr>
        <w:jc w:val="both"/>
        <w:ind w:firstLine="336"/>
        <w:spacing w:after="0" w:line="286" w:lineRule="auto"/>
        <w:rPr>
          <w:sz w:val="20"/>
          <w:szCs w:val="20"/>
          <w:color w:val="auto"/>
        </w:rPr>
      </w:pPr>
      <w:r>
        <w:rPr>
          <w:rFonts w:ascii="Arial" w:cs="Arial" w:eastAsia="Arial" w:hAnsi="Arial"/>
          <w:sz w:val="19"/>
          <w:szCs w:val="19"/>
          <w:color w:val="auto"/>
        </w:rPr>
        <w:t>(vi)</w:t>
      </w:r>
      <w:r>
        <w:rPr>
          <w:rFonts w:ascii="Arial" w:cs="Arial" w:eastAsia="Arial" w:hAnsi="Arial"/>
          <w:sz w:val="19"/>
          <w:szCs w:val="19"/>
          <w:u w:val="single" w:color="auto"/>
          <w:color w:val="auto"/>
        </w:rPr>
        <w:t>Indemnification of Officers</w:t>
      </w:r>
      <w:r>
        <w:rPr>
          <w:rFonts w:ascii="Arial" w:cs="Arial" w:eastAsia="Arial" w:hAnsi="Arial"/>
          <w:sz w:val="19"/>
          <w:szCs w:val="19"/>
          <w:color w:val="auto"/>
        </w:rPr>
        <w:t>. To the greatest extent allowed by the Act, the Officers shall not be liable to the Company or any Member because any taxing authorities disallow or adjust income, deduction or credits in the Company tax returns. Furthermore, the Officers shall not have any liability for the repayment of the capital contributions of any Member. In addition, the doing of any act or the omission to do any act by the Officers the effect of which may cause or result in loss or damage to the Company, if done in good faith and otherwise in accordance with the terms of this Agreement, shall not subject the Officers or their successors and assigns to any liability to the greatest extent allowed by the Act. To the greatest extent allowed by the Act, the Company will indemnify and hold harmless the Officers and their successors, delegees and assigns from any claim, loss, expense, liability, action or damage resulting from any such act or omission, including reasonable costs and expenses of litigation and appeal of such litigation (including reasonable fees and expenses of attorneys engaged by any of the Officers in defense of such act or omission), but the Officers shall not be entitled to be indemnified or held harmless due to, or arising from, their fraud, gross negligence, bad faith or willful malfeasance. Provided that the same is reflected in the Approved Budget, the Company may purchase and maintain insurance covering liability as may be asserted or awarded against the Persons indemnified hereunder, whether or not the Company would have the obligation to indemnify the Person against the liability under the provisions hereof. Notwithstanding anything herein to the contrary, (i) the foregoing indemnification is limited to liabilities that are not already covered by any existing insurance policy (whether such policy is owned by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306" w:name="page307"/>
    <w:bookmarkEnd w:id="306"/>
    <w:p>
      <w:pPr>
        <w:jc w:val="both"/>
        <w:ind w:firstLine="8"/>
        <w:spacing w:after="0" w:line="253" w:lineRule="auto"/>
        <w:tabs>
          <w:tab w:leader="none" w:pos="348" w:val="left"/>
        </w:tabs>
        <w:numPr>
          <w:ilvl w:val="0"/>
          <w:numId w:val="323"/>
        </w:numPr>
        <w:rPr>
          <w:rFonts w:ascii="Arial" w:cs="Arial" w:eastAsia="Arial" w:hAnsi="Arial"/>
          <w:sz w:val="22"/>
          <w:szCs w:val="22"/>
          <w:color w:val="auto"/>
        </w:rPr>
      </w:pPr>
      <w:r>
        <w:rPr>
          <w:rFonts w:ascii="Arial" w:cs="Arial" w:eastAsia="Arial" w:hAnsi="Arial"/>
          <w:sz w:val="22"/>
          <w:szCs w:val="22"/>
          <w:color w:val="auto"/>
        </w:rPr>
        <w:t xml:space="preserve">such indemnity will be funded from Available Cash Flow until the Tax Equity Funding Date, and (ii) thereafter shall be sourced by Capital Contributions from the Members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based on their respective Specified Share and shall not limit the ability of the Company to make distributions from Available Cash Flow pursuant to Section 5.1(a).</w:t>
      </w:r>
    </w:p>
    <w:p>
      <w:pPr>
        <w:spacing w:after="0" w:line="18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g.</w:t>
      </w:r>
      <w:r>
        <w:rPr>
          <w:sz w:val="20"/>
          <w:szCs w:val="20"/>
          <w:color w:val="auto"/>
        </w:rPr>
        <w:tab/>
      </w:r>
      <w:r>
        <w:rPr>
          <w:rFonts w:ascii="Arial" w:cs="Arial" w:eastAsia="Arial" w:hAnsi="Arial"/>
          <w:sz w:val="19"/>
          <w:szCs w:val="19"/>
          <w:u w:val="single" w:color="auto"/>
          <w:color w:val="auto"/>
        </w:rPr>
        <w:t>Approved Budgets</w:t>
      </w:r>
      <w:r>
        <w:rPr>
          <w:rFonts w:ascii="Arial" w:cs="Arial" w:eastAsia="Arial" w:hAnsi="Arial"/>
          <w:sz w:val="19"/>
          <w:szCs w:val="19"/>
          <w:color w:val="auto"/>
        </w:rPr>
        <w:t>.</w:t>
      </w:r>
    </w:p>
    <w:p>
      <w:pPr>
        <w:spacing w:after="0" w:line="22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Manager shall prepare or cause to be prepared for each Fiscal Year of the Company and the Pinnacle Project Company an operating budget on a consolidated basis setting forth the anticipated revenues and expenses of the Company and the Pinnacle Project Company for such Fiscal Year. For each Fiscal Year, the Manager shall, not later than the first day of the month preceding the month in which the then current Fiscal Year ends (currently November 1), submit the proposed operating budget for such succeeding Fiscal Year to the Members for their review. If the aggregate expense amount reflected in the proposed operating budget is not more than [***]% above the annual spending projected in the Base Case Model for the applicable Fiscal Year and [***]% above the aggregate expense amount reflected in the Approved Budget for the previous Fiscal Year (and in each case, does not include expenditures exceeding $[***] in aggregate of a type not included in the Base Case Model for the applicable Fiscal Year or in the Approved Budget for the previous Fiscal Year, as the case may be), then the Consent of the Members shall not be required and such proposed operating budget shall be deemed approved by all of the Members. If such Consent of the Members is required and if either the Consent of the Members is received or if no Member objects to such proposed operating budget by the last day of the month preceding the month in which the then current Fiscal Year ends (currently November 30), then not later than such date, such operating budget shall be deemed approved by all of the Members (each budget as attached hereto, approved or deemed approved, an “</w:t>
      </w:r>
      <w:r>
        <w:rPr>
          <w:rFonts w:ascii="Arial" w:cs="Arial" w:eastAsia="Arial" w:hAnsi="Arial"/>
          <w:sz w:val="19"/>
          <w:szCs w:val="19"/>
          <w:b w:val="1"/>
          <w:bCs w:val="1"/>
          <w:color w:val="auto"/>
        </w:rPr>
        <w:t>Approved Budget</w:t>
      </w:r>
      <w:r>
        <w:rPr>
          <w:rFonts w:ascii="Arial" w:cs="Arial" w:eastAsia="Arial" w:hAnsi="Arial"/>
          <w:sz w:val="19"/>
          <w:szCs w:val="19"/>
          <w:color w:val="auto"/>
        </w:rPr>
        <w:t>”). If the Consent of the Members is required and not obtained as provided above, then the Manager shall prepare or cause to be prepared a revised operating budget, which shall be submitted to the Members for their approval as set forth in the preceding sentences, and, upon final approval of such operating budget by the Consent of the Members, such budget shall become an Approved Budget hereunder. To the extent that amounts relating to any items of a proposed budget are not approved, the corresponding amounts for the items in the previous Fiscal Year’s Approved Budget will continue as part of the Approved Budget for such year, until a more current amount for such item is approved in accordance with this Section 6.7. The Manager may from time to time during the Fiscal Year propose to amend the Approved Budget to decrease expected expenditures, or, subject to Section 6.2(b)(xiv), to increase expected expenditures and as so amended, any such amended budget shall be the Approved Budget 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RIGHTS AND RESPONSIBILITIES OF MEMBERS</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rights and responsibilities of the Members shall be as provided in the Delaware Certificate, this Agreement and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307" w:name="page308"/>
    <w:bookmarkEnd w:id="307"/>
    <w:p>
      <w:pPr>
        <w:spacing w:after="0" w:line="20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Member Consent</w:t>
      </w:r>
      <w:r>
        <w:rPr>
          <w:rFonts w:ascii="Arial" w:cs="Arial" w:eastAsia="Arial" w:hAnsi="Arial"/>
          <w:sz w:val="19"/>
          <w:szCs w:val="19"/>
          <w:color w:val="auto"/>
        </w:rPr>
        <w: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Except as provided in Section 6.2(b) and as otherwise expressly provided in this Agreement, the Consent of the Members shall constitute the approval by, or the authorization of, any action by or on behalf of the Company that requires a vote, consent, approval or action of or an election by the Members; provided, that, without the prior written approval of each Member adversely affected thereby, no such consent shall (a) modify the limited liability of a Member; (b) require a Member to provide funds to the Company, by loan, contribution or otherwise (or amend any of the conditions to making any loan or contribution); (c) alter the interest of any Member in Capital Accounts, Company Items, PTCs, distributions of Available Cash Flow; or (d) amend, supplement or otherwise modify Section 6.2(b), or this Section 7.2, or, in each case, any of the definitions of capitalized terms used therein.</w:t>
      </w:r>
    </w:p>
    <w:p>
      <w:pPr>
        <w:spacing w:after="0" w:line="19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Member Liability</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48" w:lineRule="auto"/>
        <w:rPr>
          <w:sz w:val="20"/>
          <w:szCs w:val="20"/>
          <w:color w:val="auto"/>
        </w:rPr>
      </w:pPr>
      <w:r>
        <w:rPr>
          <w:rFonts w:ascii="Arial" w:cs="Arial" w:eastAsia="Arial" w:hAnsi="Arial"/>
          <w:sz w:val="22"/>
          <w:szCs w:val="22"/>
          <w:color w:val="auto"/>
        </w:rPr>
        <w:t>(i)To the fullest extent permitted under the Act and any other applicable Law as currently or hereafter in effect, no Member shall have any personal liability whatsoever, whether to the Company or to its creditors for the debts, obligations, expenses or liabilities of the Company, whether arising in contract, tort or otherwise, which shall be solely the debts, obligations, expenses or liabilities of the Company, or for any of its losses, in excess of the value of such Member’s Capital Account, except as expressly provided herein.</w:t>
      </w:r>
    </w:p>
    <w:p>
      <w:pPr>
        <w:spacing w:after="0" w:line="192" w:lineRule="exact"/>
        <w:rPr>
          <w:sz w:val="20"/>
          <w:szCs w:val="20"/>
          <w:color w:val="auto"/>
        </w:rPr>
      </w:pPr>
    </w:p>
    <w:p>
      <w:pPr>
        <w:jc w:val="both"/>
        <w:ind w:firstLine="384"/>
        <w:spacing w:after="0" w:line="247" w:lineRule="auto"/>
        <w:rPr>
          <w:sz w:val="20"/>
          <w:szCs w:val="20"/>
          <w:color w:val="auto"/>
        </w:rPr>
      </w:pPr>
      <w:r>
        <w:rPr>
          <w:rFonts w:ascii="Arial" w:cs="Arial" w:eastAsia="Arial" w:hAnsi="Arial"/>
          <w:sz w:val="22"/>
          <w:szCs w:val="22"/>
          <w:color w:val="auto"/>
        </w:rPr>
        <w:t>(ii)A Member shall be liable only to make its Capital Contributions as provided herein and, other than as specifically provided in Section 12.3, shall not be required to restore a deficit balance in its Capital Account. Except as provided in Section 3.3 no Member shall be required to make any additional contributions or to lend any funds to the Company. The failure of the Company to observe any formalities or requirements relating to the exercise of its powers or management of its business or affairs under this Agreement or the Act shall not be grounds for imposing personal liability on the Members or the Manager for liabilities of the Company.</w:t>
      </w:r>
    </w:p>
    <w:p>
      <w:pPr>
        <w:spacing w:after="0" w:line="19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9"/>
          <w:szCs w:val="19"/>
          <w:color w:val="auto"/>
        </w:rPr>
        <w:t>(iii)To the fullest extent permitted by Law, each Member and its respective officers, directors, managers, employees and attorneys shall be exculpated from, and the Company shall indemnify, defend and hold harmless such Persons from and against, all Damages from Third Parties that result by virtue of the Member’s ownership of its Membership Interest; provided, however, that this indemnity does not apply: (i) to Damages that are attributable to the proven gross negligence, willful misconduct or fraud of such Person, violation of Law or breach of such Member’s obligations under this Agreement, or (ii) to a Member acting in a capacity other than solely as a Member, in the event that any such Claim is asserted against any Member in its capacity in more than one role (such as, for the avoidance of doubt, the Class A Member’s role as Member and Manager).</w:t>
      </w:r>
    </w:p>
    <w:p>
      <w:pPr>
        <w:spacing w:after="0" w:line="151" w:lineRule="exact"/>
        <w:rPr>
          <w:sz w:val="20"/>
          <w:szCs w:val="20"/>
          <w:color w:val="auto"/>
        </w:rPr>
      </w:pPr>
    </w:p>
    <w:p>
      <w:pPr>
        <w:jc w:val="both"/>
        <w:ind w:firstLine="336"/>
        <w:spacing w:after="0" w:line="312" w:lineRule="auto"/>
        <w:rPr>
          <w:sz w:val="20"/>
          <w:szCs w:val="20"/>
          <w:color w:val="auto"/>
        </w:rPr>
      </w:pPr>
      <w:r>
        <w:rPr>
          <w:rFonts w:ascii="Arial" w:cs="Arial" w:eastAsia="Arial" w:hAnsi="Arial"/>
          <w:sz w:val="19"/>
          <w:szCs w:val="19"/>
          <w:color w:val="auto"/>
        </w:rPr>
        <w:t>(iv)To the fullest extent permitted by Law, reasonable and documented expenses actually incurred by an indemnified Person under this Section 7.3 shall, from time to time, be advanced by or on behalf of the Company from Available Cash Flow, prior to the final disposition of any matter upon receipt by the Company of an undertaking from a Person with sufficient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40" w:right="339" w:bottom="1440" w:gutter="0" w:footer="0" w:header="0"/>
        </w:sectPr>
      </w:pPr>
    </w:p>
    <w:bookmarkStart w:id="308" w:name="page309"/>
    <w:bookmarkEnd w:id="308"/>
    <w:p>
      <w:pPr>
        <w:jc w:val="both"/>
        <w:spacing w:after="0" w:line="263" w:lineRule="auto"/>
        <w:rPr>
          <w:sz w:val="20"/>
          <w:szCs w:val="20"/>
          <w:color w:val="auto"/>
        </w:rPr>
      </w:pPr>
      <w:r>
        <w:rPr>
          <w:rFonts w:ascii="Arial" w:cs="Arial" w:eastAsia="Arial" w:hAnsi="Arial"/>
          <w:sz w:val="22"/>
          <w:szCs w:val="22"/>
          <w:color w:val="auto"/>
        </w:rPr>
        <w:t>capacity to repay such amount if it shall be determined that the indemnified Person is not entitled to be indemnified under this Agreement.</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Withdrawal</w:t>
      </w:r>
      <w:r>
        <w:rPr>
          <w:rFonts w:ascii="Arial" w:cs="Arial" w:eastAsia="Arial" w:hAnsi="Arial"/>
          <w:sz w:val="19"/>
          <w:szCs w:val="19"/>
          <w:color w:val="auto"/>
        </w:rPr>
        <w:t>.</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Except as otherwise provided in this Agreement, no Member shall be entitled to: (a) voluntarily withdraw or resign from the Company; (b) withdraw any part of such Member’s Capital Contributions from the Company; (c) demand the return of such Member’s Capital Contributions; or (d) receive property other than cash in return for such Member’s Capital Contribution.</w:t>
      </w:r>
    </w:p>
    <w:p>
      <w:pPr>
        <w:spacing w:after="0" w:line="13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19"/>
          <w:szCs w:val="19"/>
          <w:u w:val="single" w:color="auto"/>
          <w:color w:val="auto"/>
        </w:rPr>
        <w:t>Member Compensation</w:t>
      </w:r>
      <w:r>
        <w:rPr>
          <w:rFonts w:ascii="Arial" w:cs="Arial" w:eastAsia="Arial" w:hAnsi="Arial"/>
          <w:sz w:val="19"/>
          <w:szCs w:val="19"/>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 Member shall receive any interest, compensation or drawing with respect to its Capital Contributions or its Capital Account or for services rendered on behalf of the Company or otherwise in its capacity as a Member, except as otherwise provided in this Agreement.</w:t>
      </w:r>
    </w:p>
    <w:p>
      <w:pPr>
        <w:spacing w:after="0" w:line="18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f.</w:t>
      </w:r>
      <w:r>
        <w:rPr>
          <w:sz w:val="20"/>
          <w:szCs w:val="20"/>
          <w:color w:val="auto"/>
        </w:rPr>
        <w:tab/>
      </w:r>
      <w:r>
        <w:rPr>
          <w:rFonts w:ascii="Arial" w:cs="Arial" w:eastAsia="Arial" w:hAnsi="Arial"/>
          <w:sz w:val="19"/>
          <w:szCs w:val="19"/>
          <w:u w:val="single" w:color="auto"/>
          <w:color w:val="auto"/>
        </w:rPr>
        <w:t>Other Ventures</w:t>
      </w:r>
      <w:r>
        <w:rPr>
          <w:rFonts w:ascii="Arial" w:cs="Arial" w:eastAsia="Arial" w:hAnsi="Arial"/>
          <w:sz w:val="19"/>
          <w:szCs w:val="19"/>
          <w:color w:val="auto"/>
        </w:rPr>
        <w:t>.</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Notwithstanding any other provision of this Agreement or any duty existing at law or in equity, the Members and their respective Affiliates at any time and from time to time may engage in and possess interests in other business ventures of any and every type and description, including other business ventures competitive with, or of the same type and description as, the Company and the Pinnacle Project Company, independently or with others, as long as such venture does not cause the Pinnacle Project Company to cease to hold any Energy Regulatory Approval or to become subject to regulation under PUHCA, other than with respect to regulations pertaining to maintaining EWG status, in each case with no obligation to offer to the Pinnacle Project Company, the Company, any Member or any of their respective Affiliates the right to participate in, or share the results or profits of, those activities (even if those activities may be made possible or more profitable by reason of the Company’s or the Pinnacle Project Company’s activities), except any activity that would cause a Member to be a Related Party.</w:t>
      </w:r>
    </w:p>
    <w:p>
      <w:pPr>
        <w:spacing w:after="0" w:line="15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g.</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85" w:lineRule="auto"/>
        <w:rPr>
          <w:sz w:val="20"/>
          <w:szCs w:val="20"/>
          <w:color w:val="auto"/>
        </w:rPr>
      </w:pPr>
      <w:r>
        <w:rPr>
          <w:rFonts w:ascii="Arial" w:cs="Arial" w:eastAsia="Arial" w:hAnsi="Arial"/>
          <w:sz w:val="19"/>
          <w:szCs w:val="19"/>
          <w:color w:val="auto"/>
        </w:rPr>
        <w:t>(i)With respect to each of the Company, the Members and the Manager, except to the extent necessary for the exercise of its rights and remedies and the performance of its obligations under this Agreement, the Company, such Member and the Manager will not itself use or intentionally disclose (and will not permit the use or disclosure by any of its Affiliates, any of the officers, directors or employees of it or its Affiliates (collectively, “</w:t>
      </w:r>
      <w:r>
        <w:rPr>
          <w:rFonts w:ascii="Arial" w:cs="Arial" w:eastAsia="Arial" w:hAnsi="Arial"/>
          <w:sz w:val="19"/>
          <w:szCs w:val="19"/>
          <w:b w:val="1"/>
          <w:bCs w:val="1"/>
          <w:color w:val="auto"/>
        </w:rPr>
        <w:t>Representative</w:t>
      </w:r>
      <w:r>
        <w:rPr>
          <w:rFonts w:ascii="Arial" w:cs="Arial" w:eastAsia="Arial" w:hAnsi="Arial"/>
          <w:sz w:val="19"/>
          <w:szCs w:val="19"/>
          <w:color w:val="auto"/>
        </w:rPr>
        <w:t>s”), or any of its advisors, counsel and public accountants (collectively, “</w:t>
      </w:r>
      <w:r>
        <w:rPr>
          <w:rFonts w:ascii="Arial" w:cs="Arial" w:eastAsia="Arial" w:hAnsi="Arial"/>
          <w:sz w:val="19"/>
          <w:szCs w:val="19"/>
          <w:b w:val="1"/>
          <w:bCs w:val="1"/>
          <w:color w:val="auto"/>
        </w:rPr>
        <w:t>Advisors</w:t>
      </w:r>
      <w:r>
        <w:rPr>
          <w:rFonts w:ascii="Arial" w:cs="Arial" w:eastAsia="Arial" w:hAnsi="Arial"/>
          <w:sz w:val="19"/>
          <w:szCs w:val="19"/>
          <w:color w:val="auto"/>
        </w:rPr>
        <w:t>”)), directly or indirectly, any of the terms and conditions of the Transaction Documents, this Agreement or other information in respect of the transactions contemplated hereby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provided, that</w:t>
      </w:r>
    </w:p>
    <w:p>
      <w:pPr>
        <w:jc w:val="both"/>
        <w:ind w:firstLine="8"/>
        <w:spacing w:after="0" w:line="262" w:lineRule="auto"/>
        <w:tabs>
          <w:tab w:leader="none" w:pos="313" w:val="left"/>
        </w:tabs>
        <w:numPr>
          <w:ilvl w:val="0"/>
          <w:numId w:val="324"/>
        </w:numPr>
        <w:rPr>
          <w:rFonts w:ascii="Arial" w:cs="Arial" w:eastAsia="Arial" w:hAnsi="Arial"/>
          <w:sz w:val="21"/>
          <w:szCs w:val="21"/>
          <w:color w:val="auto"/>
        </w:rPr>
      </w:pPr>
      <w:r>
        <w:rPr>
          <w:rFonts w:ascii="Arial" w:cs="Arial" w:eastAsia="Arial" w:hAnsi="Arial"/>
          <w:sz w:val="21"/>
          <w:szCs w:val="21"/>
          <w:color w:val="auto"/>
        </w:rPr>
        <w:t>the Company, any such Member, the Manager and its Affiliates, Representatives and Advisors may use and disclose Confidential Information to its Affiliates, Representatives and Advisors and to the Company, any other Member, the Manager and its Affiliates, Representatives and Advisors provided such use or disclosure is in connection with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309" w:name="page310"/>
    <w:bookmarkEnd w:id="309"/>
    <w:p>
      <w:pPr>
        <w:jc w:val="both"/>
        <w:spacing w:after="0" w:line="283" w:lineRule="auto"/>
        <w:rPr>
          <w:sz w:val="20"/>
          <w:szCs w:val="20"/>
          <w:color w:val="auto"/>
        </w:rPr>
      </w:pPr>
      <w:r>
        <w:rPr>
          <w:rFonts w:ascii="Arial" w:cs="Arial" w:eastAsia="Arial" w:hAnsi="Arial"/>
          <w:sz w:val="19"/>
          <w:szCs w:val="19"/>
          <w:color w:val="auto"/>
        </w:rPr>
        <w:t>administration of its interests under this Agreement, (ii) the Company, any such Member, the Manager and its Affiliates, Representatives and Advisors may disclose Confidential Information to any Governmental Authority having jurisdiction over the Company, such Member, the Manager or its Affiliates or as may be required by law, (iii) the Company, any such Member, the Manager and its Affiliates, Representatives and Advisors may use and disclose Confidential Information that (A) has been publicly disclosed or is publicly known (other than by the Company, such Member, the Manager or any of its Affiliates, Representatives or Advisors in breach of this Section 7.7), (B) has come into the possession of the Company, such Member, the Manager or any of its Affiliates, Representatives or Advisors other than from the Company, another Member or a Person acting on such other Member’s behalf or the Manager under circumstances not involving to the knowledge of the Company, such Member or the Manager any breach of any confidentiality obligation, or (C) has been independently developed by the Company, such Member, the Manager or any of its Affiliates, Representatives or Advisors without use of information obtained under this Agreement, (iv) to the extent that such disclosure is (A) required by law, a subpoena or any other applicable legal process or (B) by request of any Governmental Authority having jurisdiction over such Party or its Affiliates, any stock exchange on which such Party’s or its Affiliates Securities are traded or any self-regulatory body having jurisdiction over such Party (including, to the extent applicable, the Financial Industry Regulatory Authority, Inc.), the Company, such Member, the Manager or its Affiliates may disclose Confidential Information provided that in such case the Company, such Member and the Manager shall, unless otherwise prohibited by law, (1) give prompt notice to the Company, the other Members or Manager that such disclosure is or may be required and (2) cooperate in protecting such confidential or proprietary nature of the Confidential Information which must so be disclosed; provided that no such notification shall be required in respect of any disclosure to FERC, any Energy Regulatory Authority or bank, insurance or financial industry regulatory authorities having jurisdiction over the Company, such Member, the Manager or its Affiliates, (v) disclosures to lenders, potential lenders, potential tax equity investors or other Persons providing financing to the Company or the Pinnacle Project Company or any other subsidiary of the Company or to their respective representatives and advisors, the Company, any Member, the Manager or its Affiliates and potential purchasers of equity interests in the Company, the Company, any Member, the Manager or its Affiliates are permitted, any Person to which such Member sells or offers to sell its investment in the Company or any portion thereof, if such Persons have agreed to abide by the terms of this Section 7.7 or have otherwise entered into an agreement with restrictions on disclosure substantially similar to the terms of this Section 7.7 (or in the case of advisors, are otherwise bound by professional or legal obligations of confidentiality), (vi) the Company, any such Member, the Manager and its Affiliates, Representatives and Advisors may disclose Confidential Information, and make such filings, as may be required by this Agreement or the Transaction Documents, (vii) any Member which is an insurance company or an Affiliate thereof may disclose such information to the National Association of Insurance Commissioners and any rating agency requiring access to its portfolio, (viii) any Member and its Affiliates, Representatives and Advisors may disclose Confidential Information relating to the Pinnacle Project (but not Confidential Information relating to any other Member) to lenders, potential lenders, potential tax equity investors or other Persons providing financing to any Person developing or proposing to develop or construct the Pinnacle Project and potential purchasers of equity interests in such Person or potential power or REC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310" w:name="page311"/>
    <w:bookmarkEnd w:id="310"/>
    <w:p>
      <w:pPr>
        <w:jc w:val="both"/>
        <w:spacing w:after="0" w:line="287" w:lineRule="auto"/>
        <w:rPr>
          <w:sz w:val="20"/>
          <w:szCs w:val="20"/>
          <w:color w:val="auto"/>
        </w:rPr>
      </w:pPr>
      <w:r>
        <w:rPr>
          <w:rFonts w:ascii="Arial" w:cs="Arial" w:eastAsia="Arial" w:hAnsi="Arial"/>
          <w:sz w:val="19"/>
          <w:szCs w:val="19"/>
          <w:color w:val="auto"/>
        </w:rPr>
        <w:t>purchasers from such Persons, or to any Person in connection with the operation of the Pinnacle Project if, in each case described in this clause (viii), such Persons have agreed to abide by the terms of this Section 7.7 or have otherwise entered into a Contract with restrictions on disclosure substantially the same (and for not less than two (2) years in duration) as the terms of this Section 7.7 (or in the case of Advisors, are otherwise bound by professional or legal obligations of confidentiality), and (ix) any such Member may disclose Confidential Information to the IRS or any state taxing authority in connection with any communication regarding the tax consequences of the Pinnacle Project, the Pinnacle Project Company’s ownership and operation of the Pinnacle Project or such Member’s ownership of an interest in the Company; provided that such Member shall, as soon as practicable, notify the other Members of such disclosure, furnish a copy of any written material provided to the IRS or any state taxing authority to the other Members and, if practicable, afford the other Members reasonable opportunity to comment on the proposed disclosure (but for the avoidance of doubt the other Members will not have the right to consent to such proposed disclosure). A Member’s obligations pursuant to this Article VII shall survive the Transfer of its Units.</w:t>
      </w:r>
    </w:p>
    <w:p>
      <w:pPr>
        <w:spacing w:after="0" w:line="163" w:lineRule="exact"/>
        <w:rPr>
          <w:sz w:val="20"/>
          <w:szCs w:val="20"/>
          <w:color w:val="auto"/>
        </w:rPr>
      </w:pPr>
    </w:p>
    <w:p>
      <w:pPr>
        <w:jc w:val="both"/>
        <w:ind w:firstLine="384"/>
        <w:spacing w:after="0" w:line="286" w:lineRule="auto"/>
        <w:rPr>
          <w:sz w:val="20"/>
          <w:szCs w:val="20"/>
          <w:color w:val="auto"/>
        </w:rPr>
      </w:pPr>
      <w:r>
        <w:rPr>
          <w:rFonts w:ascii="Arial" w:cs="Arial" w:eastAsia="Arial" w:hAnsi="Arial"/>
          <w:sz w:val="19"/>
          <w:szCs w:val="19"/>
          <w:color w:val="auto"/>
        </w:rPr>
        <w:t>(ii)The foregoing obligations shall not apply to the tax treatment or tax structure of the transactions contemplated hereby and each Member (and any employee, representative, or agent of any Member) may disclose to any and all Persons of any kind, the tax treatment and tax structure of the transactions contemplated hereby and all other materials of any kind (including opinions or other tax analysis) that are provided to any Member relating to such tax treatment and tax structure (all such information that may be disclosed being the “</w:t>
      </w:r>
      <w:r>
        <w:rPr>
          <w:rFonts w:ascii="Arial" w:cs="Arial" w:eastAsia="Arial" w:hAnsi="Arial"/>
          <w:sz w:val="19"/>
          <w:szCs w:val="19"/>
          <w:b w:val="1"/>
          <w:bCs w:val="1"/>
          <w:color w:val="auto"/>
        </w:rPr>
        <w:t>Tax Information</w:t>
      </w:r>
      <w:r>
        <w:rPr>
          <w:rFonts w:ascii="Arial" w:cs="Arial" w:eastAsia="Arial" w:hAnsi="Arial"/>
          <w:sz w:val="19"/>
          <w:szCs w:val="19"/>
          <w:color w:val="auto"/>
        </w:rPr>
        <w:t>”). However, any such Tax Information is required to be kept confidential to the extent necessary to comply with any applicable securities laws. The preceding sentences are intended to cause the transactions contemplated hereby not to be treated as having been offered under conditions of confidentiality for purposes of Treasury Regulations Sections 1.6011 4(b)(3) and 301.6111 2(a)(2)(ii) and shall be construed in a manner consistent with such purpose. For purposes of this provision, the Tax Information includes only those facts that may be relevant to understanding the purported or claimed U.S. federal income tax treatment or tax structure of the transactions contemplated hereby and, to eliminate any doubt, therefore specifically does not include information that either reveals or standing alone or in the aggregate with other information so disclosed tends of itself to reveal or allow the recipient of the information to ascertain the identity of the Company or any Member or the Class B Member (or potential member), or any other third parties involved in any of the transactions contemplated hereby or any other potential transactions with any of the foregoing.</w:t>
      </w:r>
    </w:p>
    <w:p>
      <w:pPr>
        <w:spacing w:after="0" w:line="1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(iii)Except as otherwise permitted by this Section 7.7, no Member shall include in a press release or otherwise disclose (other than as required to be included in a filing to FERC, any Energy Regulatory Authority or any bank, insurance or financial industry regulatory authority having jurisdiction over such Member, its affiliates or permitted transferees) the name of any Member as an equity investor or potential equity investor or the name of any tax equity investor without the prior written consent of such Member or such tax equity investor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311" w:name="page312"/>
    <w:bookmarkEnd w:id="311"/>
    <w:p>
      <w:pPr>
        <w:jc w:val="both"/>
        <w:ind w:firstLine="336"/>
        <w:spacing w:after="0" w:line="289" w:lineRule="auto"/>
        <w:rPr>
          <w:sz w:val="20"/>
          <w:szCs w:val="20"/>
          <w:color w:val="auto"/>
        </w:rPr>
      </w:pPr>
      <w:r>
        <w:rPr>
          <w:rFonts w:ascii="Arial" w:cs="Arial" w:eastAsia="Arial" w:hAnsi="Arial"/>
          <w:sz w:val="19"/>
          <w:szCs w:val="19"/>
          <w:color w:val="auto"/>
        </w:rPr>
        <w:t>(iv)If the Company or any subsidiary thereof is required at any time to make any regulatory filing to the FERC or any Energy Regulatory Authority that identifies by name, or otherwise relates specifically to, any Member or any of its affiliates or permitted transferees, then the Company shall submit (or the Company shall cause its subsidiary to submit) an advance draft of such regulatory filing to such Member or its affiliate or permitted transferee, as applicable, as early as practicable in advance of the specified deadline imposed by FERC or such Energy Regulatory Authority or its regulations. Such Member (or its affiliate or permitted transferee, as applicable) shall have the right to provide comments to such regulatory filing as it relates to such Member (or its affiliate or permitted transferee), and the Company or its subsidiary shall incorporate or accommodate, prior to submitting such filing, such comments timely received. A Member’s failure to promptly provide such comments shall constitute approval of the making of such regulatory filing by the Company or subsidiary thereof.</w:t>
      </w:r>
    </w:p>
    <w:p>
      <w:pPr>
        <w:spacing w:after="0" w:line="157"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9"/>
          <w:szCs w:val="19"/>
          <w:color w:val="auto"/>
        </w:rPr>
        <w:t>(v)If any Member is required at any time to make any regulatory filing (other than a filing to any bank, insurance or financial industry regulatory authority having jurisdiction over such Member or its affiliates) that identifies by name, or otherwise relates specifically to, any other Member, then such Member shall submit an advance draft of the relevant portions of such regulatory filing to such other Member. Such other Member shall have the right to provide comments to such regulatory filing as it relates to such other Member, and the Member making such filing shall incorporate or accommodate, prior to submitting such filing, such reasonable comments. The Parties acknowledge and agree that from time to time a Member may be required to submit a regulatory filing or reporting that may be subject to the Freedom of Information Act.</w:t>
      </w:r>
    </w:p>
    <w:p>
      <w:pPr>
        <w:spacing w:after="0" w:line="15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h.</w:t>
      </w:r>
      <w:r>
        <w:rPr>
          <w:sz w:val="20"/>
          <w:szCs w:val="20"/>
          <w:color w:val="auto"/>
        </w:rPr>
        <w:tab/>
      </w:r>
      <w:r>
        <w:rPr>
          <w:rFonts w:ascii="Arial" w:cs="Arial" w:eastAsia="Arial" w:hAnsi="Arial"/>
          <w:sz w:val="19"/>
          <w:szCs w:val="19"/>
          <w:u w:val="single" w:color="auto"/>
          <w:color w:val="auto"/>
        </w:rPr>
        <w:t>Company Property</w:t>
      </w:r>
      <w:r>
        <w:rPr>
          <w:rFonts w:ascii="Arial" w:cs="Arial" w:eastAsia="Arial" w:hAnsi="Arial"/>
          <w:sz w:val="19"/>
          <w:szCs w:val="19"/>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property owned by the Company, whether real or personal, tangible or intangible and wherever located, shall be deemed to be owned by the Company, and no Member, individually, shall have any ownership of such property.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33"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ADMINISTRATIVE AND TAX MATTERS</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Intent for Income Tax Purposes</w:t>
      </w:r>
      <w:r>
        <w:rPr>
          <w:rFonts w:ascii="Arial" w:cs="Arial" w:eastAsia="Arial" w:hAnsi="Arial"/>
          <w:sz w:val="19"/>
          <w:szCs w:val="19"/>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Members intend that the Company be treated as a partnership for federal, state and local income tax purposes and that it be operated in a manner consistent with such treatment, but that the Company not be operated or treated as a “partnership” for any other purpose, including, but not limited to, Section 303 of the Federal Bankruptcy Code, and the provisions of this Agreement may not be construed to suggest otherwise.</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Books and Records; Bank Accounts; Company Procedures</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53" w:lineRule="auto"/>
        <w:rPr>
          <w:sz w:val="20"/>
          <w:szCs w:val="20"/>
          <w:color w:val="auto"/>
        </w:rPr>
      </w:pPr>
      <w:r>
        <w:rPr>
          <w:rFonts w:ascii="Arial" w:cs="Arial" w:eastAsia="Arial" w:hAnsi="Arial"/>
          <w:sz w:val="22"/>
          <w:szCs w:val="22"/>
          <w:color w:val="auto"/>
        </w:rPr>
        <w:t>(i)The Company’s books of account shall be prepared and maintained in accordance with GAAP for the type of business of the Company. The Manager shall cause to be kept, at the principal place of business of the Company, full, proper, complete and accurate ledgers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312" w:name="page313"/>
    <w:bookmarkEnd w:id="312"/>
    <w:p>
      <w:pPr>
        <w:spacing w:after="0" w:line="263" w:lineRule="auto"/>
        <w:rPr>
          <w:sz w:val="20"/>
          <w:szCs w:val="20"/>
          <w:color w:val="auto"/>
        </w:rPr>
      </w:pPr>
      <w:r>
        <w:rPr>
          <w:rFonts w:ascii="Arial" w:cs="Arial" w:eastAsia="Arial" w:hAnsi="Arial"/>
          <w:sz w:val="22"/>
          <w:szCs w:val="22"/>
          <w:color w:val="auto"/>
        </w:rPr>
        <w:t>books of account and records of all receipts and disbursements and other financial activities of the Company in accordance with prudent business practices and as required by Law, including the following documents:</w:t>
      </w:r>
    </w:p>
    <w:p>
      <w:pPr>
        <w:spacing w:after="0" w:line="175" w:lineRule="exact"/>
        <w:rPr>
          <w:sz w:val="20"/>
          <w:szCs w:val="20"/>
          <w:color w:val="auto"/>
        </w:rPr>
      </w:pPr>
    </w:p>
    <w:p>
      <w:pPr>
        <w:ind w:firstLine="1952"/>
        <w:spacing w:after="0" w:line="263" w:lineRule="auto"/>
        <w:tabs>
          <w:tab w:leader="none" w:pos="2587" w:val="left"/>
        </w:tabs>
        <w:numPr>
          <w:ilvl w:val="0"/>
          <w:numId w:val="325"/>
        </w:numPr>
        <w:rPr>
          <w:rFonts w:ascii="Arial" w:cs="Arial" w:eastAsia="Arial" w:hAnsi="Arial"/>
          <w:sz w:val="22"/>
          <w:szCs w:val="22"/>
          <w:color w:val="auto"/>
        </w:rPr>
      </w:pPr>
      <w:r>
        <w:rPr>
          <w:rFonts w:ascii="Arial" w:cs="Arial" w:eastAsia="Arial" w:hAnsi="Arial"/>
          <w:sz w:val="22"/>
          <w:szCs w:val="22"/>
          <w:color w:val="auto"/>
        </w:rPr>
        <w:t>A copy of the Delaware Certificate and all certificates of amendment thereto, together with executed copies of any powers of attorney pursuant to which any certificate has been executed;</w:t>
      </w:r>
    </w:p>
    <w:p>
      <w:pPr>
        <w:spacing w:after="0" w:line="174" w:lineRule="exact"/>
        <w:rPr>
          <w:rFonts w:ascii="Arial" w:cs="Arial" w:eastAsia="Arial" w:hAnsi="Arial"/>
          <w:sz w:val="22"/>
          <w:szCs w:val="22"/>
          <w:color w:val="auto"/>
        </w:rPr>
      </w:pPr>
    </w:p>
    <w:p>
      <w:pPr>
        <w:jc w:val="both"/>
        <w:ind w:firstLine="1952"/>
        <w:spacing w:after="0" w:line="312" w:lineRule="auto"/>
        <w:tabs>
          <w:tab w:leader="none" w:pos="2587" w:val="left"/>
        </w:tabs>
        <w:numPr>
          <w:ilvl w:val="0"/>
          <w:numId w:val="325"/>
        </w:numPr>
        <w:rPr>
          <w:rFonts w:ascii="Arial" w:cs="Arial" w:eastAsia="Arial" w:hAnsi="Arial"/>
          <w:sz w:val="19"/>
          <w:szCs w:val="19"/>
          <w:color w:val="auto"/>
        </w:rPr>
      </w:pPr>
      <w:r>
        <w:rPr>
          <w:rFonts w:ascii="Arial" w:cs="Arial" w:eastAsia="Arial" w:hAnsi="Arial"/>
          <w:sz w:val="19"/>
          <w:szCs w:val="19"/>
          <w:color w:val="auto"/>
        </w:rPr>
        <w:t>Copies of the Company’s and the Pinnacle Project Company’s and each other Company subsidiary’s federal, state and local income tax or information returns and reports, if any, for the six (6) most recent Taxable Years or, if later, until the statute of limitations expires on any IRS, state, or local tax audit of such returns or reports;</w:t>
      </w:r>
    </w:p>
    <w:p>
      <w:pPr>
        <w:spacing w:after="0" w:line="133" w:lineRule="exact"/>
        <w:rPr>
          <w:rFonts w:ascii="Arial" w:cs="Arial" w:eastAsia="Arial" w:hAnsi="Arial"/>
          <w:sz w:val="19"/>
          <w:szCs w:val="19"/>
          <w:color w:val="auto"/>
        </w:rPr>
      </w:pPr>
    </w:p>
    <w:p>
      <w:pPr>
        <w:ind w:left="2600" w:hanging="648"/>
        <w:spacing w:after="0"/>
        <w:tabs>
          <w:tab w:leader="none" w:pos="26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Copies of this Agreement and all amendments thereto;</w:t>
      </w:r>
    </w:p>
    <w:p>
      <w:pPr>
        <w:spacing w:after="0" w:line="219" w:lineRule="exact"/>
        <w:rPr>
          <w:rFonts w:ascii="Arial" w:cs="Arial" w:eastAsia="Arial" w:hAnsi="Arial"/>
          <w:sz w:val="22"/>
          <w:szCs w:val="22"/>
          <w:color w:val="auto"/>
        </w:rPr>
      </w:pPr>
    </w:p>
    <w:p>
      <w:pPr>
        <w:ind w:right="20" w:firstLine="1952"/>
        <w:spacing w:after="0" w:line="263" w:lineRule="auto"/>
        <w:tabs>
          <w:tab w:leader="none" w:pos="2587" w:val="left"/>
        </w:tabs>
        <w:numPr>
          <w:ilvl w:val="0"/>
          <w:numId w:val="325"/>
        </w:numPr>
        <w:rPr>
          <w:rFonts w:ascii="Arial" w:cs="Arial" w:eastAsia="Arial" w:hAnsi="Arial"/>
          <w:sz w:val="22"/>
          <w:szCs w:val="22"/>
          <w:color w:val="auto"/>
        </w:rPr>
      </w:pPr>
      <w:r>
        <w:rPr>
          <w:rFonts w:ascii="Arial" w:cs="Arial" w:eastAsia="Arial" w:hAnsi="Arial"/>
          <w:sz w:val="22"/>
          <w:szCs w:val="22"/>
          <w:color w:val="auto"/>
        </w:rPr>
        <w:t>Copies of the formation documents and operating agreement of the Pinnacle Project Company and each other subsidiary of the Company;</w:t>
      </w:r>
    </w:p>
    <w:p>
      <w:pPr>
        <w:spacing w:after="0" w:line="174"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325"/>
        </w:numPr>
        <w:rPr>
          <w:rFonts w:ascii="Arial" w:cs="Arial" w:eastAsia="Arial" w:hAnsi="Arial"/>
          <w:sz w:val="22"/>
          <w:szCs w:val="22"/>
          <w:color w:val="auto"/>
        </w:rPr>
      </w:pPr>
      <w:r>
        <w:rPr>
          <w:rFonts w:ascii="Arial" w:cs="Arial" w:eastAsia="Arial" w:hAnsi="Arial"/>
          <w:sz w:val="22"/>
          <w:szCs w:val="22"/>
          <w:color w:val="auto"/>
        </w:rPr>
        <w:t>Financial statements, including a balance sheet and statements of income (or loss), of the Company for, to the extent applicable, each of the six (6) most recent Fiscal Years, including quarterly and monthly internal financial statements of the Company;</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The Company’s books and records for at least the current and, to the extent applicable, the past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three (3) Fiscal Years;</w:t>
      </w:r>
    </w:p>
    <w:p>
      <w:pPr>
        <w:spacing w:after="0" w:line="201" w:lineRule="exact"/>
        <w:rPr>
          <w:rFonts w:ascii="Arial" w:cs="Arial" w:eastAsia="Arial" w:hAnsi="Arial"/>
          <w:sz w:val="19"/>
          <w:szCs w:val="19"/>
          <w:color w:val="auto"/>
        </w:rPr>
      </w:pPr>
    </w:p>
    <w:p>
      <w:pPr>
        <w:ind w:left="2600" w:hanging="648"/>
        <w:spacing w:after="0"/>
        <w:tabs>
          <w:tab w:leader="none" w:pos="26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the Register;</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minutes of meetings of the Members; and</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copies of all Transaction Documents.</w:t>
      </w:r>
    </w:p>
    <w:p>
      <w:pPr>
        <w:spacing w:after="0" w:line="220"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22"/>
          <w:szCs w:val="22"/>
          <w:color w:val="auto"/>
        </w:rPr>
        <w:t>(ii)The books of account of the Company shall be (i) maintained on the basis of a Fiscal Year and (ii) maintained on an accrual basis in accordance with GAAP.</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(iii)Funds of the Company shall be deposited in such banks or other depositories, and withdrawals from any such depository shall be made as determined by the Manager. All monies in bank accounts shall be retained in cash or invested in Permitted Investments.</w:t>
      </w:r>
    </w:p>
    <w:p>
      <w:pPr>
        <w:spacing w:after="0" w:line="185" w:lineRule="exact"/>
        <w:rPr>
          <w:sz w:val="20"/>
          <w:szCs w:val="20"/>
          <w:color w:val="auto"/>
        </w:rPr>
      </w:pPr>
    </w:p>
    <w:p>
      <w:pPr>
        <w:jc w:val="both"/>
        <w:ind w:right="20" w:firstLine="336"/>
        <w:spacing w:after="0" w:line="263" w:lineRule="auto"/>
        <w:rPr>
          <w:sz w:val="20"/>
          <w:szCs w:val="20"/>
          <w:color w:val="auto"/>
        </w:rPr>
      </w:pPr>
      <w:r>
        <w:rPr>
          <w:rFonts w:ascii="Arial" w:cs="Arial" w:eastAsia="Arial" w:hAnsi="Arial"/>
          <w:sz w:val="22"/>
          <w:szCs w:val="22"/>
          <w:color w:val="auto"/>
        </w:rPr>
        <w:t>(iv)The Manager shall cause the Company to maintain its existence separate and distinct from any other Person, including causing the Company to take the following actions:</w:t>
      </w:r>
    </w:p>
    <w:p>
      <w:pPr>
        <w:spacing w:after="0" w:line="175" w:lineRule="exact"/>
        <w:rPr>
          <w:sz w:val="20"/>
          <w:szCs w:val="20"/>
          <w:color w:val="auto"/>
        </w:rPr>
      </w:pPr>
    </w:p>
    <w:p>
      <w:pPr>
        <w:jc w:val="both"/>
        <w:ind w:firstLine="1952"/>
        <w:spacing w:after="0" w:line="265" w:lineRule="auto"/>
        <w:tabs>
          <w:tab w:leader="none" w:pos="2587" w:val="left"/>
        </w:tabs>
        <w:numPr>
          <w:ilvl w:val="0"/>
          <w:numId w:val="326"/>
        </w:numPr>
        <w:rPr>
          <w:rFonts w:ascii="Arial" w:cs="Arial" w:eastAsia="Arial" w:hAnsi="Arial"/>
          <w:sz w:val="21"/>
          <w:szCs w:val="21"/>
          <w:color w:val="auto"/>
        </w:rPr>
      </w:pPr>
      <w:r>
        <w:rPr>
          <w:rFonts w:ascii="Arial" w:cs="Arial" w:eastAsia="Arial" w:hAnsi="Arial"/>
          <w:sz w:val="21"/>
          <w:szCs w:val="21"/>
          <w:color w:val="auto"/>
        </w:rPr>
        <w:t>maintaining in full effect its existence, rights and franchises as a limited liability company under the laws of its jurisdiction of formation and obtaining and preserving its qualification to do business in each jurisdiction in which such qualification is or will be necessary to protect the validity and enforceability of its applicable operating agreement and each other Contract necessary or appropriate to properly administer its applicable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313" w:name="page314"/>
    <w:bookmarkEnd w:id="313"/>
    <w:p>
      <w:pPr>
        <w:spacing w:after="0"/>
        <w:rPr>
          <w:sz w:val="20"/>
          <w:szCs w:val="20"/>
          <w:color w:val="auto"/>
        </w:rPr>
      </w:pPr>
      <w:r>
        <w:rPr>
          <w:rFonts w:ascii="Arial" w:cs="Arial" w:eastAsia="Arial" w:hAnsi="Arial"/>
          <w:sz w:val="22"/>
          <w:szCs w:val="22"/>
          <w:color w:val="auto"/>
        </w:rPr>
        <w:t>agreement and permit and effectuate the transactions contemplated in its applicable operating agreement;</w:t>
      </w:r>
    </w:p>
    <w:p>
      <w:pPr>
        <w:spacing w:after="0" w:line="220" w:lineRule="exact"/>
        <w:rPr>
          <w:sz w:val="20"/>
          <w:szCs w:val="20"/>
          <w:color w:val="auto"/>
        </w:rPr>
      </w:pPr>
    </w:p>
    <w:p>
      <w:pPr>
        <w:ind w:firstLine="1952"/>
        <w:spacing w:after="0" w:line="263" w:lineRule="auto"/>
        <w:tabs>
          <w:tab w:leader="none" w:pos="2587" w:val="left"/>
        </w:tabs>
        <w:numPr>
          <w:ilvl w:val="0"/>
          <w:numId w:val="327"/>
        </w:numPr>
        <w:rPr>
          <w:rFonts w:ascii="Arial" w:cs="Arial" w:eastAsia="Arial" w:hAnsi="Arial"/>
          <w:sz w:val="22"/>
          <w:szCs w:val="22"/>
          <w:color w:val="auto"/>
        </w:rPr>
      </w:pPr>
      <w:r>
        <w:rPr>
          <w:rFonts w:ascii="Arial" w:cs="Arial" w:eastAsia="Arial" w:hAnsi="Arial"/>
          <w:sz w:val="22"/>
          <w:szCs w:val="22"/>
          <w:color w:val="auto"/>
        </w:rPr>
        <w:t>conducting its affairs separately from those of the Manager and its Affiliates and maintaining accurate and separate books and records;</w:t>
      </w:r>
    </w:p>
    <w:p>
      <w:pPr>
        <w:spacing w:after="0" w:line="174" w:lineRule="exact"/>
        <w:rPr>
          <w:rFonts w:ascii="Arial" w:cs="Arial" w:eastAsia="Arial" w:hAnsi="Arial"/>
          <w:sz w:val="22"/>
          <w:szCs w:val="22"/>
          <w:color w:val="auto"/>
        </w:rPr>
      </w:pPr>
    </w:p>
    <w:p>
      <w:pPr>
        <w:ind w:firstLine="1952"/>
        <w:spacing w:after="0" w:line="263" w:lineRule="auto"/>
        <w:tabs>
          <w:tab w:leader="none" w:pos="2587" w:val="left"/>
        </w:tabs>
        <w:numPr>
          <w:ilvl w:val="0"/>
          <w:numId w:val="327"/>
        </w:numPr>
        <w:rPr>
          <w:rFonts w:ascii="Arial" w:cs="Arial" w:eastAsia="Arial" w:hAnsi="Arial"/>
          <w:sz w:val="22"/>
          <w:szCs w:val="22"/>
          <w:color w:val="auto"/>
        </w:rPr>
      </w:pPr>
      <w:r>
        <w:rPr>
          <w:rFonts w:ascii="Arial" w:cs="Arial" w:eastAsia="Arial" w:hAnsi="Arial"/>
          <w:sz w:val="22"/>
          <w:szCs w:val="22"/>
          <w:color w:val="auto"/>
        </w:rPr>
        <w:t>acting solely in its own limited liability company name and not that of any other Person, including the Manager and its Affiliates;</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not holding itself out as having agreed to pay, or as being liable for, the obligations of any other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201" w:lineRule="exact"/>
        <w:rPr>
          <w:rFonts w:ascii="Arial" w:cs="Arial" w:eastAsia="Arial" w:hAnsi="Arial"/>
          <w:sz w:val="19"/>
          <w:szCs w:val="19"/>
          <w:color w:val="auto"/>
        </w:rPr>
      </w:pPr>
    </w:p>
    <w:p>
      <w:pPr>
        <w:ind w:left="2600" w:hanging="648"/>
        <w:spacing w:after="0"/>
        <w:tabs>
          <w:tab w:leader="none" w:pos="260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not commingling its Assets with those of any other Person;</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observing all limited liability company formalities required in this Agreement and the Delaware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Certificate;</w:t>
      </w:r>
    </w:p>
    <w:p>
      <w:pPr>
        <w:spacing w:after="0" w:line="201" w:lineRule="exact"/>
        <w:rPr>
          <w:rFonts w:ascii="Arial" w:cs="Arial" w:eastAsia="Arial" w:hAnsi="Arial"/>
          <w:sz w:val="19"/>
          <w:szCs w:val="19"/>
          <w:color w:val="auto"/>
        </w:rPr>
      </w:pPr>
    </w:p>
    <w:p>
      <w:pPr>
        <w:ind w:left="2600" w:hanging="648"/>
        <w:spacing w:after="0"/>
        <w:tabs>
          <w:tab w:leader="none" w:pos="260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paying the salaries of its own employees, if any;</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not acquiring obligations of its Members, the Manager or their respective Affiliates;</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holding itself out as a separate entity; and</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correcting any known misunderstanding regarding its separate identity.</w:t>
      </w:r>
    </w:p>
    <w:p>
      <w:pPr>
        <w:spacing w:after="0" w:line="22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Information and Access Rights</w:t>
      </w:r>
      <w:r>
        <w:rPr>
          <w:rFonts w:ascii="Arial" w:cs="Arial" w:eastAsia="Arial" w:hAnsi="Arial"/>
          <w:sz w:val="19"/>
          <w:szCs w:val="19"/>
          <w:color w:val="auto"/>
        </w:rPr>
        <w:t>.</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Members and their respective agents also will have the right, at their sole risk and expense and upon reasonable prior notice to the Manager, to inspect the Pinnacle Project, and the Company’s Assets at any time and to audit, examine and make copies of all relevant documents, books and records of the Company no more than twice per Taxable Year. Any such inspection will be conducted during normal business hours and so as not to unreasonably interfere with the business of the Manager. The foregoing rights may be exercised through any agent or employee of such Member designated in writing by it or by an independent public accountant, engineer, attorney or other consultant so designated. Any inspection of Pinnacle Project shall be subject to all restrictions and conditions included in the operating agreement of the Pinnacle Project Company</w:t>
      </w:r>
      <w:r>
        <w:rPr>
          <w:rFonts w:ascii="Arial" w:cs="Arial" w:eastAsia="Arial" w:hAnsi="Arial"/>
          <w:sz w:val="19"/>
          <w:szCs w:val="19"/>
          <w:b w:val="1"/>
          <w:bCs w:val="1"/>
          <w:i w:val="1"/>
          <w:iCs w:val="1"/>
          <w:color w:val="auto"/>
        </w:rPr>
        <w:t>.</w:t>
      </w:r>
    </w:p>
    <w:p>
      <w:pPr>
        <w:spacing w:after="0" w:line="15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Manager shall, at the Company’s expense, deliver, or caused to be delivered, to each Member, the following reports, information and consolidated financial statements for the Company and its consolidated subsidiaries, at the times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314" w:name="page315"/>
    <w:bookmarkEnd w:id="314"/>
    <w:p>
      <w:pPr>
        <w:jc w:val="both"/>
        <w:ind w:firstLine="444"/>
        <w:spacing w:after="0" w:line="248" w:lineRule="auto"/>
        <w:rPr>
          <w:sz w:val="20"/>
          <w:szCs w:val="20"/>
          <w:color w:val="auto"/>
        </w:rPr>
      </w:pPr>
      <w:r>
        <w:rPr>
          <w:rFonts w:ascii="Arial" w:cs="Arial" w:eastAsia="Arial" w:hAnsi="Arial"/>
          <w:sz w:val="22"/>
          <w:szCs w:val="22"/>
          <w:color w:val="auto"/>
        </w:rPr>
        <w:t>(i)Annually, within [***] days after the end of each Fiscal Year (and, for the avoidance of doubt, the first such Fiscal Year for which financial statements shall be delivered shall be the Fiscal Year ending December 31, 2020), unaudited consolidated financial statements for the Company and its consolidated subsidiaries prepared on a GAAP basis effective as of the end of the immediately-preceding year, including a consolidated balance sheet and consolidated statements of income, Members’ equity and changes in cash flows;</w:t>
      </w:r>
    </w:p>
    <w:p>
      <w:pPr>
        <w:spacing w:after="0" w:line="192" w:lineRule="exact"/>
        <w:rPr>
          <w:sz w:val="20"/>
          <w:szCs w:val="20"/>
          <w:color w:val="auto"/>
        </w:rPr>
      </w:pPr>
    </w:p>
    <w:p>
      <w:pPr>
        <w:jc w:val="both"/>
        <w:ind w:firstLine="384"/>
        <w:spacing w:after="0" w:line="297" w:lineRule="auto"/>
        <w:rPr>
          <w:sz w:val="20"/>
          <w:szCs w:val="20"/>
          <w:color w:val="auto"/>
        </w:rPr>
      </w:pPr>
      <w:r>
        <w:rPr>
          <w:rFonts w:ascii="Arial" w:cs="Arial" w:eastAsia="Arial" w:hAnsi="Arial"/>
          <w:sz w:val="19"/>
          <w:szCs w:val="19"/>
          <w:color w:val="auto"/>
        </w:rPr>
        <w:t>(ii)Quarterly within [***] days after the end of each Fiscal Quarter other than the fourth Fiscal Quarter, unaudited quarterly consolidated financial statements of the Company and its consolidated subsidiaries for the Fiscal Quarter and portion of the Fiscal Year then ended (including a balance sheet, income statement, statement of cash flows and statement of changes in Member’s capital schedule) all in reasonable detail and fairly presenting the consolidated financial position of the Company as of the end of such quarter, prepared on a GAAP basis, subject to lack of footnotes and normal year-end adjustment;</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(iii)Promptly following any request therefor, such other reports and information in the possession of the Manager as reasonably requested by the Members and such other reports reasonably requested by and paid for by the requesting Member to the extent external costs are incurred with respect to the preparation of such reports;</w:t>
      </w:r>
    </w:p>
    <w:p>
      <w:pPr>
        <w:spacing w:after="0" w:line="185" w:lineRule="exact"/>
        <w:rPr>
          <w:sz w:val="20"/>
          <w:szCs w:val="20"/>
          <w:color w:val="auto"/>
        </w:rPr>
      </w:pPr>
    </w:p>
    <w:p>
      <w:pPr>
        <w:jc w:val="both"/>
        <w:ind w:firstLine="336"/>
        <w:spacing w:after="0" w:line="253" w:lineRule="auto"/>
        <w:rPr>
          <w:sz w:val="20"/>
          <w:szCs w:val="20"/>
          <w:color w:val="auto"/>
        </w:rPr>
      </w:pPr>
      <w:r>
        <w:rPr>
          <w:rFonts w:ascii="Arial" w:cs="Arial" w:eastAsia="Arial" w:hAnsi="Arial"/>
          <w:sz w:val="22"/>
          <w:szCs w:val="22"/>
          <w:color w:val="auto"/>
        </w:rPr>
        <w:t>(iv)Promptly after such delivery, copies of all material reports or (without duplication of any other provisions of this Section 8.4) material notices delivered to or by the Company or the Pinnacle Project Company or any other subsidiary of the Company under any Transaction Document;</w:t>
      </w:r>
    </w:p>
    <w:p>
      <w:pPr>
        <w:spacing w:after="0" w:line="185"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22"/>
          <w:szCs w:val="22"/>
          <w:color w:val="auto"/>
        </w:rPr>
        <w:t>(v)[***] reports detailing for the Company and the Pinnacle Project (i) total expenditures, including Company Reimbursable Expenses, incurred by the Company; (ii) the amount of loan funds remaining under the Repowering Construction Financing; (iii) the amount of Capital Contributions of each Member expended and projected to be required in the ensuing ninety (90) day period; and (iv) the total equity percentages held in the Company by each of the Members at that time and as are projected based upon the aforesaid projected Capital Contributions; and</w:t>
      </w:r>
    </w:p>
    <w:p>
      <w:pPr>
        <w:spacing w:after="0" w:line="192" w:lineRule="exact"/>
        <w:rPr>
          <w:sz w:val="20"/>
          <w:szCs w:val="20"/>
          <w:color w:val="auto"/>
        </w:rPr>
      </w:pPr>
    </w:p>
    <w:p>
      <w:pPr>
        <w:jc w:val="both"/>
        <w:ind w:firstLine="336"/>
        <w:spacing w:after="0" w:line="253" w:lineRule="auto"/>
        <w:rPr>
          <w:sz w:val="20"/>
          <w:szCs w:val="20"/>
          <w:color w:val="auto"/>
        </w:rPr>
      </w:pPr>
      <w:r>
        <w:rPr>
          <w:rFonts w:ascii="Arial" w:cs="Arial" w:eastAsia="Arial" w:hAnsi="Arial"/>
          <w:sz w:val="22"/>
          <w:szCs w:val="22"/>
          <w:color w:val="auto"/>
        </w:rPr>
        <w:t>(vi)Within thirty (30) days after renewal, certificates of insurance evidencing fire, liabilities, workers’ compensation and other forms of insurance owned or held by or on behalf of the Company or the Pinnacle Project Company, and promptly following receipt, any notices of nonpayment of premium, nonrenewal or cancellation; and</w:t>
      </w:r>
    </w:p>
    <w:p>
      <w:pPr>
        <w:spacing w:after="0" w:line="185" w:lineRule="exact"/>
        <w:rPr>
          <w:sz w:val="20"/>
          <w:szCs w:val="20"/>
          <w:color w:val="auto"/>
        </w:rPr>
      </w:pPr>
    </w:p>
    <w:p>
      <w:pPr>
        <w:jc w:val="both"/>
        <w:ind w:firstLine="276"/>
        <w:spacing w:after="0" w:line="294" w:lineRule="auto"/>
        <w:rPr>
          <w:sz w:val="20"/>
          <w:szCs w:val="20"/>
          <w:color w:val="auto"/>
        </w:rPr>
      </w:pPr>
      <w:r>
        <w:rPr>
          <w:rFonts w:ascii="Arial" w:cs="Arial" w:eastAsia="Arial" w:hAnsi="Arial"/>
          <w:sz w:val="19"/>
          <w:szCs w:val="19"/>
          <w:color w:val="auto"/>
        </w:rPr>
        <w:t>(vii)[***], a copy of: (i) any amendment, modification, waiver or termination of any Transaction Documents; (ii) any new, or substitution or replacement of a Transaction Document; (iii) any new Contract between the Company or the Pinnacle Project Company or any other subsidiary of the Company and an Affiliate thereof and any amendment or modification of any existing Contract between the Company or the Pinnacle Project Company or any other subsidiary of the Company and an Affiliate thereof; and (iv) any new Contract having a term in excess of one year, or providing for payments by, or revenues to, the Company or the Pinnacle Project Company or any other subsidiary of the Company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8" w:right="339" w:bottom="1440" w:gutter="0" w:footer="0" w:header="0"/>
        </w:sectPr>
      </w:pPr>
    </w:p>
    <w:bookmarkStart w:id="315" w:name="page316"/>
    <w:bookmarkEnd w:id="315"/>
    <w:p>
      <w:pPr>
        <w:spacing w:after="0" w:line="20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19"/>
          <w:szCs w:val="19"/>
          <w:u w:val="single" w:color="auto"/>
          <w:color w:val="auto"/>
        </w:rPr>
        <w:t>Permitted Investments</w:t>
      </w:r>
      <w:r>
        <w:rPr>
          <w:rFonts w:ascii="Arial" w:cs="Arial" w:eastAsia="Arial" w:hAnsi="Arial"/>
          <w:sz w:val="19"/>
          <w:szCs w:val="19"/>
          <w:color w:val="auto"/>
        </w:rPr>
        <w:t>.</w:t>
      </w:r>
    </w:p>
    <w:p>
      <w:pPr>
        <w:spacing w:after="0" w:line="220" w:lineRule="exact"/>
        <w:rPr>
          <w:sz w:val="20"/>
          <w:szCs w:val="20"/>
          <w:color w:val="auto"/>
        </w:rPr>
      </w:pPr>
    </w:p>
    <w:p>
      <w:pPr>
        <w:ind w:firstLine="444"/>
        <w:spacing w:after="0" w:line="263" w:lineRule="auto"/>
        <w:rPr>
          <w:sz w:val="20"/>
          <w:szCs w:val="20"/>
          <w:color w:val="auto"/>
        </w:rPr>
      </w:pPr>
      <w:r>
        <w:rPr>
          <w:rFonts w:ascii="Arial" w:cs="Arial" w:eastAsia="Arial" w:hAnsi="Arial"/>
          <w:sz w:val="22"/>
          <w:szCs w:val="22"/>
          <w:color w:val="auto"/>
        </w:rPr>
        <w:t>(i)All cash of the Company may only be invested and reinvested in one of the following investment alternatives (“</w:t>
      </w:r>
      <w:r>
        <w:rPr>
          <w:rFonts w:ascii="Arial" w:cs="Arial" w:eastAsia="Arial" w:hAnsi="Arial"/>
          <w:sz w:val="22"/>
          <w:szCs w:val="22"/>
          <w:b w:val="1"/>
          <w:bCs w:val="1"/>
          <w:color w:val="auto"/>
        </w:rPr>
        <w:t>Permitted Investments</w:t>
      </w:r>
      <w:r>
        <w:rPr>
          <w:rFonts w:ascii="Arial" w:cs="Arial" w:eastAsia="Arial" w:hAnsi="Arial"/>
          <w:sz w:val="22"/>
          <w:szCs w:val="22"/>
          <w:color w:val="auto"/>
        </w:rPr>
        <w:t>”):</w:t>
      </w:r>
    </w:p>
    <w:p>
      <w:pPr>
        <w:spacing w:after="0" w:line="175" w:lineRule="exact"/>
        <w:rPr>
          <w:sz w:val="20"/>
          <w:szCs w:val="20"/>
          <w:color w:val="auto"/>
        </w:rPr>
      </w:pPr>
    </w:p>
    <w:p>
      <w:pPr>
        <w:jc w:val="both"/>
        <w:ind w:firstLine="1952"/>
        <w:spacing w:after="0" w:line="253" w:lineRule="auto"/>
        <w:tabs>
          <w:tab w:leader="none" w:pos="258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Direct obligations of the United States of America (including obligations issued or held in book-entry form on the books of the Department of the Treasury of the United States of America) or obligations the timely payment of the principal of and interest on which are fully guaranteed by the United States of America;</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Obligations, debentures, notes or other evidence of Indebtedness issued or guaranteed by any of the following: Export-Import Bank of the United States, Federal Housing Administration or other agency or instrumentality of the United States;</w:t>
      </w:r>
    </w:p>
    <w:p>
      <w:pPr>
        <w:spacing w:after="0" w:line="185" w:lineRule="exact"/>
        <w:rPr>
          <w:rFonts w:ascii="Arial" w:cs="Arial" w:eastAsia="Arial" w:hAnsi="Arial"/>
          <w:sz w:val="22"/>
          <w:szCs w:val="22"/>
          <w:color w:val="auto"/>
        </w:rPr>
      </w:pPr>
    </w:p>
    <w:p>
      <w:pPr>
        <w:jc w:val="both"/>
        <w:ind w:firstLine="1952"/>
        <w:spacing w:after="0" w:line="248" w:lineRule="auto"/>
        <w:tabs>
          <w:tab w:leader="none" w:pos="258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Interest-bearing demand or time deposits (including certificates of deposit) that are either (A) insured by the Federal Deposit Insurance Corporation, or (B) held in banks and savings and loan associations, having general obligations rated at least “A-” or equivalent by S&amp;P and Moody’s, or if not so rated, secured at all times, in the manner and to the extent provided by Law, by collateral security described in clauses (i) or (iii) of this Section 8.5(a), of a market value of no less than the amount of moneys so invested;</w:t>
      </w:r>
    </w:p>
    <w:p>
      <w:pPr>
        <w:spacing w:after="0" w:line="191" w:lineRule="exact"/>
        <w:rPr>
          <w:rFonts w:ascii="Arial" w:cs="Arial" w:eastAsia="Arial" w:hAnsi="Arial"/>
          <w:sz w:val="22"/>
          <w:szCs w:val="22"/>
          <w:color w:val="auto"/>
        </w:rPr>
      </w:pPr>
    </w:p>
    <w:p>
      <w:pPr>
        <w:ind w:firstLine="1952"/>
        <w:spacing w:after="0" w:line="263" w:lineRule="auto"/>
        <w:tabs>
          <w:tab w:leader="none" w:pos="258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Obligations of any state of the United States or any agency or instrumentality of any of the foregoing which are rated at least “AA” by S&amp;P or at least “Aa” by Moody’s;</w:t>
      </w:r>
    </w:p>
    <w:p>
      <w:pPr>
        <w:spacing w:after="0" w:line="174" w:lineRule="exact"/>
        <w:rPr>
          <w:rFonts w:ascii="Arial" w:cs="Arial" w:eastAsia="Arial" w:hAnsi="Arial"/>
          <w:sz w:val="22"/>
          <w:szCs w:val="22"/>
          <w:color w:val="auto"/>
        </w:rPr>
      </w:pPr>
    </w:p>
    <w:p>
      <w:pPr>
        <w:jc w:val="both"/>
        <w:ind w:firstLine="1952"/>
        <w:spacing w:after="0" w:line="302" w:lineRule="auto"/>
        <w:tabs>
          <w:tab w:leader="none" w:pos="2587" w:val="left"/>
        </w:tabs>
        <w:numPr>
          <w:ilvl w:val="0"/>
          <w:numId w:val="328"/>
        </w:numPr>
        <w:rPr>
          <w:rFonts w:ascii="Arial" w:cs="Arial" w:eastAsia="Arial" w:hAnsi="Arial"/>
          <w:sz w:val="19"/>
          <w:szCs w:val="19"/>
          <w:color w:val="auto"/>
        </w:rPr>
      </w:pPr>
      <w:r>
        <w:rPr>
          <w:rFonts w:ascii="Arial" w:cs="Arial" w:eastAsia="Arial" w:hAnsi="Arial"/>
          <w:sz w:val="19"/>
          <w:szCs w:val="19"/>
          <w:color w:val="auto"/>
        </w:rPr>
        <w:t>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 (90) days from the date of creation thereof but excluding any such commercial paper issued by any Member or any Affiliate of the Manager;</w:t>
      </w:r>
    </w:p>
    <w:p>
      <w:pPr>
        <w:spacing w:after="0" w:line="142" w:lineRule="exact"/>
        <w:rPr>
          <w:rFonts w:ascii="Arial" w:cs="Arial" w:eastAsia="Arial" w:hAnsi="Arial"/>
          <w:sz w:val="19"/>
          <w:szCs w:val="19"/>
          <w:color w:val="auto"/>
        </w:rPr>
      </w:pPr>
    </w:p>
    <w:p>
      <w:pPr>
        <w:jc w:val="both"/>
        <w:ind w:firstLine="1952"/>
        <w:spacing w:after="0" w:line="297" w:lineRule="auto"/>
        <w:tabs>
          <w:tab w:leader="none" w:pos="2587" w:val="left"/>
        </w:tabs>
        <w:numPr>
          <w:ilvl w:val="0"/>
          <w:numId w:val="328"/>
        </w:numPr>
        <w:rPr>
          <w:rFonts w:ascii="Arial" w:cs="Arial" w:eastAsia="Arial" w:hAnsi="Arial"/>
          <w:sz w:val="19"/>
          <w:szCs w:val="19"/>
          <w:color w:val="auto"/>
        </w:rPr>
      </w:pPr>
      <w:r>
        <w:rPr>
          <w:rFonts w:ascii="Arial" w:cs="Arial" w:eastAsia="Arial" w:hAnsi="Arial"/>
          <w:sz w:val="19"/>
          <w:szCs w:val="19"/>
          <w:color w:val="auto"/>
        </w:rPr>
        <w:t>Money market mutual funds that are registered with the Securities and Exchange Commission under the Investment Company Act of 1940, as amended, and operated in accordance with Rule 2a-7 and that at the time of such investment are rated “Aaa” by Moody’s and/or “AAA” by S&amp;P, including such funds for which the Trustee or an affiliate provides investment advice or other services, each of which must have capital in excess of $[***] and at no point in time will aggregate investments under this Section 8.5(a)(vi) constitute more than [***]% of any such fund’s capital; or</w:t>
      </w:r>
    </w:p>
    <w:p>
      <w:pPr>
        <w:spacing w:after="0" w:line="146" w:lineRule="exact"/>
        <w:rPr>
          <w:rFonts w:ascii="Arial" w:cs="Arial" w:eastAsia="Arial" w:hAnsi="Arial"/>
          <w:sz w:val="19"/>
          <w:szCs w:val="19"/>
          <w:color w:val="auto"/>
        </w:rPr>
      </w:pPr>
    </w:p>
    <w:p>
      <w:pPr>
        <w:ind w:left="2600" w:hanging="648"/>
        <w:spacing w:after="0"/>
        <w:tabs>
          <w:tab w:leader="none" w:pos="260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Any other investments agreed to by the Members and the Manager.</w:t>
      </w:r>
    </w:p>
    <w:p>
      <w:pPr>
        <w:spacing w:after="0" w:line="22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f.</w:t>
      </w:r>
      <w:r>
        <w:rPr>
          <w:sz w:val="20"/>
          <w:szCs w:val="20"/>
          <w:color w:val="auto"/>
        </w:rPr>
        <w:tab/>
      </w:r>
      <w:r>
        <w:rPr>
          <w:rFonts w:ascii="Arial" w:cs="Arial" w:eastAsia="Arial" w:hAnsi="Arial"/>
          <w:sz w:val="19"/>
          <w:szCs w:val="19"/>
          <w:u w:val="single" w:color="auto"/>
          <w:color w:val="auto"/>
        </w:rPr>
        <w:t>Tax Elections</w:t>
      </w:r>
      <w:r>
        <w:rPr>
          <w:rFonts w:ascii="Arial" w:cs="Arial" w:eastAsia="Arial" w:hAnsi="Arial"/>
          <w:sz w:val="19"/>
          <w:szCs w:val="19"/>
          <w:color w:val="auto"/>
        </w:rPr>
        <w:t>.</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(i)The Manager shall make the following federal income tax elections on the appropriate Company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316" w:name="page317"/>
    <w:bookmarkEnd w:id="316"/>
    <w:p>
      <w:pPr>
        <w:ind w:left="1960"/>
        <w:spacing w:after="0"/>
        <w:tabs>
          <w:tab w:leader="none" w:pos="258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To the extent permitted under Code Section 706, to elect the calendar year as the Company’s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Taxable Year;</w:t>
      </w:r>
    </w:p>
    <w:p>
      <w:pPr>
        <w:spacing w:after="0" w:line="202" w:lineRule="exact"/>
        <w:rPr>
          <w:sz w:val="20"/>
          <w:szCs w:val="20"/>
          <w:color w:val="auto"/>
        </w:rPr>
      </w:pPr>
    </w:p>
    <w:p>
      <w:pPr>
        <w:ind w:left="2600" w:hanging="648"/>
        <w:spacing w:after="0"/>
        <w:tabs>
          <w:tab w:leader="none" w:pos="260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To elect the accrual method of accounting;</w:t>
      </w:r>
    </w:p>
    <w:p>
      <w:pPr>
        <w:spacing w:after="0" w:line="219" w:lineRule="exact"/>
        <w:rPr>
          <w:rFonts w:ascii="Arial" w:cs="Arial" w:eastAsia="Arial" w:hAnsi="Arial"/>
          <w:sz w:val="22"/>
          <w:szCs w:val="22"/>
          <w:color w:val="auto"/>
        </w:rPr>
      </w:pPr>
    </w:p>
    <w:p>
      <w:pPr>
        <w:ind w:firstLine="1952"/>
        <w:spacing w:after="0" w:line="263" w:lineRule="auto"/>
        <w:tabs>
          <w:tab w:leader="none" w:pos="2587" w:val="left"/>
        </w:tabs>
        <w:numPr>
          <w:ilvl w:val="0"/>
          <w:numId w:val="329"/>
        </w:numPr>
        <w:rPr>
          <w:rFonts w:ascii="Arial" w:cs="Arial" w:eastAsia="Arial" w:hAnsi="Arial"/>
          <w:sz w:val="22"/>
          <w:szCs w:val="22"/>
          <w:color w:val="auto"/>
        </w:rPr>
      </w:pPr>
      <w:r>
        <w:rPr>
          <w:rFonts w:ascii="Arial" w:cs="Arial" w:eastAsia="Arial" w:hAnsi="Arial"/>
          <w:sz w:val="22"/>
          <w:szCs w:val="22"/>
          <w:color w:val="auto"/>
        </w:rPr>
        <w:t>To elect to amortize any organizational and start-up expenses of the Company ratably over a period of one hundred eighty (180) months as permitted by Code Section 709(b); and</w:t>
      </w:r>
    </w:p>
    <w:p>
      <w:pPr>
        <w:spacing w:after="0" w:line="174" w:lineRule="exact"/>
        <w:rPr>
          <w:rFonts w:ascii="Arial" w:cs="Arial" w:eastAsia="Arial" w:hAnsi="Arial"/>
          <w:sz w:val="22"/>
          <w:szCs w:val="22"/>
          <w:color w:val="auto"/>
        </w:rPr>
      </w:pPr>
    </w:p>
    <w:p>
      <w:pPr>
        <w:jc w:val="both"/>
        <w:ind w:firstLine="1952"/>
        <w:spacing w:after="0" w:line="265" w:lineRule="auto"/>
        <w:tabs>
          <w:tab w:leader="none" w:pos="2587" w:val="left"/>
        </w:tabs>
        <w:numPr>
          <w:ilvl w:val="0"/>
          <w:numId w:val="329"/>
        </w:numPr>
        <w:rPr>
          <w:rFonts w:ascii="Arial" w:cs="Arial" w:eastAsia="Arial" w:hAnsi="Arial"/>
          <w:sz w:val="21"/>
          <w:szCs w:val="21"/>
          <w:color w:val="auto"/>
        </w:rPr>
      </w:pPr>
      <w:r>
        <w:rPr>
          <w:rFonts w:ascii="Arial" w:cs="Arial" w:eastAsia="Arial" w:hAnsi="Arial"/>
          <w:sz w:val="21"/>
          <w:szCs w:val="21"/>
          <w:color w:val="auto"/>
        </w:rPr>
        <w:t>If a valid election to adjust the basis of the Company’s properties under Code Section 754 is not already in effect, to elect and to reelect, as necessary, pursuant to Code Section 754, to adjust the basis of the Company’s properties, including for any Taxable Year in which a distribution of the Company’s property as described in Code Section 734 occurs, or a transfer of a Membership Interest as described in Section 743 of the Code occurs.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Manager shall not make, or cause the Company or the Pinnacle Project Company or any other subsidiary of the Company (to the extent the Company has (directly or indirectly) management authority for the Pinnacle Project Company or for such subsidiary) to make, any tax election for the Company or the Pinnacle Project Company or any other subsidiary of the Company, except as otherwise provided herein, without the Consent of the Members if such tax election would materially affect the economic consequences to the Class A Members as set forth in the Base Case Model. The Manager, with the Consent of the Members, may elect to extend the time for filing any Company tax return as provided for under the Code and applicable state statutes. Neither the Company nor any Member may make an election for the Company to be excluded from the application of the provisions of subchapter K of chapter 1 of subtitle A of the Code or any similar provisions of applicable state Law. No Member, Manager, officer or agent of the Company is authorized to, or may, file IRS Form 8832 (or alternative or successor form) to elect to have the Company or the Pinnacle Project Company or any other subsidiary of the Company classified as an association taxable as a corporation for federal income tax purposes under Treasury Regulations Section 301.7701-3. The Manager shall, in addition, affirmatively take such action within its control as may be necessary or required to maintain the status of the Company as a partnership for federal, state and local income tax purposes.</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g.</w:t>
      </w:r>
      <w:r>
        <w:rPr>
          <w:sz w:val="20"/>
          <w:szCs w:val="20"/>
          <w:color w:val="auto"/>
        </w:rPr>
        <w:tab/>
      </w:r>
      <w:r>
        <w:rPr>
          <w:rFonts w:ascii="Arial" w:cs="Arial" w:eastAsia="Arial" w:hAnsi="Arial"/>
          <w:sz w:val="19"/>
          <w:szCs w:val="19"/>
          <w:u w:val="single" w:color="auto"/>
          <w:color w:val="auto"/>
        </w:rPr>
        <w:t>Partnership Representative and Company Tax Filings</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22"/>
          <w:szCs w:val="22"/>
          <w:color w:val="auto"/>
        </w:rPr>
        <w:t>(i)The Class A Member is hereby appointed by the Members as the initial “partnership representative” of the Company pursuant to Section 6223(a) of the Code (the “</w:t>
      </w:r>
      <w:r>
        <w:rPr>
          <w:rFonts w:ascii="Arial" w:cs="Arial" w:eastAsia="Arial" w:hAnsi="Arial"/>
          <w:sz w:val="22"/>
          <w:szCs w:val="22"/>
          <w:b w:val="1"/>
          <w:bCs w:val="1"/>
          <w:color w:val="auto"/>
        </w:rPr>
        <w:t>Partnership Representative</w:t>
      </w:r>
      <w:r>
        <w:rPr>
          <w:rFonts w:ascii="Arial" w:cs="Arial" w:eastAsia="Arial" w:hAnsi="Arial"/>
          <w:sz w:val="22"/>
          <w:szCs w:val="22"/>
          <w:color w:val="auto"/>
        </w:rPr>
        <w:t>"). In the event of resignation or removal of Manager pursuant to Section 6.3, the replacement Manager shall nominate a Member to become the new Partnership Representative and such Member shall become the new Partnership Representative. In the event of any pending tax action, investigation, claim or controversy involving the Company which proposes or may result in an adjustment to any item reported on a federal tax return, the Partnership Representative, shall keep the other Members fully and timely informed by written notice of any audit, administrative or judicial proceedings, meetings or conferences with the IRS or other similar matters that come to its attention in its capacity as Partnership Representative. Furthermore, the Members shall have the right to review and comment on any submissions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317" w:name="page318"/>
    <w:bookmarkEnd w:id="317"/>
    <w:p>
      <w:pPr>
        <w:jc w:val="both"/>
        <w:spacing w:after="0" w:line="302" w:lineRule="auto"/>
        <w:rPr>
          <w:sz w:val="20"/>
          <w:szCs w:val="20"/>
          <w:color w:val="auto"/>
        </w:rPr>
      </w:pPr>
      <w:r>
        <w:rPr>
          <w:rFonts w:ascii="Arial" w:cs="Arial" w:eastAsia="Arial" w:hAnsi="Arial"/>
          <w:sz w:val="19"/>
          <w:szCs w:val="19"/>
          <w:color w:val="auto"/>
        </w:rPr>
        <w:t>IRS, and attend and jointly participate in any meetings or conferences with the IRS at their own expense. Each Member agrees to promptly provide to the Partnership Representative any information requested by the Partnership Representative so as to enable the Company to make any election under Section 6225 or 6226 of the Code, comply with any documentation requirements in connection with any such election, and modify any “imputed underpayment” within the meaning of Code Section 6225.</w:t>
      </w:r>
    </w:p>
    <w:p>
      <w:pPr>
        <w:spacing w:after="0" w:line="142"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9"/>
          <w:szCs w:val="19"/>
          <w:color w:val="auto"/>
        </w:rPr>
        <w:t>(ii)The Partnership Representative shall not take any action contemplated by Code Sections 6225 through 6234 unless the Partnership Representative has first given the Members timely written notice of the contemplated action. For any issue or matter relating to any Taxable Year, the Partnership Representative shall not, without the consent of each Member, (i) commence a judicial action with respect to a federal income tax matter or appeal any adverse determination of a judicial tribunal; (ii) enter into a settlement agreement with the IRS relating to any Company Item for any Taxable Year; (iii) file any request contemplated in Sections 6225 and 6234 of the Code; or (iv) enter into an agreement extending the period of limitations with respect to the Company. Any cost or expense incurred by the Partnership Representative in connection with its duties, including, if relevant, the preparation for or pursuance of administrative or judicial proceedings, shall be paid by the Company.</w:t>
      </w:r>
    </w:p>
    <w:p>
      <w:pPr>
        <w:spacing w:after="0" w:line="1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(iii)Any taxes, penalties, and interest payable by the Company or any fiscally transparent entity in which the Company owns an interest under Code Sections 6221 through 6235 will be treated as specifically attributable to the Members, and the Partnership Representative will use reasonable best efforts to allocate the burden of (or any diminution in distributable proceeds resulting from) any such taxes, penalties or interest to those Members to whom such amounts are specifically attributable (whether as a result of their status, actions, inactions or otherwise), as determined by the Partnership Representative; provided, however, that in the event a Member disagrees with the Partnership Representative's allocation of the burden of (or any diminution in distributable proceeds resulting from) any such taxes, penalties or interest, then the Members and the Partnership Representative shall jointly select an accounting firm to review and determine the appropriate allocation, which allocation shall be binding on the Partnership Representative and the Members. In connection with the foregoing, to the extent that the Company is assessed amounts under Section 6221(a) of the Code, each current or former Member to which the assessment relates will remit to the Company, within thirty (30) days’ written notice by the Partnership Representative, an amount equal to such Member’s allocable share of the assessment, including such Member’s allocable share of any interest imposed on the Company.</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(iv)Tax Returns.</w:t>
      </w:r>
    </w:p>
    <w:p>
      <w:pPr>
        <w:spacing w:after="0" w:line="220" w:lineRule="exact"/>
        <w:rPr>
          <w:sz w:val="20"/>
          <w:szCs w:val="20"/>
          <w:color w:val="auto"/>
        </w:rPr>
      </w:pPr>
    </w:p>
    <w:p>
      <w:pPr>
        <w:jc w:val="both"/>
        <w:ind w:firstLine="1952"/>
        <w:spacing w:after="0" w:line="248" w:lineRule="auto"/>
        <w:tabs>
          <w:tab w:leader="none" w:pos="2587" w:val="left"/>
        </w:tabs>
        <w:numPr>
          <w:ilvl w:val="0"/>
          <w:numId w:val="330"/>
        </w:numPr>
        <w:rPr>
          <w:rFonts w:ascii="Arial" w:cs="Arial" w:eastAsia="Arial" w:hAnsi="Arial"/>
          <w:sz w:val="22"/>
          <w:szCs w:val="22"/>
          <w:color w:val="auto"/>
        </w:rPr>
      </w:pPr>
      <w:r>
        <w:rPr>
          <w:rFonts w:ascii="Arial" w:cs="Arial" w:eastAsia="Arial" w:hAnsi="Arial"/>
          <w:sz w:val="22"/>
          <w:szCs w:val="22"/>
          <w:u w:val="single" w:color="auto"/>
          <w:color w:val="auto"/>
        </w:rPr>
        <w:t>Preparation of Tax Returns</w:t>
      </w:r>
      <w:r>
        <w:rPr>
          <w:rFonts w:ascii="Arial" w:cs="Arial" w:eastAsia="Arial" w:hAnsi="Arial"/>
          <w:sz w:val="22"/>
          <w:szCs w:val="22"/>
          <w:color w:val="auto"/>
        </w:rPr>
        <w:t>. The Partnership Representative shall prepare, or cause to be prepared by the Certified Public Accountant, and timely file (on behalf of the Company) all federal, state and local tax returns required to be filed by the Company. Each Member shall furnish to the Partnership Representative all pertinent information in its possession relating to the Company’s operations that is reasonably necessary to enable the Company’s tax returns to be timely prepared and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318" w:name="page319"/>
    <w:bookmarkEnd w:id="318"/>
    <w:p>
      <w:pPr>
        <w:jc w:val="both"/>
        <w:ind w:firstLine="1952"/>
        <w:spacing w:after="0" w:line="246" w:lineRule="auto"/>
        <w:tabs>
          <w:tab w:leader="none" w:pos="2587" w:val="left"/>
        </w:tabs>
        <w:numPr>
          <w:ilvl w:val="0"/>
          <w:numId w:val="331"/>
        </w:numPr>
        <w:rPr>
          <w:rFonts w:ascii="Arial" w:cs="Arial" w:eastAsia="Arial" w:hAnsi="Arial"/>
          <w:sz w:val="22"/>
          <w:szCs w:val="22"/>
          <w:color w:val="auto"/>
        </w:rPr>
      </w:pPr>
      <w:r>
        <w:rPr>
          <w:rFonts w:ascii="Arial" w:cs="Arial" w:eastAsia="Arial" w:hAnsi="Arial"/>
          <w:sz w:val="22"/>
          <w:szCs w:val="22"/>
          <w:u w:val="single" w:color="auto"/>
          <w:color w:val="auto"/>
        </w:rPr>
        <w:t>Furnishing Returns</w:t>
      </w:r>
      <w:r>
        <w:rPr>
          <w:rFonts w:ascii="Arial" w:cs="Arial" w:eastAsia="Arial" w:hAnsi="Arial"/>
          <w:sz w:val="22"/>
          <w:szCs w:val="22"/>
          <w:color w:val="auto"/>
        </w:rPr>
        <w:t>. The Partnership Representative shall use commercially reasonable efforts to furnish to the Members, (A) by no later than March 10th of each year, an estimate of all items of Company income, gain, loss, deduction, and credit (including PTCs) of the Company and the Members’ respective allocable shares thereof expected by the Partnership Representative to be reported on the Tax Return to be filed by the Partnership Representative for the immediately preceding Taxable Year, and (B) by no later than June 30 of each Taxable Year (or, if earlier, thirty (30) days prior to the date on which the Partnership Representative intends to file the Tax Return), the Tax Return proposed to be filed by the Partnership Representative.</w:t>
      </w:r>
    </w:p>
    <w:p>
      <w:pPr>
        <w:spacing w:after="0" w:line="196" w:lineRule="exact"/>
        <w:rPr>
          <w:rFonts w:ascii="Arial" w:cs="Arial" w:eastAsia="Arial" w:hAnsi="Arial"/>
          <w:sz w:val="22"/>
          <w:szCs w:val="22"/>
          <w:color w:val="auto"/>
        </w:rPr>
      </w:pPr>
    </w:p>
    <w:p>
      <w:pPr>
        <w:ind w:right="20" w:firstLine="1952"/>
        <w:spacing w:after="0" w:line="263" w:lineRule="auto"/>
        <w:tabs>
          <w:tab w:leader="none" w:pos="2587" w:val="left"/>
        </w:tabs>
        <w:numPr>
          <w:ilvl w:val="0"/>
          <w:numId w:val="331"/>
        </w:numPr>
        <w:rPr>
          <w:rFonts w:ascii="Arial" w:cs="Arial" w:eastAsia="Arial" w:hAnsi="Arial"/>
          <w:sz w:val="22"/>
          <w:szCs w:val="22"/>
          <w:color w:val="auto"/>
        </w:rPr>
      </w:pPr>
      <w:r>
        <w:rPr>
          <w:rFonts w:ascii="Arial" w:cs="Arial" w:eastAsia="Arial" w:hAnsi="Arial"/>
          <w:sz w:val="22"/>
          <w:szCs w:val="22"/>
          <w:u w:val="single" w:color="auto"/>
          <w:color w:val="auto"/>
        </w:rPr>
        <w:t>Costs of Preparation</w:t>
      </w:r>
      <w:r>
        <w:rPr>
          <w:rFonts w:ascii="Arial" w:cs="Arial" w:eastAsia="Arial" w:hAnsi="Arial"/>
          <w:sz w:val="22"/>
          <w:szCs w:val="22"/>
          <w:color w:val="auto"/>
        </w:rPr>
        <w:t>. The Company shall bear the costs of the preparation and filing of its returns, including the fees of the independent public accounting firm.</w:t>
      </w:r>
    </w:p>
    <w:p>
      <w:pPr>
        <w:spacing w:after="0" w:line="175"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22"/>
          <w:szCs w:val="22"/>
          <w:color w:val="auto"/>
        </w:rPr>
        <w:t>(v)The provisions of this Article VIII will survive the termination of the Company or the termination of any Member’s interest in the Company and will remain binding on the Member for the period of time necessary to resolve with the IRS or other federal tax agency any and all federal income tax matters relating to the Company that are subject to Code Sections 6221 through 6235.</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(vi)Additional Requirements for an Indemnified Tax Claim.</w:t>
      </w:r>
    </w:p>
    <w:p>
      <w:pPr>
        <w:spacing w:after="0" w:line="220" w:lineRule="exact"/>
        <w:rPr>
          <w:sz w:val="20"/>
          <w:szCs w:val="20"/>
          <w:color w:val="auto"/>
        </w:rPr>
      </w:pPr>
    </w:p>
    <w:p>
      <w:pPr>
        <w:jc w:val="both"/>
        <w:ind w:firstLine="1952"/>
        <w:spacing w:after="0" w:line="302" w:lineRule="auto"/>
        <w:tabs>
          <w:tab w:leader="none" w:pos="2587" w:val="left"/>
        </w:tabs>
        <w:numPr>
          <w:ilvl w:val="0"/>
          <w:numId w:val="332"/>
        </w:numPr>
        <w:rPr>
          <w:rFonts w:ascii="Arial" w:cs="Arial" w:eastAsia="Arial" w:hAnsi="Arial"/>
          <w:sz w:val="19"/>
          <w:szCs w:val="19"/>
          <w:color w:val="auto"/>
        </w:rPr>
      </w:pPr>
      <w:r>
        <w:rPr>
          <w:rFonts w:ascii="Arial" w:cs="Arial" w:eastAsia="Arial" w:hAnsi="Arial"/>
          <w:sz w:val="19"/>
          <w:szCs w:val="19"/>
          <w:color w:val="auto"/>
        </w:rPr>
        <w:t>The Partnership Representative will notify the other Members of (A) any written communication it receives from the IRS, the Pinnacle Project Company, any other subsidiary of the Company, or a Tax Equity Entity that, if sustained may require a Member to make a contribution to the Company or otherwise indemnify another Member or any counterparty to any Tax Equity Document or Pinnacle Project Company (an “</w:t>
      </w:r>
      <w:r>
        <w:rPr>
          <w:rFonts w:ascii="Arial" w:cs="Arial" w:eastAsia="Arial" w:hAnsi="Arial"/>
          <w:sz w:val="19"/>
          <w:szCs w:val="19"/>
          <w:b w:val="1"/>
          <w:bCs w:val="1"/>
          <w:color w:val="auto"/>
        </w:rPr>
        <w:t>Indemnified Tax Claim</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952"/>
        <w:spacing w:after="0" w:line="250" w:lineRule="auto"/>
        <w:tabs>
          <w:tab w:leader="none" w:pos="2587" w:val="left"/>
        </w:tabs>
        <w:numPr>
          <w:ilvl w:val="0"/>
          <w:numId w:val="332"/>
        </w:numPr>
        <w:rPr>
          <w:rFonts w:ascii="Arial" w:cs="Arial" w:eastAsia="Arial" w:hAnsi="Arial"/>
          <w:sz w:val="22"/>
          <w:szCs w:val="22"/>
          <w:color w:val="auto"/>
        </w:rPr>
      </w:pPr>
      <w:r>
        <w:rPr>
          <w:rFonts w:ascii="Arial" w:cs="Arial" w:eastAsia="Arial" w:hAnsi="Arial"/>
          <w:sz w:val="22"/>
          <w:szCs w:val="22"/>
          <w:color w:val="auto"/>
        </w:rPr>
        <w:t>For any issue or matter relating to any Taxable Year, the Partnership Representative shall not, without the consent of each Member, (i) control any IRS audit (including selection of counsel); (ii) commence a judicial action or appeal any adverse determination of a judicial tribunal; or (iii) enter into a settlement agreement with the IRS, with respect to an Indemnified Claim.</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h.</w:t>
      </w:r>
      <w:r>
        <w:rPr>
          <w:sz w:val="20"/>
          <w:szCs w:val="20"/>
          <w:color w:val="auto"/>
        </w:rPr>
        <w:tab/>
      </w:r>
      <w:r>
        <w:rPr>
          <w:rFonts w:ascii="Arial" w:cs="Arial" w:eastAsia="Arial" w:hAnsi="Arial"/>
          <w:sz w:val="19"/>
          <w:szCs w:val="19"/>
          <w:u w:val="single" w:color="auto"/>
          <w:color w:val="auto"/>
        </w:rPr>
        <w:t>Financial Accounting</w:t>
      </w:r>
      <w:r>
        <w:rPr>
          <w:rFonts w:ascii="Arial" w:cs="Arial" w:eastAsia="Arial" w:hAnsi="Arial"/>
          <w:sz w:val="19"/>
          <w:szCs w:val="19"/>
          <w:color w:val="auto"/>
        </w:rPr>
        <w:t>.</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Each Member may report the transactions contemplated hereby for financial accounting purposes in such manner as the Member and its accountants may determine appropriate.</w:t>
      </w:r>
    </w:p>
    <w:p>
      <w:pPr>
        <w:spacing w:after="0" w:line="17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i.</w:t>
      </w:r>
      <w:r>
        <w:rPr>
          <w:sz w:val="20"/>
          <w:szCs w:val="20"/>
          <w:color w:val="auto"/>
        </w:rPr>
        <w:tab/>
      </w:r>
      <w:r>
        <w:rPr>
          <w:rFonts w:ascii="Arial" w:cs="Arial" w:eastAsia="Arial" w:hAnsi="Arial"/>
          <w:sz w:val="19"/>
          <w:szCs w:val="19"/>
          <w:u w:val="single" w:color="auto"/>
          <w:color w:val="auto"/>
        </w:rPr>
        <w:t>Membership Interest Legend</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65" w:lineRule="auto"/>
        <w:rPr>
          <w:sz w:val="20"/>
          <w:szCs w:val="20"/>
          <w:color w:val="auto"/>
        </w:rPr>
      </w:pPr>
      <w:r>
        <w:rPr>
          <w:rFonts w:ascii="Arial" w:cs="Arial" w:eastAsia="Arial" w:hAnsi="Arial"/>
          <w:sz w:val="21"/>
          <w:szCs w:val="21"/>
          <w:color w:val="auto"/>
        </w:rPr>
        <w:t>(i)Until (i) the securities representing ownership of membership interests in the Company are effectively registered under the Securities Act, or (ii) the holder of such securities delivers to the Company a written opinion of counsel of such holder to the effect that such legend is no longer necessary under the Securities Act, the Company will cause each certificate representing its securities to be stamped or otherwise imprinted with the following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319" w:name="page320"/>
    <w:bookmarkEnd w:id="319"/>
    <w:p>
      <w:pPr>
        <w:jc w:val="both"/>
        <w:spacing w:after="0" w:line="250" w:lineRule="auto"/>
        <w:rPr>
          <w:sz w:val="20"/>
          <w:szCs w:val="20"/>
          <w:color w:val="auto"/>
        </w:rPr>
      </w:pPr>
      <w:r>
        <w:rPr>
          <w:rFonts w:ascii="Arial" w:cs="Arial" w:eastAsia="Arial" w:hAnsi="Arial"/>
          <w:sz w:val="22"/>
          <w:szCs w:val="22"/>
          <w:color w:val="auto"/>
        </w:rPr>
        <w:t>THE MEMBERSHIP INTEREST REPRESENTED BY THIS CERTIFICATE HAS NOT BEEN REGISTERED UNDER THE SECURITIES ACT OF 1933, AS AMENDED, OR UNDER THE SECURITIES LAW OF ANY STATE. SUCH MEMBERSHIP INTEREST MAY NOT BE SOLD OR TRANSFERRED UNLESS SUBSEQUENTLY REGISTERED OR UNLESS AN EXEMPTION FROM REGISTRATION IS AVAILABLE.</w:t>
      </w:r>
    </w:p>
    <w:p>
      <w:pPr>
        <w:spacing w:after="0" w:line="147"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22"/>
          <w:szCs w:val="22"/>
          <w:color w:val="auto"/>
        </w:rPr>
        <w:t>(ii)The Company will also cause each certificate representing its securities to be stamped or otherwise imprinted with the following legend: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MEMBERSHIP INTEREST AND UNITS REPRESENTED BY THIS CERTIFICATE ARE, AND SHALL BE, FOR ALL PURPOSES, “CERTIFIED SECURITIES” UNDER AND GOVERNED BY ARTICLE 8 (INCLUDING SECTION 8 103(c)</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THEREOF) AND ALL OTHER PROVISIONS OF THE UNIFORM COMMERCIAL CODE IN EFFECT FROM TIME TO TIME IN THE STATE OF DELAWARE.</w:t>
      </w:r>
    </w:p>
    <w:p>
      <w:pPr>
        <w:spacing w:after="0" w:line="1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j.</w:t>
      </w:r>
      <w:r>
        <w:rPr>
          <w:sz w:val="20"/>
          <w:szCs w:val="20"/>
          <w:color w:val="auto"/>
        </w:rPr>
        <w:tab/>
      </w:r>
      <w:r>
        <w:rPr>
          <w:rFonts w:ascii="Arial" w:cs="Arial" w:eastAsia="Arial" w:hAnsi="Arial"/>
          <w:sz w:val="19"/>
          <w:szCs w:val="19"/>
          <w:u w:val="single" w:color="auto"/>
          <w:color w:val="auto"/>
        </w:rPr>
        <w:t>Representations, Warranties and Covenants of the Members</w:t>
      </w:r>
      <w:r>
        <w:rPr>
          <w:rFonts w:ascii="Arial" w:cs="Arial" w:eastAsia="Arial" w:hAnsi="Arial"/>
          <w:sz w:val="19"/>
          <w:szCs w:val="19"/>
          <w:color w:val="auto"/>
        </w:rPr>
        <w:t>.</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Each Member, severally but not jointly, represents, warrants, and with respect to clauses (f) and (g) below, covenants to the Company and each other Member with respect to itself only, that: (I) (x) the following statements are true and correct as of, with respect to the Member, the Effective Date, (y) the following statements are true and correct as of, with respect to any other Person hereafter admitted as a Member pursuant to this Agreement, the date such Person is so admitted as a Member, and (II) with respect to clauses (f) and (g) below, shall be true and correct at all times that such Person is a Member: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(i)It is an entity duly organized, validly existing and in good standing under the laws of its jurisdiction of organization.</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22"/>
          <w:szCs w:val="22"/>
          <w:color w:val="auto"/>
        </w:rPr>
        <w:t>(ii)It has the full right, power and authority to perform its obligations hereunder.</w:t>
      </w:r>
    </w:p>
    <w:p>
      <w:pPr>
        <w:spacing w:after="0" w:line="22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1"/>
          <w:szCs w:val="21"/>
          <w:color w:val="auto"/>
        </w:rPr>
        <w:t>(iii)The execution and delivery of this Agreement by the Member and the consummation by such Member of the transactions contemplated hereby have been duly authorized by all necessary entity action required on the part of such Member, its respective members and their respective managing members (as applicable). This Agreement has been duly executed and delivered by such Member. This Agreement is a legal valid and binding obligation of such Member enforceable against it in accordance with its terms, except as such enforceability may be limited by applicable bankruptcy, insolvency or similar laws affecting creditors’ rights generally and by general equitable principles.</w:t>
      </w:r>
    </w:p>
    <w:p>
      <w:pPr>
        <w:spacing w:after="0" w:line="179" w:lineRule="exact"/>
        <w:rPr>
          <w:sz w:val="20"/>
          <w:szCs w:val="20"/>
          <w:color w:val="auto"/>
        </w:rPr>
      </w:pPr>
    </w:p>
    <w:p>
      <w:pPr>
        <w:jc w:val="both"/>
        <w:ind w:firstLine="336"/>
        <w:spacing w:after="0" w:line="247" w:lineRule="auto"/>
        <w:rPr>
          <w:sz w:val="20"/>
          <w:szCs w:val="20"/>
          <w:color w:val="auto"/>
        </w:rPr>
      </w:pPr>
      <w:r>
        <w:rPr>
          <w:rFonts w:ascii="Arial" w:cs="Arial" w:eastAsia="Arial" w:hAnsi="Arial"/>
          <w:sz w:val="22"/>
          <w:szCs w:val="22"/>
          <w:color w:val="auto"/>
        </w:rPr>
        <w:t>(iv)It has such sophistication, knowledge and experience in financial and business matters that it is capable of evaluating the merits, risks and suitability of entering into the Transaction. It is acquiring its Membership Interest for its own account and not as a nominee or agent. It understands its Membership Interest have not been, and will not be, registered under the Securities Act and are being acquired in a transaction not involving a public offering by reason of a specific exemption from the registration provisions of the Securities Act, the availability of which depends upon, among other things, the bona fide nature of each Member’s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320" w:name="page321"/>
    <w:bookmarkEnd w:id="320"/>
    <w:p>
      <w:pPr>
        <w:jc w:val="both"/>
        <w:spacing w:after="0" w:line="250" w:lineRule="auto"/>
        <w:rPr>
          <w:sz w:val="20"/>
          <w:szCs w:val="20"/>
          <w:color w:val="auto"/>
        </w:rPr>
      </w:pPr>
      <w:r>
        <w:rPr>
          <w:rFonts w:ascii="Arial" w:cs="Arial" w:eastAsia="Arial" w:hAnsi="Arial"/>
          <w:sz w:val="22"/>
          <w:szCs w:val="22"/>
          <w:color w:val="auto"/>
        </w:rPr>
        <w:t>intent and the accuracy of the Members’ respective representations as expressed herein. It understands that no public market now exists for the Membership Interests or any of the securities of the Company and that neither the Company nor any Member or Affiliate thereof has made any assurances that a public market will ever exist for the Membership Interests or the Company’s securities.</w:t>
      </w:r>
    </w:p>
    <w:p>
      <w:pPr>
        <w:spacing w:after="0" w:line="188"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22"/>
          <w:szCs w:val="22"/>
          <w:color w:val="auto"/>
        </w:rPr>
        <w:t>(v)It has discussed the Transaction and the accounting and tax treatment that it intends to accord the Transaction with its independent advisors. It is solely responsible for deciding to enter into the Transaction and has not relied on any other party (save for any representations made in this Agreement), other than its independent advisors, in respect of the accounting or tax treatment to be applied to the Transaction, or the overall suitability of the Transaction. It is an “accredited investor” within the meaning of Rule 501(a)(1), (2), (3) or (7) of the Securities Act, and is able to bear the economic risk of losing its entire investment in the Company.</w:t>
      </w:r>
    </w:p>
    <w:p>
      <w:pPr>
        <w:spacing w:after="0" w:line="193" w:lineRule="exact"/>
        <w:rPr>
          <w:sz w:val="20"/>
          <w:szCs w:val="20"/>
          <w:color w:val="auto"/>
        </w:rPr>
      </w:pPr>
    </w:p>
    <w:p>
      <w:pPr>
        <w:jc w:val="both"/>
        <w:ind w:firstLine="336"/>
        <w:spacing w:after="0" w:line="263" w:lineRule="auto"/>
        <w:rPr>
          <w:sz w:val="20"/>
          <w:szCs w:val="20"/>
          <w:color w:val="auto"/>
        </w:rPr>
      </w:pPr>
      <w:r>
        <w:rPr>
          <w:rFonts w:ascii="Arial" w:cs="Arial" w:eastAsia="Arial" w:hAnsi="Arial"/>
          <w:sz w:val="22"/>
          <w:szCs w:val="22"/>
          <w:color w:val="auto"/>
        </w:rPr>
        <w:t>(vi)It will report the Transaction in accordance with this Agreement and its own applicable regulatory requirements, including the accounting and tax treatment to be accorded to the Transaction.</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(vii)It is not now and it shall not become a Disqualified Entity or Related Party.</w:t>
      </w:r>
    </w:p>
    <w:p>
      <w:pPr>
        <w:spacing w:after="0" w:line="220"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9"/>
          <w:szCs w:val="19"/>
          <w:color w:val="auto"/>
        </w:rPr>
        <w:t>(viii)That no part of the aggregate Capital Contributions made by such Member and used by such Member to acquire any Units, constitutes Assets of any “employee benefit plan” within the meaning of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or other “benefit plan investor” (as defined in U.S. Department of Labor Reg. §§ 2510.3-101 et seq. and Section 3(42) of ERISA) or Assets allocated to any insurance company separate account or general account in which any such employee benefit plan or benefit plan investor (or related trust) has any interest.</w:t>
      </w:r>
    </w:p>
    <w:p>
      <w:pPr>
        <w:spacing w:after="0" w:line="147" w:lineRule="exact"/>
        <w:rPr>
          <w:sz w:val="20"/>
          <w:szCs w:val="20"/>
          <w:color w:val="auto"/>
        </w:rPr>
      </w:pPr>
    </w:p>
    <w:p>
      <w:pPr>
        <w:jc w:val="both"/>
        <w:ind w:firstLine="336"/>
        <w:spacing w:after="0" w:line="253" w:lineRule="auto"/>
        <w:rPr>
          <w:sz w:val="20"/>
          <w:szCs w:val="20"/>
          <w:color w:val="auto"/>
        </w:rPr>
      </w:pPr>
      <w:r>
        <w:rPr>
          <w:rFonts w:ascii="Arial" w:cs="Arial" w:eastAsia="Arial" w:hAnsi="Arial"/>
          <w:sz w:val="22"/>
          <w:szCs w:val="22"/>
          <w:color w:val="auto"/>
        </w:rPr>
        <w:t>(ix)It (or, if it is a disregarded entity for federal income tax purposes, the Person treated for federal income tax purposes as the owner of its assets) is a “United States person” as defined in Section 7701(a)(30) of the Code and is not subject to withholding under Section 1446 of the Code.</w:t>
      </w:r>
    </w:p>
    <w:p>
      <w:pPr>
        <w:spacing w:after="0" w:line="18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22"/>
          <w:szCs w:val="22"/>
          <w:color w:val="auto"/>
        </w:rPr>
        <w:t>(x)It will not take any action or change its status if such action or change would result in a breach of a Company covenant or is otherwise prohibited by the terms of the Transaction Documents.</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k.</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representations, warranties and covenants herein shall be continuing agreements of the Members that made them and shall survive the termination of this Agreement and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TRANSFERS OF INTERESTS; PURCHASE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321" w:name="page322"/>
    <w:bookmarkEnd w:id="321"/>
    <w:p>
      <w:pPr>
        <w:spacing w:after="0" w:line="20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Transfer Restrictions</w:t>
      </w:r>
      <w:r>
        <w:rPr>
          <w:rFonts w:ascii="Arial" w:cs="Arial" w:eastAsia="Arial" w:hAnsi="Arial"/>
          <w:sz w:val="19"/>
          <w:szCs w:val="19"/>
          <w:color w:val="auto"/>
        </w:rPr>
        <w:t>.</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A Member may not Transfer or Encumber all or any portion of its Membership Interest, except in strict accordance with this Article IX. References in this Agreement to Transfers or Encumbrances of a “Membership Interest” shall also refer to Transfers or Encumbrances of a portion of a Membership Interest. Any attempted Transfer or Encumbrance of any Membership Interest, other than in strict accordance with this Article IX, shall be, and is hereby declared, null and void </w:t>
      </w:r>
      <w:r>
        <w:rPr>
          <w:rFonts w:ascii="Arial" w:cs="Arial" w:eastAsia="Arial" w:hAnsi="Arial"/>
          <w:sz w:val="19"/>
          <w:szCs w:val="19"/>
          <w:i w:val="1"/>
          <w:iCs w:val="1"/>
          <w:color w:val="auto"/>
        </w:rPr>
        <w:t>ab initio</w:t>
      </w:r>
      <w:r>
        <w:rPr>
          <w:rFonts w:ascii="Arial" w:cs="Arial" w:eastAsia="Arial" w:hAnsi="Arial"/>
          <w:sz w:val="19"/>
          <w:szCs w:val="19"/>
          <w:color w:val="auto"/>
        </w:rPr>
        <w:t>. The Members agree that a breach of the provisions of this Article IX may cause irreparable injury to the Company and to the other Members for which monetary damages (or other remedy at Law) are inadequate in view of (a) the complexities and uncertainties in measuring the actual damages that would be sustained by reason of the failure of a Member to comply with such provision and (b) the uniqueness of the Company’s business and the relationship among the Members. Accordingly, the Members agree that the provisions of this Article IX may be enforced by specific performance.</w:t>
      </w:r>
    </w:p>
    <w:p>
      <w:pPr>
        <w:spacing w:after="0" w:line="15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Permitted Transfers</w:t>
      </w:r>
      <w:r>
        <w:rPr>
          <w:rFonts w:ascii="Arial" w:cs="Arial" w:eastAsia="Arial" w:hAnsi="Arial"/>
          <w:sz w:val="19"/>
          <w:szCs w:val="19"/>
          <w:color w:val="auto"/>
        </w:rPr>
        <w:t>.</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 Member may Transfer all or part of its Units (and Membership Interest represented thereby) to a Person that is not a Disqualified Transferee, provided that it satisfies the requirements of Section 9.3. Notwithstanding anything in this Section 9.2 to the contrary, a Transfer upon foreclosure (or in lieu of such foreclosure) under an Encumbrance on such Member’s Units permitted in accordance with Section 9.4 shall not require the approval by the Consent of the Members.</w:t>
      </w:r>
    </w:p>
    <w:p>
      <w:pPr>
        <w:spacing w:after="0" w:line="17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Conditions to Transfers</w:t>
      </w:r>
      <w:r>
        <w:rPr>
          <w:rFonts w:ascii="Arial" w:cs="Arial" w:eastAsia="Arial" w:hAnsi="Arial"/>
          <w:sz w:val="19"/>
          <w:szCs w:val="19"/>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as otherwise provided in this Article IX, all Transfers permitted hereby shall be subject to the satisfaction of the following requirements:</w:t>
      </w:r>
    </w:p>
    <w:p>
      <w:pPr>
        <w:spacing w:after="0" w:line="175" w:lineRule="exact"/>
        <w:rPr>
          <w:sz w:val="20"/>
          <w:szCs w:val="20"/>
          <w:color w:val="auto"/>
        </w:rPr>
      </w:pPr>
    </w:p>
    <w:p>
      <w:pPr>
        <w:jc w:val="both"/>
        <w:ind w:right="20" w:firstLine="444"/>
        <w:spacing w:after="0" w:line="263" w:lineRule="auto"/>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Transfer Documents</w:t>
      </w:r>
      <w:r>
        <w:rPr>
          <w:rFonts w:ascii="Arial" w:cs="Arial" w:eastAsia="Arial" w:hAnsi="Arial"/>
          <w:sz w:val="22"/>
          <w:szCs w:val="22"/>
          <w:color w:val="auto"/>
        </w:rPr>
        <w:t>. The following documents shall have been delivered by the Transferring Member to the Manager and each other Member:</w:t>
      </w:r>
    </w:p>
    <w:p>
      <w:pPr>
        <w:spacing w:after="0" w:line="175" w:lineRule="exact"/>
        <w:rPr>
          <w:sz w:val="20"/>
          <w:szCs w:val="20"/>
          <w:color w:val="auto"/>
        </w:rPr>
      </w:pPr>
    </w:p>
    <w:p>
      <w:pPr>
        <w:ind w:left="2600" w:hanging="648"/>
        <w:spacing w:after="0"/>
        <w:tabs>
          <w:tab w:leader="none" w:pos="2600" w:val="left"/>
        </w:tabs>
        <w:numPr>
          <w:ilvl w:val="0"/>
          <w:numId w:val="333"/>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Written notice not less than ten (10) Business Days prior to the proposed effective date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such Transfer.</w:t>
      </w:r>
    </w:p>
    <w:p>
      <w:pPr>
        <w:spacing w:after="0" w:line="202" w:lineRule="exact"/>
        <w:rPr>
          <w:sz w:val="20"/>
          <w:szCs w:val="20"/>
          <w:color w:val="auto"/>
        </w:rPr>
      </w:pPr>
    </w:p>
    <w:p>
      <w:pPr>
        <w:jc w:val="both"/>
        <w:ind w:firstLine="1952"/>
        <w:spacing w:after="0" w:line="284" w:lineRule="auto"/>
        <w:tabs>
          <w:tab w:leader="none" w:pos="2587" w:val="left"/>
        </w:tabs>
        <w:numPr>
          <w:ilvl w:val="1"/>
          <w:numId w:val="334"/>
        </w:numPr>
        <w:rPr>
          <w:rFonts w:ascii="Arial" w:cs="Arial" w:eastAsia="Arial" w:hAnsi="Arial"/>
          <w:sz w:val="19"/>
          <w:szCs w:val="19"/>
          <w:color w:val="auto"/>
        </w:rPr>
      </w:pPr>
      <w:r>
        <w:rPr>
          <w:rFonts w:ascii="Arial" w:cs="Arial" w:eastAsia="Arial" w:hAnsi="Arial"/>
          <w:sz w:val="19"/>
          <w:szCs w:val="19"/>
          <w:u w:val="single" w:color="auto"/>
          <w:color w:val="auto"/>
        </w:rPr>
        <w:t>Transfer Instrument</w:t>
      </w:r>
      <w:r>
        <w:rPr>
          <w:rFonts w:ascii="Arial" w:cs="Arial" w:eastAsia="Arial" w:hAnsi="Arial"/>
          <w:sz w:val="19"/>
          <w:szCs w:val="19"/>
          <w:color w:val="auto"/>
        </w:rPr>
        <w:t>. An instrument executed by the Transferring Member and the Transferee implementing the Transfer, in substantially the form of Exhibit C hereto or such other form that is reasonably satisfactory to the Manager (which approval shall not be unreasonably withheld or delayed) and which contains: (A) the notice address of the Transferee; (B) if applicable, the Parent of the Transferee; (C) the number of Units as to each class of Membership Interest held by the Transferring Member and held by the Transferee after the Transfer (which must total the number of Units as to each class of Membership Interest held by the Transferring Member before the Transfer); (D) the Transferee’s ratification of this Agreement and its confirmation that the representations and warranties in Article VIII applicable to it are true and correct with respect to it;</w:t>
      </w:r>
    </w:p>
    <w:p>
      <w:pPr>
        <w:spacing w:after="0" w:line="3" w:lineRule="exact"/>
        <w:rPr>
          <w:rFonts w:ascii="Arial" w:cs="Arial" w:eastAsia="Arial" w:hAnsi="Arial"/>
          <w:sz w:val="19"/>
          <w:szCs w:val="19"/>
          <w:color w:val="auto"/>
        </w:rPr>
      </w:pPr>
    </w:p>
    <w:p>
      <w:pPr>
        <w:ind w:right="20" w:firstLine="8"/>
        <w:spacing w:after="0" w:line="246" w:lineRule="auto"/>
        <w:tabs>
          <w:tab w:leader="none" w:pos="342" w:val="left"/>
        </w:tabs>
        <w:numPr>
          <w:ilvl w:val="0"/>
          <w:numId w:val="335"/>
        </w:numPr>
        <w:rPr>
          <w:rFonts w:ascii="Arial" w:cs="Arial" w:eastAsia="Arial" w:hAnsi="Arial"/>
          <w:sz w:val="22"/>
          <w:szCs w:val="22"/>
          <w:color w:val="auto"/>
        </w:rPr>
      </w:pPr>
      <w:r>
        <w:rPr>
          <w:rFonts w:ascii="Arial" w:cs="Arial" w:eastAsia="Arial" w:hAnsi="Arial"/>
          <w:sz w:val="22"/>
          <w:szCs w:val="22"/>
          <w:color w:val="auto"/>
        </w:rPr>
        <w:t>the Transferee’s ratification of the Investment Documents to which the Transferring Member is a party and agreement to be bound by them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40" w:right="339" w:bottom="1440" w:gutter="0" w:footer="0" w:header="0"/>
        </w:sectPr>
      </w:pPr>
    </w:p>
    <w:bookmarkStart w:id="322" w:name="page323"/>
    <w:bookmarkEnd w:id="322"/>
    <w:p>
      <w:pPr>
        <w:jc w:val="both"/>
        <w:spacing w:after="0" w:line="247" w:lineRule="auto"/>
        <w:rPr>
          <w:sz w:val="20"/>
          <w:szCs w:val="20"/>
          <w:color w:val="auto"/>
        </w:rPr>
      </w:pPr>
      <w:r>
        <w:rPr>
          <w:rFonts w:ascii="Arial" w:cs="Arial" w:eastAsia="Arial" w:hAnsi="Arial"/>
          <w:sz w:val="22"/>
          <w:szCs w:val="22"/>
          <w:color w:val="auto"/>
        </w:rPr>
        <w:t>the same extent that the Transferring Member was bound by them prior to the Transfer, including the assumptions of all liabilities and obligations thereunder with respect to the Transferred Membership Interest; and (F) representations and warranties by the Transferring Member and its Transferee that the Transfer and the admission of the Transferee as a Member is being made in accordance with all applicable Law, and that the applicable conditions set forth in this Section 9.3 have been satisfied. Upon any such Transfer, the Manager shall update Annex I and the Register appropriately, and shall provide such updated Register to each Member.</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Transaction and Tax Equity Documents</w:t>
      </w:r>
      <w:r>
        <w:rPr>
          <w:rFonts w:ascii="Arial" w:cs="Arial" w:eastAsia="Arial" w:hAnsi="Arial"/>
          <w:sz w:val="19"/>
          <w:szCs w:val="19"/>
          <w:color w:val="auto"/>
        </w:rPr>
        <w:t>. Such Transfer does not breach any provision of any Transaction Document.</w:t>
      </w:r>
    </w:p>
    <w:p>
      <w:pPr>
        <w:spacing w:after="0" w:line="2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Applicable Law; Securities Law</w:t>
      </w:r>
      <w:r>
        <w:rPr>
          <w:rFonts w:ascii="Arial" w:cs="Arial" w:eastAsia="Arial" w:hAnsi="Arial"/>
          <w:sz w:val="22"/>
          <w:szCs w:val="22"/>
          <w:color w:val="auto"/>
        </w:rPr>
        <w:t>. Such Transfer does not violate any provision of applicable Law, including, without limitation, applicable securities Law.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(iv)</w:t>
      </w:r>
      <w:r>
        <w:rPr>
          <w:rFonts w:ascii="Arial" w:cs="Arial" w:eastAsia="Arial" w:hAnsi="Arial"/>
          <w:sz w:val="22"/>
          <w:szCs w:val="22"/>
          <w:u w:val="single" w:color="auto"/>
          <w:color w:val="auto"/>
        </w:rPr>
        <w:t>Tax Consequences</w:t>
      </w:r>
      <w:r>
        <w:rPr>
          <w:rFonts w:ascii="Arial" w:cs="Arial" w:eastAsia="Arial" w:hAnsi="Arial"/>
          <w:sz w:val="22"/>
          <w:szCs w:val="22"/>
          <w:color w:val="auto"/>
        </w:rPr>
        <w:t>.</w:t>
      </w:r>
    </w:p>
    <w:p>
      <w:pPr>
        <w:spacing w:after="0" w:line="220" w:lineRule="exact"/>
        <w:rPr>
          <w:sz w:val="20"/>
          <w:szCs w:val="20"/>
          <w:color w:val="auto"/>
        </w:rPr>
      </w:pPr>
    </w:p>
    <w:p>
      <w:pPr>
        <w:jc w:val="both"/>
        <w:ind w:right="20" w:firstLine="1952"/>
        <w:spacing w:after="0" w:line="253" w:lineRule="auto"/>
        <w:tabs>
          <w:tab w:leader="none" w:pos="2587" w:val="left"/>
        </w:tabs>
        <w:numPr>
          <w:ilvl w:val="0"/>
          <w:numId w:val="336"/>
        </w:numPr>
        <w:rPr>
          <w:rFonts w:ascii="Arial" w:cs="Arial" w:eastAsia="Arial" w:hAnsi="Arial"/>
          <w:sz w:val="22"/>
          <w:szCs w:val="22"/>
          <w:color w:val="auto"/>
        </w:rPr>
      </w:pPr>
      <w:r>
        <w:rPr>
          <w:rFonts w:ascii="Arial" w:cs="Arial" w:eastAsia="Arial" w:hAnsi="Arial"/>
          <w:sz w:val="22"/>
          <w:szCs w:val="22"/>
          <w:u w:val="single" w:color="auto"/>
          <w:color w:val="auto"/>
        </w:rPr>
        <w:t>Entity Classification</w:t>
      </w:r>
      <w:r>
        <w:rPr>
          <w:rFonts w:ascii="Arial" w:cs="Arial" w:eastAsia="Arial" w:hAnsi="Arial"/>
          <w:sz w:val="22"/>
          <w:szCs w:val="22"/>
          <w:color w:val="auto"/>
        </w:rPr>
        <w:t>. Such Transfer does not cause the Company to be classified as an entity other than a partnership (or cause the Company to be treated as a publicly traded partnership taxable as a corporation) for purposes of the Code.</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336"/>
        </w:numPr>
        <w:rPr>
          <w:rFonts w:ascii="Arial" w:cs="Arial" w:eastAsia="Arial" w:hAnsi="Arial"/>
          <w:sz w:val="22"/>
          <w:szCs w:val="22"/>
          <w:color w:val="auto"/>
        </w:rPr>
      </w:pPr>
      <w:r>
        <w:rPr>
          <w:rFonts w:ascii="Arial" w:cs="Arial" w:eastAsia="Arial" w:hAnsi="Arial"/>
          <w:sz w:val="22"/>
          <w:szCs w:val="22"/>
          <w:u w:val="single" w:color="auto"/>
          <w:color w:val="auto"/>
        </w:rPr>
        <w:t>Related Party</w:t>
      </w:r>
      <w:r>
        <w:rPr>
          <w:rFonts w:ascii="Arial" w:cs="Arial" w:eastAsia="Arial" w:hAnsi="Arial"/>
          <w:sz w:val="22"/>
          <w:szCs w:val="22"/>
          <w:color w:val="auto"/>
        </w:rPr>
        <w:t>. Such Transfer is not to a Person that is related within the meaning of Sections 168(h), 267(b) or 707(b)(1) of the Code to the offtaker and the Transfer will not cause any Member to be related (within the meaning of Sections 168(h), 267(b) or 707(b)(1) of the Code) to the offtaker.</w:t>
      </w:r>
    </w:p>
    <w:p>
      <w:pPr>
        <w:spacing w:after="0" w:line="185" w:lineRule="exact"/>
        <w:rPr>
          <w:rFonts w:ascii="Arial" w:cs="Arial" w:eastAsia="Arial" w:hAnsi="Arial"/>
          <w:sz w:val="22"/>
          <w:szCs w:val="22"/>
          <w:color w:val="auto"/>
        </w:rPr>
      </w:pPr>
    </w:p>
    <w:p>
      <w:pPr>
        <w:jc w:val="both"/>
        <w:ind w:firstLine="1952"/>
        <w:spacing w:after="0" w:line="247" w:lineRule="auto"/>
        <w:tabs>
          <w:tab w:leader="none" w:pos="2587" w:val="left"/>
        </w:tabs>
        <w:numPr>
          <w:ilvl w:val="0"/>
          <w:numId w:val="336"/>
        </w:numPr>
        <w:rPr>
          <w:rFonts w:ascii="Arial" w:cs="Arial" w:eastAsia="Arial" w:hAnsi="Arial"/>
          <w:sz w:val="22"/>
          <w:szCs w:val="22"/>
          <w:color w:val="auto"/>
        </w:rPr>
      </w:pPr>
      <w:r>
        <w:rPr>
          <w:rFonts w:ascii="Arial" w:cs="Arial" w:eastAsia="Arial" w:hAnsi="Arial"/>
          <w:sz w:val="22"/>
          <w:szCs w:val="22"/>
          <w:u w:val="single" w:color="auto"/>
          <w:color w:val="auto"/>
        </w:rPr>
        <w:t>Tax-Exempt Entity</w:t>
      </w:r>
      <w:r>
        <w:rPr>
          <w:rFonts w:ascii="Arial" w:cs="Arial" w:eastAsia="Arial" w:hAnsi="Arial"/>
          <w:sz w:val="22"/>
          <w:szCs w:val="22"/>
          <w:color w:val="auto"/>
        </w:rPr>
        <w:t>. Such Transfer is not to a tax-exempt entity (or, if the transferee is a disregarded entity for federal income tax purposes, the Person treated for federal income tax purposes as the owner of its assets is not a tax-exempt entity) (within the meaning of Section 168(h)(2) of the Code) and such Transfer, in the reasonable determination of the Company, does not present a material risk that any property of the Company or the Pinnacle Project Company or any other subsidiary of the Company would thereby become “tax-exempt use property” within the meaning of Section 168(h)(6) of the Code.</w:t>
      </w:r>
    </w:p>
    <w:p>
      <w:pPr>
        <w:spacing w:after="0" w:line="193"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22"/>
          <w:szCs w:val="22"/>
          <w:color w:val="auto"/>
        </w:rPr>
        <w:t>(v)</w:t>
      </w:r>
      <w:r>
        <w:rPr>
          <w:rFonts w:ascii="Arial" w:cs="Arial" w:eastAsia="Arial" w:hAnsi="Arial"/>
          <w:sz w:val="22"/>
          <w:szCs w:val="22"/>
          <w:u w:val="single" w:color="auto"/>
          <w:color w:val="auto"/>
        </w:rPr>
        <w:t>Payment of Expenses</w:t>
      </w:r>
      <w:r>
        <w:rPr>
          <w:rFonts w:ascii="Arial" w:cs="Arial" w:eastAsia="Arial" w:hAnsi="Arial"/>
          <w:sz w:val="22"/>
          <w:szCs w:val="22"/>
          <w:color w:val="auto"/>
        </w:rPr>
        <w:t>. The Transferring Member and the Transferee shall have paid or reimbursed the Company and each Member for all reasonable costs and expenses incurred by the Company and such Members in connection with the Transfer and admission, on or before the tenth (10th) day after the receipt by such Persons of the Company’s or any such Member’s invoice for the amount due.</w:t>
      </w:r>
    </w:p>
    <w:p>
      <w:pPr>
        <w:spacing w:after="0" w:line="188" w:lineRule="exact"/>
        <w:rPr>
          <w:sz w:val="20"/>
          <w:szCs w:val="20"/>
          <w:color w:val="auto"/>
        </w:rPr>
      </w:pPr>
    </w:p>
    <w:p>
      <w:pPr>
        <w:jc w:val="both"/>
        <w:ind w:firstLine="336"/>
        <w:spacing w:after="0" w:line="263" w:lineRule="auto"/>
        <w:rPr>
          <w:sz w:val="20"/>
          <w:szCs w:val="20"/>
          <w:color w:val="auto"/>
        </w:rPr>
      </w:pPr>
      <w:r>
        <w:rPr>
          <w:rFonts w:ascii="Arial" w:cs="Arial" w:eastAsia="Arial" w:hAnsi="Arial"/>
          <w:sz w:val="22"/>
          <w:szCs w:val="22"/>
          <w:color w:val="auto"/>
        </w:rPr>
        <w:t>(vi)</w:t>
      </w:r>
      <w:r>
        <w:rPr>
          <w:rFonts w:ascii="Arial" w:cs="Arial" w:eastAsia="Arial" w:hAnsi="Arial"/>
          <w:sz w:val="22"/>
          <w:szCs w:val="22"/>
          <w:u w:val="single" w:color="auto"/>
          <w:color w:val="auto"/>
        </w:rPr>
        <w:t>No Release</w:t>
      </w:r>
      <w:r>
        <w:rPr>
          <w:rFonts w:ascii="Arial" w:cs="Arial" w:eastAsia="Arial" w:hAnsi="Arial"/>
          <w:sz w:val="22"/>
          <w:szCs w:val="22"/>
          <w:color w:val="auto"/>
        </w:rPr>
        <w:t>. Such Transfer shall not effect a release of the Transferring Member from any liabilities to the Company or the other Members arising from events occurring prior to or in connection with the Transfer.</w:t>
      </w:r>
    </w:p>
    <w:p>
      <w:pPr>
        <w:spacing w:after="0" w:line="175" w:lineRule="exact"/>
        <w:rPr>
          <w:sz w:val="20"/>
          <w:szCs w:val="20"/>
          <w:color w:val="auto"/>
        </w:rPr>
      </w:pPr>
    </w:p>
    <w:p>
      <w:pPr>
        <w:jc w:val="both"/>
        <w:ind w:firstLine="276"/>
        <w:spacing w:after="0" w:line="263" w:lineRule="auto"/>
        <w:rPr>
          <w:sz w:val="20"/>
          <w:szCs w:val="20"/>
          <w:color w:val="auto"/>
        </w:rPr>
      </w:pPr>
      <w:r>
        <w:rPr>
          <w:rFonts w:ascii="Arial" w:cs="Arial" w:eastAsia="Arial" w:hAnsi="Arial"/>
          <w:sz w:val="22"/>
          <w:szCs w:val="22"/>
          <w:color w:val="auto"/>
        </w:rPr>
        <w:t>(vii)</w:t>
      </w:r>
      <w:r>
        <w:rPr>
          <w:rFonts w:ascii="Arial" w:cs="Arial" w:eastAsia="Arial" w:hAnsi="Arial"/>
          <w:sz w:val="22"/>
          <w:szCs w:val="22"/>
          <w:u w:val="single" w:color="auto"/>
          <w:color w:val="auto"/>
        </w:rPr>
        <w:t>Regulatory Matters</w:t>
      </w:r>
      <w:r>
        <w:rPr>
          <w:rFonts w:ascii="Arial" w:cs="Arial" w:eastAsia="Arial" w:hAnsi="Arial"/>
          <w:sz w:val="22"/>
          <w:szCs w:val="22"/>
          <w:color w:val="auto"/>
        </w:rPr>
        <w:t>. Such Transfer shall not result in (a) the Pinnacle Project Company ceasing to be an EWG, (b) the Pinnacle Project Company becoming subject to regulation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323" w:name="page324"/>
    <w:bookmarkEnd w:id="323"/>
    <w:p>
      <w:pPr>
        <w:jc w:val="both"/>
        <w:spacing w:after="0" w:line="263" w:lineRule="auto"/>
        <w:rPr>
          <w:sz w:val="20"/>
          <w:szCs w:val="20"/>
          <w:color w:val="auto"/>
        </w:rPr>
      </w:pPr>
      <w:r>
        <w:rPr>
          <w:rFonts w:ascii="Arial" w:cs="Arial" w:eastAsia="Arial" w:hAnsi="Arial"/>
          <w:sz w:val="22"/>
          <w:szCs w:val="22"/>
          <w:color w:val="auto"/>
        </w:rPr>
        <w:t>PUHCA other than with respect to regulations pertaining to maintaining EWG status or (c) the Pinnacle Project Company ceasing to hold any other Energy Regulatory Approval.</w:t>
      </w:r>
    </w:p>
    <w:p>
      <w:pPr>
        <w:spacing w:after="0" w:line="17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22"/>
          <w:szCs w:val="22"/>
          <w:color w:val="auto"/>
        </w:rPr>
        <w:t>(viii)</w:t>
      </w:r>
      <w:r>
        <w:rPr>
          <w:rFonts w:ascii="Arial" w:cs="Arial" w:eastAsia="Arial" w:hAnsi="Arial"/>
          <w:sz w:val="22"/>
          <w:szCs w:val="22"/>
          <w:u w:val="single" w:color="auto"/>
          <w:color w:val="auto"/>
        </w:rPr>
        <w:t>Consents and Permits</w:t>
      </w:r>
      <w:r>
        <w:rPr>
          <w:rFonts w:ascii="Arial" w:cs="Arial" w:eastAsia="Arial" w:hAnsi="Arial"/>
          <w:sz w:val="22"/>
          <w:szCs w:val="22"/>
          <w:color w:val="auto"/>
        </w:rPr>
        <w:t>. All consents, approvals and Licenses and Permits with respect to such Transfer shall have been obtained.</w:t>
      </w:r>
    </w:p>
    <w:p>
      <w:pPr>
        <w:spacing w:after="0" w:line="175" w:lineRule="exact"/>
        <w:rPr>
          <w:sz w:val="20"/>
          <w:szCs w:val="20"/>
          <w:color w:val="auto"/>
        </w:rPr>
      </w:pPr>
    </w:p>
    <w:p>
      <w:pPr>
        <w:jc w:val="both"/>
        <w:ind w:firstLine="336"/>
        <w:spacing w:after="0" w:line="263" w:lineRule="auto"/>
        <w:rPr>
          <w:sz w:val="20"/>
          <w:szCs w:val="20"/>
          <w:color w:val="auto"/>
        </w:rPr>
      </w:pPr>
      <w:r>
        <w:rPr>
          <w:rFonts w:ascii="Arial" w:cs="Arial" w:eastAsia="Arial" w:hAnsi="Arial"/>
          <w:sz w:val="22"/>
          <w:szCs w:val="22"/>
          <w:color w:val="auto"/>
        </w:rPr>
        <w:t>(ix)</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Such Transfer does not require the Company to register as an “investment company” under the Investment Company Act of 1940, as amended.</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Encumbrances of Membership Interest</w:t>
      </w:r>
      <w:r>
        <w:rPr>
          <w:rFonts w:ascii="Arial" w:cs="Arial" w:eastAsia="Arial" w:hAnsi="Arial"/>
          <w:sz w:val="19"/>
          <w:szCs w:val="19"/>
          <w:color w:val="auto"/>
        </w:rPr>
        <w: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 Member may Encumber its Membership Interest, and any Parent of a Member may Encumber such Membership Interest indirectly, so long as the instrument creating such Encumbrance provides that any Transfer upon foreclosure of such Encumbrance (or Transfer in lieu of such foreclosure) shall, and the actual Transfer relating to such Encumbrance (whether through foreclosure or in lieu of foreclosure) shall (a) not be to a Disqualified Transferee, (b) shall only be to a Qualified Transferee and (c) otherwise comply with the requirements of Section 9.3. Notwithstanding the foregoing provisions of this Section 9.4 (a) the Members agree to act in a commercially reasonable manner in connection with a financing in which a Member intends to grant a security interest in its Units and take such actions (or refrain from taking such actions) as are reasonably requested by such Member to facilitate the closing of such financing, including reasonably cooperating with such Member to enter into a consent to assignment, provided that such consent to assignment is reasonably acceptable to the Members, with such Member’s financing parties and (b) such Member may Encumber its Membership Interests pursuant to and subject to the terms of any such consent.</w:t>
      </w:r>
    </w:p>
    <w:p>
      <w:pPr>
        <w:spacing w:after="0" w:line="18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19"/>
          <w:szCs w:val="19"/>
          <w:u w:val="single" w:color="auto"/>
          <w:color w:val="auto"/>
        </w:rPr>
        <w:t>Admission of Transferee as a Member</w:t>
      </w:r>
      <w:r>
        <w:rPr>
          <w:rFonts w:ascii="Arial" w:cs="Arial" w:eastAsia="Arial" w:hAnsi="Arial"/>
          <w:sz w:val="19"/>
          <w:szCs w:val="19"/>
          <w:color w:val="auto"/>
        </w:rPr>
        <w: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Any Transferee in a Transfer permitted under Section 9.2 shall be admitted to the Company as a Member, with the Membership Interest so transferred to such Transferee, to the extent that (a) the Transferring Member making the Transfer has granted the Transferee the Transferring Member’s entire Membership Interest, or, in the case of Transfer of a part of such Member’s Membership Interest, the express right to be so admitted as a Member and (b) such Transfer is effected in strict compliance with Section 9.3.</w:t>
      </w:r>
    </w:p>
    <w:p>
      <w:pPr>
        <w:spacing w:after="0" w:line="1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f.</w:t>
        <w:tab/>
        <w:t>[***].</w:t>
      </w:r>
    </w:p>
    <w:p>
      <w:pPr>
        <w:spacing w:after="0" w:line="22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g.</w:t>
      </w:r>
      <w:r>
        <w:rPr>
          <w:sz w:val="20"/>
          <w:szCs w:val="20"/>
          <w:color w:val="auto"/>
        </w:rPr>
        <w:tab/>
      </w:r>
      <w:r>
        <w:rPr>
          <w:rFonts w:ascii="Arial" w:cs="Arial" w:eastAsia="Arial" w:hAnsi="Arial"/>
          <w:sz w:val="19"/>
          <w:szCs w:val="19"/>
          <w:u w:val="single" w:color="auto"/>
          <w:color w:val="auto"/>
        </w:rPr>
        <w:t>Terminated Member</w:t>
      </w:r>
      <w:r>
        <w:rPr>
          <w:rFonts w:ascii="Arial" w:cs="Arial" w:eastAsia="Arial" w:hAnsi="Arial"/>
          <w:sz w:val="19"/>
          <w:szCs w:val="19"/>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Upon the closing of a Transfer by a Member of all of its Membership Interest in the Company in accordance with this Article IX, the following provisions shall apply to the Transferring Member (now a “</w:t>
      </w:r>
      <w:r>
        <w:rPr>
          <w:rFonts w:ascii="Arial" w:cs="Arial" w:eastAsia="Arial" w:hAnsi="Arial"/>
          <w:sz w:val="22"/>
          <w:szCs w:val="22"/>
          <w:b w:val="1"/>
          <w:bCs w:val="1"/>
          <w:color w:val="auto"/>
        </w:rPr>
        <w:t>Terminated Member</w:t>
      </w:r>
      <w:r>
        <w:rPr>
          <w:rFonts w:ascii="Arial" w:cs="Arial" w:eastAsia="Arial" w:hAnsi="Arial"/>
          <w:sz w:val="22"/>
          <w:szCs w:val="22"/>
          <w:color w:val="auto"/>
        </w:rPr>
        <w: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(i)The Terminated Member shall cease to be a Member immediately upon the occurrence of such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324" w:name="page325"/>
    <w:bookmarkEnd w:id="324"/>
    <w:p>
      <w:pPr>
        <w:jc w:val="both"/>
        <w:ind w:firstLine="384"/>
        <w:spacing w:after="0" w:line="312" w:lineRule="auto"/>
        <w:rPr>
          <w:sz w:val="20"/>
          <w:szCs w:val="20"/>
          <w:color w:val="auto"/>
        </w:rPr>
      </w:pPr>
      <w:r>
        <w:rPr>
          <w:rFonts w:ascii="Arial" w:cs="Arial" w:eastAsia="Arial" w:hAnsi="Arial"/>
          <w:sz w:val="19"/>
          <w:szCs w:val="19"/>
          <w:color w:val="auto"/>
        </w:rPr>
        <w:t>(ii)The Terminated Member shall no longer be entitled to receive any distributions (including liquidating distributions pursuant to Section 12.2) or allocations from the Company, and it shall not be entitled to exercise any voting or consent rights or to receive any further information (or access to information) from the Company (other than any required tax information).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(iii)The Terminated Member must pay (i) to the Company all amounts owed to the Company by the Terminated Member and (ii) to each other Member all amounts owed to such Member by the Terminated Member.</w:t>
      </w:r>
    </w:p>
    <w:p>
      <w:pPr>
        <w:spacing w:after="0" w:line="175" w:lineRule="exact"/>
        <w:rPr>
          <w:sz w:val="20"/>
          <w:szCs w:val="20"/>
          <w:color w:val="auto"/>
        </w:rPr>
      </w:pPr>
    </w:p>
    <w:p>
      <w:pPr>
        <w:jc w:val="both"/>
        <w:ind w:firstLine="336"/>
        <w:spacing w:after="0" w:line="263" w:lineRule="auto"/>
        <w:rPr>
          <w:sz w:val="20"/>
          <w:szCs w:val="20"/>
          <w:color w:val="auto"/>
        </w:rPr>
      </w:pPr>
      <w:r>
        <w:rPr>
          <w:rFonts w:ascii="Arial" w:cs="Arial" w:eastAsia="Arial" w:hAnsi="Arial"/>
          <w:sz w:val="22"/>
          <w:szCs w:val="22"/>
          <w:color w:val="auto"/>
        </w:rPr>
        <w:t>(iv)The Terminated Member shall remain obligated for all liabilities it may have under this Agreement or otherwise with respect to the Company that accrue prior to the closing.</w:t>
      </w:r>
    </w:p>
    <w:p>
      <w:pPr>
        <w:spacing w:after="0" w:line="175" w:lineRule="exact"/>
        <w:rPr>
          <w:sz w:val="20"/>
          <w:szCs w:val="20"/>
          <w:color w:val="auto"/>
        </w:rPr>
      </w:pPr>
    </w:p>
    <w:p>
      <w:pPr>
        <w:jc w:val="both"/>
        <w:ind w:firstLine="396"/>
        <w:spacing w:after="0" w:line="343" w:lineRule="auto"/>
        <w:rPr>
          <w:sz w:val="20"/>
          <w:szCs w:val="20"/>
          <w:color w:val="auto"/>
        </w:rPr>
      </w:pPr>
      <w:r>
        <w:rPr>
          <w:rFonts w:ascii="Arial" w:cs="Arial" w:eastAsia="Arial" w:hAnsi="Arial"/>
          <w:sz w:val="19"/>
          <w:szCs w:val="19"/>
          <w:color w:val="auto"/>
        </w:rPr>
        <w:t>(v)The Membership Interest, including the Capital Account balance attributable thereto, of the Terminated Member shall be allocated among the applicable Transferees in proportion to the relative Transferred Units acquired by such Transferee.</w:t>
      </w:r>
    </w:p>
    <w:p>
      <w:pPr>
        <w:spacing w:after="0" w:line="11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h.</w:t>
      </w:r>
      <w:r>
        <w:rPr>
          <w:sz w:val="20"/>
          <w:szCs w:val="20"/>
          <w:color w:val="auto"/>
        </w:rPr>
        <w:tab/>
      </w:r>
      <w:r>
        <w:rPr>
          <w:rFonts w:ascii="Arial" w:cs="Arial" w:eastAsia="Arial" w:hAnsi="Arial"/>
          <w:sz w:val="19"/>
          <w:szCs w:val="19"/>
          <w:u w:val="single" w:color="auto"/>
          <w:color w:val="auto"/>
        </w:rPr>
        <w:t>Class B Member Matters</w:t>
      </w:r>
      <w:r>
        <w:rPr>
          <w:rFonts w:ascii="Arial" w:cs="Arial" w:eastAsia="Arial" w:hAnsi="Arial"/>
          <w:sz w:val="19"/>
          <w:szCs w:val="19"/>
          <w:color w:val="auto"/>
        </w:rPr>
        <w:t>.</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Class B Member agrees that it shall cause [***] to be admitted as a member of Class B Member no later than [***] (the “</w:t>
      </w:r>
      <w:r>
        <w:rPr>
          <w:rFonts w:ascii="Arial" w:cs="Arial" w:eastAsia="Arial" w:hAnsi="Arial"/>
          <w:sz w:val="22"/>
          <w:szCs w:val="22"/>
          <w:u w:val="single" w:color="auto"/>
          <w:color w:val="auto"/>
        </w:rPr>
        <w:t>Outside</w:t>
      </w:r>
      <w:r>
        <w:rPr>
          <w:rFonts w:ascii="Arial" w:cs="Arial" w:eastAsia="Arial" w:hAnsi="Arial"/>
          <w:sz w:val="22"/>
          <w:szCs w:val="22"/>
          <w:color w:val="auto"/>
        </w:rPr>
        <w:t xml:space="preserve"> </w:t>
      </w:r>
      <w:r>
        <w:rPr>
          <w:rFonts w:ascii="Arial" w:cs="Arial" w:eastAsia="Arial" w:hAnsi="Arial"/>
          <w:sz w:val="22"/>
          <w:szCs w:val="22"/>
          <w:u w:val="single" w:color="auto"/>
          <w:color w:val="auto"/>
        </w:rPr>
        <w:t>Admission Date</w:t>
      </w:r>
      <w:r>
        <w:rPr>
          <w:rFonts w:ascii="Arial" w:cs="Arial" w:eastAsia="Arial" w:hAnsi="Arial"/>
          <w:sz w:val="22"/>
          <w:szCs w:val="22"/>
          <w:color w:val="auto"/>
        </w:rPr>
        <w:t xml:space="preserve">”), and Class B Member shall cause, contemporaneously with such an admission of the [***] as a member to Class B Member, [***] to contribute to Class B Member the Safe Harbor Equipment. Dissolution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12(a)(iv)</w:t>
      </w:r>
      <w:r>
        <w:rPr>
          <w:rFonts w:ascii="Arial" w:cs="Arial" w:eastAsia="Arial" w:hAnsi="Arial"/>
          <w:sz w:val="22"/>
          <w:szCs w:val="22"/>
          <w:color w:val="auto"/>
        </w:rPr>
        <w:t xml:space="preserve"> shall be the sole and exclusive remedy of the other Members for the failure of the Class B Member to satisfy its obligations under this </w:t>
      </w:r>
      <w:r>
        <w:rPr>
          <w:rFonts w:ascii="Arial" w:cs="Arial" w:eastAsia="Arial" w:hAnsi="Arial"/>
          <w:sz w:val="22"/>
          <w:szCs w:val="22"/>
          <w:u w:val="single" w:color="auto"/>
          <w:color w:val="auto"/>
        </w:rPr>
        <w:t>Section 9.8</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[RESERVED]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Indemnification by the Class B Member</w:t>
      </w:r>
      <w:r>
        <w:rPr>
          <w:rFonts w:ascii="Arial" w:cs="Arial" w:eastAsia="Arial" w:hAnsi="Arial"/>
          <w:sz w:val="19"/>
          <w:szCs w:val="19"/>
          <w:color w:val="auto"/>
        </w:rPr>
        <w:t>. Subject to the terms and conditions of this Article 11, each Class B Member shall indemnify, defend, reimburse and hold harmless each Class A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9"/>
          <w:szCs w:val="19"/>
          <w:b w:val="1"/>
          <w:bCs w:val="1"/>
          <w:color w:val="auto"/>
        </w:rPr>
        <w:t>Class A Parties</w:t>
      </w:r>
      <w:r>
        <w:rPr>
          <w:rFonts w:ascii="Arial" w:cs="Arial" w:eastAsia="Arial" w:hAnsi="Arial"/>
          <w:sz w:val="19"/>
          <w:szCs w:val="19"/>
          <w:color w:val="auto"/>
        </w:rPr>
        <w:t>”), from and against: (i) any and all assessments, losses, damages, liabilities, judgments, settlements, Taxes, penalties, costs, and expenses (including reasonable attorneys’ fees and expenses, including such fees and expenses at trial and on any appeal), of any nature whatsoever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325" w:name="page326"/>
    <w:bookmarkEnd w:id="325"/>
    <w:p>
      <w:pPr>
        <w:jc w:val="both"/>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Damages</w:t>
      </w:r>
      <w:r>
        <w:rPr>
          <w:rFonts w:ascii="Arial" w:cs="Arial" w:eastAsia="Arial" w:hAnsi="Arial"/>
          <w:sz w:val="19"/>
          <w:szCs w:val="19"/>
          <w:color w:val="auto"/>
        </w:rPr>
        <w:t>”) asserted against, resulting to, imposed upon, or incurred by the Class A Parties, directly or indirectly, by reason of or resulting from any breach or failure by the Class B Member of any of its representations, warranties, covenants, obligations or agreements contained in this Agreement or any other Investment Document or any certificate delivered thereunder or hereunder;</w:t>
      </w:r>
    </w:p>
    <w:p>
      <w:pPr>
        <w:spacing w:after="0" w:line="1" w:lineRule="exact"/>
        <w:rPr>
          <w:sz w:val="20"/>
          <w:szCs w:val="20"/>
          <w:color w:val="auto"/>
        </w:rPr>
      </w:pPr>
    </w:p>
    <w:p>
      <w:pPr>
        <w:jc w:val="both"/>
        <w:ind w:firstLine="8"/>
        <w:spacing w:after="0" w:line="287" w:lineRule="auto"/>
        <w:tabs>
          <w:tab w:leader="none" w:pos="328" w:val="left"/>
        </w:tabs>
        <w:numPr>
          <w:ilvl w:val="0"/>
          <w:numId w:val="337"/>
        </w:numPr>
        <w:rPr>
          <w:rFonts w:ascii="Arial" w:cs="Arial" w:eastAsia="Arial" w:hAnsi="Arial"/>
          <w:sz w:val="19"/>
          <w:szCs w:val="19"/>
          <w:color w:val="auto"/>
        </w:rPr>
      </w:pPr>
      <w:r>
        <w:rPr>
          <w:rFonts w:ascii="Arial" w:cs="Arial" w:eastAsia="Arial" w:hAnsi="Arial"/>
          <w:sz w:val="19"/>
          <w:szCs w:val="19"/>
          <w:color w:val="auto"/>
        </w:rPr>
        <w:t>Damages asserted against, resulting to, imposed upon, or incurred by the Class A Parties, directly or indirectly, by reason of or resulting from a payment under the Class A TE Guaranty that pertains to a Class B TE Obligation; and (iii) its pro rata share (in accordance with its Class B Units) of the Class B Member’s Specified Share of Damages asserted against, resulting to, imposed upon, or incurred by the Class A Parties, directly or indirectly, by reason of or resulting from a payment under the Class A TE Guaranty that pertains to neither a Class A TE Obligation nor a Class B TE Obligation (collectively, “</w:t>
      </w:r>
      <w:r>
        <w:rPr>
          <w:rFonts w:ascii="Arial" w:cs="Arial" w:eastAsia="Arial" w:hAnsi="Arial"/>
          <w:sz w:val="19"/>
          <w:szCs w:val="19"/>
          <w:b w:val="1"/>
          <w:bCs w:val="1"/>
          <w:color w:val="auto"/>
        </w:rPr>
        <w:t>Class A Claims</w:t>
      </w:r>
      <w:r>
        <w:rPr>
          <w:rFonts w:ascii="Arial" w:cs="Arial" w:eastAsia="Arial" w:hAnsi="Arial"/>
          <w:sz w:val="19"/>
          <w:szCs w:val="19"/>
          <w:color w:val="auto"/>
        </w:rPr>
        <w:t>”). To the extent that any such Damages remain unpaid after a claim has been properly made therefor pursuant to this Section 11.1(a) that is not a bona fide dispute, any distributions otherwise payable to the Class B Members under this Agreement shall be used to satisfy the obligations of each Class B Member hereunder.</w:t>
      </w:r>
    </w:p>
    <w:p>
      <w:pPr>
        <w:spacing w:after="0" w:line="160" w:lineRule="exact"/>
        <w:rPr>
          <w:sz w:val="20"/>
          <w:szCs w:val="20"/>
          <w:color w:val="auto"/>
        </w:rPr>
      </w:pPr>
    </w:p>
    <w:p>
      <w:pPr>
        <w:jc w:val="both"/>
        <w:ind w:firstLine="384"/>
        <w:spacing w:after="0" w:line="287"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Indemnification by the Class A Member</w:t>
      </w:r>
      <w:r>
        <w:rPr>
          <w:rFonts w:ascii="Arial" w:cs="Arial" w:eastAsia="Arial" w:hAnsi="Arial"/>
          <w:sz w:val="19"/>
          <w:szCs w:val="19"/>
          <w:color w:val="auto"/>
        </w:rPr>
        <w:t>. Subject to the terms and conditions of this Article 11, each Class A Member shall indemnify, defend, reimburse and hold harmless each Class B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9"/>
          <w:szCs w:val="19"/>
          <w:b w:val="1"/>
          <w:bCs w:val="1"/>
          <w:color w:val="auto"/>
        </w:rPr>
        <w:t>Class B Parties</w:t>
      </w:r>
      <w:r>
        <w:rPr>
          <w:rFonts w:ascii="Arial" w:cs="Arial" w:eastAsia="Arial" w:hAnsi="Arial"/>
          <w:sz w:val="19"/>
          <w:szCs w:val="19"/>
          <w:color w:val="auto"/>
        </w:rPr>
        <w:t>” and together with the Class A Parties, the “</w:t>
      </w:r>
      <w:r>
        <w:rPr>
          <w:rFonts w:ascii="Arial" w:cs="Arial" w:eastAsia="Arial" w:hAnsi="Arial"/>
          <w:sz w:val="19"/>
          <w:szCs w:val="19"/>
          <w:b w:val="1"/>
          <w:bCs w:val="1"/>
          <w:color w:val="auto"/>
        </w:rPr>
        <w:t>Indemnified</w:t>
      </w:r>
      <w:r>
        <w:rPr>
          <w:rFonts w:ascii="Arial" w:cs="Arial" w:eastAsia="Arial" w:hAnsi="Arial"/>
          <w:sz w:val="19"/>
          <w:szCs w:val="19"/>
          <w:color w:val="auto"/>
        </w:rPr>
        <w:t xml:space="preserve"> </w:t>
      </w:r>
      <w:r>
        <w:rPr>
          <w:rFonts w:ascii="Arial" w:cs="Arial" w:eastAsia="Arial" w:hAnsi="Arial"/>
          <w:sz w:val="19"/>
          <w:szCs w:val="19"/>
          <w:b w:val="1"/>
          <w:bCs w:val="1"/>
          <w:color w:val="auto"/>
        </w:rPr>
        <w:t>Parties</w:t>
      </w:r>
      <w:r>
        <w:rPr>
          <w:rFonts w:ascii="Arial" w:cs="Arial" w:eastAsia="Arial" w:hAnsi="Arial"/>
          <w:sz w:val="19"/>
          <w:szCs w:val="19"/>
          <w:color w:val="auto"/>
        </w:rPr>
        <w:t>”), from and against any and all Damages asserted against, resulting to, imposed upon, or incurred by the Class B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directly or indirectly, by reason of or resulting from any breach or failure by the Class A Member (whether in its capacity as a Class A Member, the Manager, the Partnership Representative or otherwise) of any of its representations, warranties, covenants, obligations or agreements contained in this Agreement or any other Investment Document or any certificate delivered thereunder or hereunder (collectively, “</w:t>
      </w:r>
      <w:r>
        <w:rPr>
          <w:rFonts w:ascii="Arial" w:cs="Arial" w:eastAsia="Arial" w:hAnsi="Arial"/>
          <w:sz w:val="19"/>
          <w:szCs w:val="19"/>
          <w:b w:val="1"/>
          <w:bCs w:val="1"/>
          <w:color w:val="auto"/>
        </w:rPr>
        <w:t>Class B Claims</w:t>
      </w:r>
      <w:r>
        <w:rPr>
          <w:rFonts w:ascii="Arial" w:cs="Arial" w:eastAsia="Arial" w:hAnsi="Arial"/>
          <w:sz w:val="19"/>
          <w:szCs w:val="19"/>
          <w:color w:val="auto"/>
        </w:rPr>
        <w:t>” and together with the Class A Claims, the “</w:t>
      </w:r>
      <w:r>
        <w:rPr>
          <w:rFonts w:ascii="Arial" w:cs="Arial" w:eastAsia="Arial" w:hAnsi="Arial"/>
          <w:sz w:val="19"/>
          <w:szCs w:val="19"/>
          <w:b w:val="1"/>
          <w:bCs w:val="1"/>
          <w:color w:val="auto"/>
        </w:rPr>
        <w:t>Indemnity Claim</w:t>
      </w:r>
      <w:r>
        <w:rPr>
          <w:rFonts w:ascii="Arial" w:cs="Arial" w:eastAsia="Arial" w:hAnsi="Arial"/>
          <w:sz w:val="19"/>
          <w:szCs w:val="19"/>
          <w:color w:val="auto"/>
        </w:rPr>
        <w:t>”). To the extent that any such Damages remain unpaid after a claim has been properly made therefor pursuant to this Section 11.1(b) that is not a bona fide dispute, any distributions otherwise payable to the Class A Members under this Agreement shall be used to satisfy the obligations of each Class A Member hereunder.</w:t>
      </w:r>
    </w:p>
    <w:p>
      <w:pPr>
        <w:spacing w:after="0" w:line="15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Procedure for Indemnification</w:t>
      </w:r>
      <w:r>
        <w:rPr>
          <w:rFonts w:ascii="Arial" w:cs="Arial" w:eastAsia="Arial" w:hAnsi="Arial"/>
          <w:sz w:val="19"/>
          <w:szCs w:val="19"/>
          <w:color w:val="auto"/>
        </w:rPr>
        <w: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After receipt by an Indemnified Party under Section 11.1 of notice of the commencement of any action, or any other actual or potential Indemnity Claim, such Indemnified Party shall, if a claim in respect thereof is to be made against a Member (the “</w:t>
      </w:r>
      <w:r>
        <w:rPr>
          <w:rFonts w:ascii="Arial" w:cs="Arial" w:eastAsia="Arial" w:hAnsi="Arial"/>
          <w:sz w:val="21"/>
          <w:szCs w:val="21"/>
          <w:b w:val="1"/>
          <w:bCs w:val="1"/>
          <w:color w:val="auto"/>
        </w:rPr>
        <w:t>Indemnifying Member</w:t>
      </w:r>
      <w:r>
        <w:rPr>
          <w:rFonts w:ascii="Arial" w:cs="Arial" w:eastAsia="Arial" w:hAnsi="Arial"/>
          <w:sz w:val="21"/>
          <w:szCs w:val="21"/>
          <w:color w:val="auto"/>
        </w:rPr>
        <w:t>”), give written notice thereof to such Indemnifying Member. The failure to promptly notify the Indemnifying Member shall not relieve such Indemnifying Member of any liability that it may have to any Indemnified Party with respect to such action; provided that, to the extent that any such failure to provide prompt notice is responsible for an increase in the indemnity obligations of the Indemnifying Member, the Indemnifying Member shall not be responsible for any such increase. In the case of any such action brought against an Indemnified Party for which the Indemnified Party has given written notice to the Indemnifying Member of the commencement thereof,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2" w:right="339" w:bottom="1440" w:gutter="0" w:footer="0" w:header="0"/>
        </w:sectPr>
      </w:pPr>
    </w:p>
    <w:bookmarkStart w:id="326" w:name="page327"/>
    <w:bookmarkEnd w:id="326"/>
    <w:p>
      <w:pPr>
        <w:jc w:val="both"/>
        <w:spacing w:after="0" w:line="285" w:lineRule="auto"/>
        <w:rPr>
          <w:sz w:val="20"/>
          <w:szCs w:val="20"/>
          <w:color w:val="auto"/>
        </w:rPr>
      </w:pPr>
      <w:r>
        <w:rPr>
          <w:rFonts w:ascii="Arial" w:cs="Arial" w:eastAsia="Arial" w:hAnsi="Arial"/>
          <w:sz w:val="19"/>
          <w:szCs w:val="19"/>
          <w:color w:val="auto"/>
        </w:rPr>
        <w:t>Indemnifying Member shall be entitled to participate therein and, to the extent that it may wish, to assume the defense thereof with counsel reasonably satisfactory to such indemnified party. If the Indemnifying Member elects to assume the defense of such action, the Indemnified Party shall have the right to employ separate counsel at its own expense and to participate in the defense thereof. If the Indemnifying Member elects not to assume (or fails to assume) the defense of such action, or at any time fails diligently to pursue such defense, the Indemnified Party shall be entitled to assume the defense of such action with counsel of its own choice, at the expense of the Indemnifying Member. If the action is asserted against both the Indemnifying Member and the Indemnified Party and (a) there is a conflict of interests which renders it inappropriate for the same counsel to represent both the Indemnifying Member and the Indemnified Party or (b) such action could reasonably be expected to result in the imposition of criminal liability, the Indemnifying Member shall be responsible for paying for separate counsel for the indemnified party; provided, however, that if there is more than one Indemnified Party and it is practical for all such parties to be represented by common counsel, the Indemnifying Member shall not be responsible for paying for more than one separate firm of attorneys to represent the indemnified parties, regardless of the number of indemnified parties. If the Indemnifying Member elects to assume the defense of such action, (y) no compromise or settlement thereof may be effected by the Indemnifying Member without the indemnified party’s written consent (which shall not be unreasonably withheld) unless the sole relief provided is monetary damages that are paid in full by the Indemnifying Member and (z) the Indemnifying Member shall have no liability with respect to any compromise or settlement thereof effected without its written consent (which shall not be unreasonably withheld) unless the Indemnifying Member has failed to defend such Indemnified Party against such action.</w:t>
      </w:r>
    </w:p>
    <w:p>
      <w:pPr>
        <w:spacing w:after="0" w:line="16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21"/>
          <w:szCs w:val="21"/>
          <w:u w:val="single" w:color="auto"/>
          <w:color w:val="auto"/>
        </w:rPr>
        <w:t>Exclusivity</w:t>
      </w:r>
      <w:r>
        <w:rPr>
          <w:rFonts w:ascii="Arial" w:cs="Arial" w:eastAsia="Arial" w:hAnsi="Arial"/>
          <w:sz w:val="21"/>
          <w:szCs w:val="21"/>
          <w:color w:val="auto"/>
        </w:rPr>
        <w: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Parties agree that, (a) except with respect to fraud or willful misconduct, in relation to any breach, default, or nonperformance of any representation, warranty, covenant, or agreement made or entered into by a Member (whether in its capacity as a Member, the Manager, the Partnership Representative or otherwise) pursuant to this Agreement or any certificate, instrument, or document delivered pursuant hereto or arising out of the transactions contemplated herein, the only relief and remedy available to the other Members in respect of Damages fully recoverable and addressed by the payment of money shall be as set forth in this Article 11, but only to the extent properly claimable hereunder and as limited pursuant to this Article 11 or otherwise hereunder. For the avoidance of doubt, no Party has waived any rights to pursue equitable remedies under this Agreement or the other Investment Documents.</w:t>
      </w:r>
    </w:p>
    <w:p>
      <w:pPr>
        <w:spacing w:after="0" w:line="18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No Right of Contribution</w:t>
      </w:r>
      <w:r>
        <w:rPr>
          <w:rFonts w:ascii="Arial" w:cs="Arial" w:eastAsia="Arial" w:hAnsi="Arial"/>
          <w:sz w:val="19"/>
          <w:szCs w:val="19"/>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After the Effective Date, the Company shall have no liability to indemnify a Member on account of the breach of any representation or warranty or the nonfulfillment of any covenant or agreement of the Company; and no Member shall have any right of contribution against the Company.</w:t>
      </w:r>
    </w:p>
    <w:p>
      <w:pPr>
        <w:spacing w:after="0" w:line="18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21"/>
          <w:szCs w:val="21"/>
          <w:u w:val="single" w:color="auto"/>
          <w:color w:val="auto"/>
        </w:rPr>
        <w:t>Limitation on Liability</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327" w:name="page328"/>
    <w:bookmarkEnd w:id="327"/>
    <w:p>
      <w:pPr>
        <w:spacing w:after="0"/>
        <w:rPr>
          <w:sz w:val="20"/>
          <w:szCs w:val="20"/>
          <w:color w:val="auto"/>
        </w:rPr>
      </w:pPr>
      <w:r>
        <w:rPr>
          <w:rFonts w:ascii="Arial" w:cs="Arial" w:eastAsia="Arial" w:hAnsi="Arial"/>
          <w:sz w:val="22"/>
          <w:szCs w:val="22"/>
          <w:color w:val="auto"/>
        </w:rPr>
        <w:t>The indemnification obligations pursuant to this Article 11 shall be subject to the following limitations:</w:t>
      </w:r>
    </w:p>
    <w:p>
      <w:pPr>
        <w:spacing w:after="0" w:line="220" w:lineRule="exact"/>
        <w:rPr>
          <w:sz w:val="20"/>
          <w:szCs w:val="20"/>
          <w:color w:val="auto"/>
        </w:rPr>
      </w:pPr>
    </w:p>
    <w:p>
      <w:pPr>
        <w:jc w:val="both"/>
        <w:ind w:firstLine="444"/>
        <w:spacing w:after="0" w:line="292" w:lineRule="auto"/>
        <w:rPr>
          <w:sz w:val="20"/>
          <w:szCs w:val="20"/>
          <w:color w:val="auto"/>
        </w:rPr>
      </w:pPr>
      <w:r>
        <w:rPr>
          <w:rFonts w:ascii="Arial" w:cs="Arial" w:eastAsia="Arial" w:hAnsi="Arial"/>
          <w:sz w:val="19"/>
          <w:szCs w:val="19"/>
          <w:color w:val="auto"/>
        </w:rPr>
        <w:t>(i)Damages paid pursuant to this Article 11 shall be treated as a non-taxable adjustment to purchase price or return of capital for federal income tax purposes unless the Class A Member receives an opinion at a “more likely than not” level or higher from a nationally-recognized law firm that such amount is taxable. If such opinion is received, Damages paid pursuant to this Article 11 shall be grossed- up and paid on an After-Tax Basis. To the extent an Indemnified Party subsequently recovers all or a part of the Damages indemnified under this Article 11, the Indemnified Party shall promptly refund the applicable Member(s) that paid such Damages the recovered Damages on an After-Tax Basis; provided that any such refund shall not exceed the original amount paid to the Indemnified Party by the applicable Member(s) (on an After-Tax Basis) hereunder.</w:t>
      </w:r>
    </w:p>
    <w:p>
      <w:pPr>
        <w:spacing w:after="0" w:line="151" w:lineRule="exact"/>
        <w:rPr>
          <w:sz w:val="20"/>
          <w:szCs w:val="20"/>
          <w:color w:val="auto"/>
        </w:rPr>
      </w:pPr>
    </w:p>
    <w:p>
      <w:pPr>
        <w:jc w:val="both"/>
        <w:ind w:firstLine="384"/>
        <w:spacing w:after="0" w:line="248" w:lineRule="auto"/>
        <w:rPr>
          <w:sz w:val="20"/>
          <w:szCs w:val="20"/>
          <w:color w:val="auto"/>
        </w:rPr>
      </w:pPr>
      <w:r>
        <w:rPr>
          <w:rFonts w:ascii="Arial" w:cs="Arial" w:eastAsia="Arial" w:hAnsi="Arial"/>
          <w:sz w:val="22"/>
          <w:szCs w:val="22"/>
          <w:color w:val="auto"/>
        </w:rPr>
        <w:t>(ii)The indemnification obligations under this Article 11 shall be limited to actual Damages and shall not include special, incidental, consequential, indirect, punitive, or exemplary Damages (including lost profits and damages for a lost opportunity); provided, that any incidental, consequential, indirect, punitive, or exemplary Damages recovered by a third party (including Governmental Authorities) against a Person entitled to indemnity pursuant to this Article 11 shall be included in the Damages recoverable under such indemnity.</w:t>
      </w:r>
    </w:p>
    <w:p>
      <w:pPr>
        <w:spacing w:after="0" w:line="1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f.</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Article 11 of this Agreement constitutes the entire agreement and understanding of the parties with respect to indemnification 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DISSOLUTION, LIQUIDATION AND TERMINATION</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Dissolution</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63" w:lineRule="auto"/>
        <w:rPr>
          <w:sz w:val="20"/>
          <w:szCs w:val="20"/>
          <w:color w:val="auto"/>
        </w:rPr>
      </w:pPr>
      <w:r>
        <w:rPr>
          <w:rFonts w:ascii="Arial" w:cs="Arial" w:eastAsia="Arial" w:hAnsi="Arial"/>
          <w:sz w:val="22"/>
          <w:szCs w:val="22"/>
          <w:color w:val="auto"/>
        </w:rPr>
        <w:t>(i)The Company will dissolve and its business and affairs will be wound up on the first to occur of the following (the “</w:t>
      </w:r>
      <w:r>
        <w:rPr>
          <w:rFonts w:ascii="Arial" w:cs="Arial" w:eastAsia="Arial" w:hAnsi="Arial"/>
          <w:sz w:val="22"/>
          <w:szCs w:val="22"/>
          <w:b w:val="1"/>
          <w:bCs w:val="1"/>
          <w:color w:val="auto"/>
        </w:rPr>
        <w:t>Liquidating Events</w:t>
      </w:r>
      <w:r>
        <w:rPr>
          <w:rFonts w:ascii="Arial" w:cs="Arial" w:eastAsia="Arial" w:hAnsi="Arial"/>
          <w:sz w:val="22"/>
          <w:szCs w:val="22"/>
          <w:color w:val="auto"/>
        </w:rPr>
        <w:t>”):</w:t>
      </w:r>
    </w:p>
    <w:p>
      <w:pPr>
        <w:spacing w:after="0" w:line="175" w:lineRule="exact"/>
        <w:rPr>
          <w:sz w:val="20"/>
          <w:szCs w:val="20"/>
          <w:color w:val="auto"/>
        </w:rPr>
      </w:pPr>
    </w:p>
    <w:p>
      <w:pPr>
        <w:ind w:left="2600" w:hanging="648"/>
        <w:spacing w:after="0"/>
        <w:tabs>
          <w:tab w:leader="none" w:pos="2600" w:val="left"/>
        </w:tabs>
        <w:numPr>
          <w:ilvl w:val="0"/>
          <w:numId w:val="338"/>
        </w:numPr>
        <w:rPr>
          <w:rFonts w:ascii="Arial" w:cs="Arial" w:eastAsia="Arial" w:hAnsi="Arial"/>
          <w:sz w:val="22"/>
          <w:szCs w:val="22"/>
          <w:color w:val="auto"/>
        </w:rPr>
      </w:pPr>
      <w:r>
        <w:rPr>
          <w:rFonts w:ascii="Arial" w:cs="Arial" w:eastAsia="Arial" w:hAnsi="Arial"/>
          <w:sz w:val="22"/>
          <w:szCs w:val="22"/>
          <w:color w:val="auto"/>
        </w:rPr>
        <w:t>The unanimous consent of the Members to dissolve the Company;</w:t>
      </w:r>
    </w:p>
    <w:p>
      <w:pPr>
        <w:spacing w:after="0" w:line="219" w:lineRule="exact"/>
        <w:rPr>
          <w:rFonts w:ascii="Arial" w:cs="Arial" w:eastAsia="Arial" w:hAnsi="Arial"/>
          <w:sz w:val="22"/>
          <w:szCs w:val="22"/>
          <w:color w:val="auto"/>
        </w:rPr>
      </w:pPr>
    </w:p>
    <w:p>
      <w:pPr>
        <w:jc w:val="both"/>
        <w:ind w:firstLine="1952"/>
        <w:spacing w:after="0" w:line="302" w:lineRule="auto"/>
        <w:tabs>
          <w:tab w:leader="none" w:pos="2587" w:val="left"/>
        </w:tabs>
        <w:numPr>
          <w:ilvl w:val="0"/>
          <w:numId w:val="338"/>
        </w:numPr>
        <w:rPr>
          <w:rFonts w:ascii="Arial" w:cs="Arial" w:eastAsia="Arial" w:hAnsi="Arial"/>
          <w:sz w:val="19"/>
          <w:szCs w:val="19"/>
          <w:color w:val="auto"/>
        </w:rPr>
      </w:pPr>
      <w:r>
        <w:rPr>
          <w:rFonts w:ascii="Arial" w:cs="Arial" w:eastAsia="Arial" w:hAnsi="Arial"/>
          <w:sz w:val="19"/>
          <w:szCs w:val="19"/>
          <w:color w:val="auto"/>
        </w:rPr>
        <w:t>Any other event upon the occurrence of which dissolution is required by the Act (that the Act does not allow to be waived by agreement of the Parties), unless, to the extent permitted by the Act, Members (other than the Member with respect to which such event occurs) unanimously elect in writing, within ninety (90) days of the date such event described in this Section 12.1(a)(ii) occurs, to continue the business of the Company, in which case the Company will not dissolve;</w:t>
      </w:r>
    </w:p>
    <w:p>
      <w:pPr>
        <w:spacing w:after="0" w:line="142" w:lineRule="exact"/>
        <w:rPr>
          <w:rFonts w:ascii="Arial" w:cs="Arial" w:eastAsia="Arial" w:hAnsi="Arial"/>
          <w:sz w:val="19"/>
          <w:szCs w:val="19"/>
          <w:color w:val="auto"/>
        </w:rPr>
      </w:pPr>
    </w:p>
    <w:p>
      <w:pPr>
        <w:ind w:left="2600" w:hanging="648"/>
        <w:spacing w:after="0"/>
        <w:tabs>
          <w:tab w:leader="none" w:pos="2600" w:val="left"/>
        </w:tabs>
        <w:numPr>
          <w:ilvl w:val="0"/>
          <w:numId w:val="338"/>
        </w:numPr>
        <w:rPr>
          <w:rFonts w:ascii="Arial" w:cs="Arial" w:eastAsia="Arial" w:hAnsi="Arial"/>
          <w:sz w:val="19"/>
          <w:szCs w:val="19"/>
          <w:color w:val="auto"/>
        </w:rPr>
      </w:pPr>
      <w:r>
        <w:rPr>
          <w:rFonts w:ascii="Arial" w:cs="Arial" w:eastAsia="Arial" w:hAnsi="Arial"/>
          <w:sz w:val="19"/>
          <w:szCs w:val="19"/>
          <w:color w:val="auto"/>
        </w:rPr>
        <w:t>The sale, transfer or other disposition by the Company of all or substantially all of its business 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8" w:right="339" w:bottom="1440" w:gutter="0" w:footer="0" w:header="0"/>
        </w:sectPr>
      </w:pPr>
    </w:p>
    <w:bookmarkStart w:id="328" w:name="page329"/>
    <w:bookmarkEnd w:id="328"/>
    <w:p>
      <w:pPr>
        <w:ind w:right="20" w:firstLine="1952"/>
        <w:spacing w:after="0" w:line="263" w:lineRule="auto"/>
        <w:tabs>
          <w:tab w:leader="none" w:pos="2587" w:val="left"/>
        </w:tabs>
        <w:numPr>
          <w:ilvl w:val="0"/>
          <w:numId w:val="339"/>
        </w:numPr>
        <w:rPr>
          <w:rFonts w:ascii="Arial" w:cs="Arial" w:eastAsia="Arial" w:hAnsi="Arial"/>
          <w:sz w:val="22"/>
          <w:szCs w:val="22"/>
          <w:color w:val="auto"/>
        </w:rPr>
      </w:pPr>
      <w:r>
        <w:rPr>
          <w:rFonts w:ascii="Arial" w:cs="Arial" w:eastAsia="Arial" w:hAnsi="Arial"/>
          <w:sz w:val="22"/>
          <w:szCs w:val="22"/>
          <w:color w:val="auto"/>
        </w:rPr>
        <w:t>If the [***] is not admitted as a member of Class B Member and the Safe Harbor Equipment is not contributed to the Company on or before the Outside Admission Date.</w:t>
      </w:r>
    </w:p>
    <w:p>
      <w:pPr>
        <w:spacing w:after="0" w:line="175"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22"/>
          <w:szCs w:val="22"/>
          <w:color w:val="auto"/>
        </w:rPr>
        <w:t>(ii)Each Member agrees that, to the fullest extent permitted by Law, it will not dissolve itself or the Company or withdraw from the Company except as set forth in Section 12.1(a).</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Liquidation and Termination</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48" w:lineRule="auto"/>
        <w:rPr>
          <w:sz w:val="20"/>
          <w:szCs w:val="20"/>
          <w:color w:val="auto"/>
        </w:rPr>
      </w:pPr>
      <w:r>
        <w:rPr>
          <w:rFonts w:ascii="Arial" w:cs="Arial" w:eastAsia="Arial" w:hAnsi="Arial"/>
          <w:sz w:val="22"/>
          <w:szCs w:val="22"/>
          <w:color w:val="auto"/>
        </w:rPr>
        <w:t>(i)On dissolution of the Company, the Manager shall, with the Consent of the Members, act as liquidator. The liquidator shall proceed diligently to wind up the affairs of the Company and make final distributions as provided in this Agreement. The costs of liquidation will be borne as a Company Reimbursable Expense. Until final distribution, the liquidator shall continue to operate the Company with all of the power and authority of the Members. The steps to be accomplished by the liquidator are as follows:</w:t>
      </w:r>
    </w:p>
    <w:p>
      <w:pPr>
        <w:spacing w:after="0" w:line="192" w:lineRule="exact"/>
        <w:rPr>
          <w:sz w:val="20"/>
          <w:szCs w:val="20"/>
          <w:color w:val="auto"/>
        </w:rPr>
      </w:pPr>
    </w:p>
    <w:p>
      <w:pPr>
        <w:jc w:val="both"/>
        <w:ind w:firstLine="1952"/>
        <w:spacing w:after="0" w:line="250" w:lineRule="auto"/>
        <w:tabs>
          <w:tab w:leader="none" w:pos="2587" w:val="left"/>
        </w:tabs>
        <w:numPr>
          <w:ilvl w:val="0"/>
          <w:numId w:val="340"/>
        </w:numPr>
        <w:rPr>
          <w:rFonts w:ascii="Arial" w:cs="Arial" w:eastAsia="Arial" w:hAnsi="Arial"/>
          <w:sz w:val="22"/>
          <w:szCs w:val="22"/>
          <w:color w:val="auto"/>
        </w:rPr>
      </w:pPr>
      <w:r>
        <w:rPr>
          <w:rFonts w:ascii="Arial" w:cs="Arial" w:eastAsia="Arial" w:hAnsi="Arial"/>
          <w:sz w:val="22"/>
          <w:szCs w:val="22"/>
          <w:color w:val="auto"/>
        </w:rPr>
        <w:t>As promptly as reasonably practicable after dissolution and again after final liquidation, the liquidator shall cause a proper accounting to be made by the Certified Public Accountant of the Company’s Assets, liabilities, and operations through the last day of the calendar month in which the dissolution occurs or the final liquidation is completed, as applicable.</w:t>
      </w:r>
    </w:p>
    <w:p>
      <w:pPr>
        <w:spacing w:after="0" w:line="187" w:lineRule="exact"/>
        <w:rPr>
          <w:rFonts w:ascii="Arial" w:cs="Arial" w:eastAsia="Arial" w:hAnsi="Arial"/>
          <w:sz w:val="22"/>
          <w:szCs w:val="22"/>
          <w:color w:val="auto"/>
        </w:rPr>
      </w:pPr>
    </w:p>
    <w:p>
      <w:pPr>
        <w:jc w:val="both"/>
        <w:ind w:firstLine="1952"/>
        <w:spacing w:after="0" w:line="271" w:lineRule="auto"/>
        <w:tabs>
          <w:tab w:leader="none" w:pos="2587" w:val="left"/>
        </w:tabs>
        <w:numPr>
          <w:ilvl w:val="0"/>
          <w:numId w:val="340"/>
        </w:numPr>
        <w:rPr>
          <w:rFonts w:ascii="Arial" w:cs="Arial" w:eastAsia="Arial" w:hAnsi="Arial"/>
          <w:sz w:val="21"/>
          <w:szCs w:val="21"/>
          <w:color w:val="auto"/>
        </w:rPr>
      </w:pPr>
      <w:r>
        <w:rPr>
          <w:rFonts w:ascii="Arial" w:cs="Arial" w:eastAsia="Arial" w:hAnsi="Arial"/>
          <w:sz w:val="21"/>
          <w:szCs w:val="21"/>
          <w:color w:val="auto"/>
        </w:rPr>
        <w:t>The liquidator shall pay from Company funds all of the debts and liabilities of the Company or otherwise make adequate provision for them (including the establishment of a cash escrow fund for contingent, conditional or unmatured liabilities in such amount and for such term as the liquidator may reasonably determine).</w:t>
      </w:r>
    </w:p>
    <w:p>
      <w:pPr>
        <w:spacing w:after="0" w:line="167" w:lineRule="exact"/>
        <w:rPr>
          <w:rFonts w:ascii="Arial" w:cs="Arial" w:eastAsia="Arial" w:hAnsi="Arial"/>
          <w:sz w:val="21"/>
          <w:szCs w:val="21"/>
          <w:color w:val="auto"/>
        </w:rPr>
      </w:pPr>
    </w:p>
    <w:p>
      <w:pPr>
        <w:ind w:left="2600" w:hanging="648"/>
        <w:spacing w:after="0"/>
        <w:tabs>
          <w:tab w:leader="none" w:pos="260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With respect to the remaining Assets of the Company:</w:t>
      </w:r>
    </w:p>
    <w:p>
      <w:pPr>
        <w:spacing w:after="0" w:line="220" w:lineRule="exact"/>
        <w:rPr>
          <w:sz w:val="20"/>
          <w:szCs w:val="20"/>
          <w:color w:val="auto"/>
        </w:rPr>
      </w:pPr>
    </w:p>
    <w:p>
      <w:pPr>
        <w:jc w:val="both"/>
        <w:ind w:left="1300" w:firstLine="1092"/>
        <w:spacing w:after="0" w:line="312" w:lineRule="auto"/>
        <w:rPr>
          <w:sz w:val="20"/>
          <w:szCs w:val="20"/>
          <w:color w:val="auto"/>
        </w:rPr>
      </w:pPr>
      <w:r>
        <w:rPr>
          <w:rFonts w:ascii="Arial" w:cs="Arial" w:eastAsia="Arial" w:hAnsi="Arial"/>
          <w:sz w:val="19"/>
          <w:szCs w:val="19"/>
          <w:color w:val="auto"/>
        </w:rPr>
        <w:t>(i)the liquidator shall use all commercially reasonable efforts to obtain the best possible price and may sell any or all Company Assets (subject to any and all restrictions to which the Pinnacle Project is subject), including to the Members at such price, but in no event lower than the Fair Market Value thereof; and</w:t>
      </w:r>
    </w:p>
    <w:p>
      <w:pPr>
        <w:spacing w:after="0" w:line="25" w:lineRule="exact"/>
        <w:rPr>
          <w:sz w:val="20"/>
          <w:szCs w:val="20"/>
          <w:color w:val="auto"/>
        </w:rPr>
      </w:pPr>
    </w:p>
    <w:p>
      <w:pPr>
        <w:jc w:val="both"/>
        <w:ind w:left="1300" w:firstLine="1032"/>
        <w:spacing w:after="0" w:line="263" w:lineRule="auto"/>
        <w:rPr>
          <w:sz w:val="20"/>
          <w:szCs w:val="20"/>
          <w:color w:val="auto"/>
        </w:rPr>
      </w:pPr>
      <w:r>
        <w:rPr>
          <w:rFonts w:ascii="Arial" w:cs="Arial" w:eastAsia="Arial" w:hAnsi="Arial"/>
          <w:sz w:val="22"/>
          <w:szCs w:val="22"/>
          <w:color w:val="auto"/>
        </w:rPr>
        <w:t>(ii)with respect to all Company Assets that have not been sold, the Values of such Assets shall be determined pursuant to subparagraph (b) of the definition of Value.</w:t>
      </w:r>
    </w:p>
    <w:p>
      <w:pPr>
        <w:spacing w:after="0" w:line="67" w:lineRule="exact"/>
        <w:rPr>
          <w:sz w:val="20"/>
          <w:szCs w:val="20"/>
          <w:color w:val="auto"/>
        </w:rPr>
      </w:pPr>
    </w:p>
    <w:p>
      <w:pPr>
        <w:jc w:val="both"/>
        <w:ind w:firstLine="1952"/>
        <w:spacing w:after="0" w:line="294" w:lineRule="auto"/>
        <w:tabs>
          <w:tab w:leader="none" w:pos="2587" w:val="left"/>
        </w:tabs>
        <w:numPr>
          <w:ilvl w:val="0"/>
          <w:numId w:val="341"/>
        </w:numPr>
        <w:rPr>
          <w:rFonts w:ascii="Arial" w:cs="Arial" w:eastAsia="Arial" w:hAnsi="Arial"/>
          <w:sz w:val="19"/>
          <w:szCs w:val="19"/>
          <w:color w:val="auto"/>
        </w:rPr>
      </w:pPr>
      <w:r>
        <w:rPr>
          <w:rFonts w:ascii="Arial" w:cs="Arial" w:eastAsia="Arial" w:hAnsi="Arial"/>
          <w:sz w:val="19"/>
          <w:szCs w:val="19"/>
          <w:color w:val="auto"/>
        </w:rPr>
        <w:t>Any Company Items of income and gain (including any such items attributable to the disposition or deemed disposition of Assets pursuant to Section 12.2(a)(iii)) for the Taxable Year during which the distribution of liquidation proceeds occurs that have not been allocated pursuant to the Regulatory Allocations shall first be allocated to each Member having a deficit balance in its Capital Account, in the proportion that such deficit balance bears to the total deficit balances in the Capital Accounts of all Members, until each Member has been allocated Company Items of income and gain equal to any such deficit balance in its Capital Account and such deficit balance has thereby been eliminated. Any remaining Company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329" w:name="page330"/>
    <w:bookmarkEnd w:id="329"/>
    <w:p>
      <w:pPr>
        <w:jc w:val="both"/>
        <w:spacing w:after="0" w:line="294" w:lineRule="auto"/>
        <w:rPr>
          <w:sz w:val="20"/>
          <w:szCs w:val="20"/>
          <w:color w:val="auto"/>
        </w:rPr>
      </w:pPr>
      <w:r>
        <w:rPr>
          <w:rFonts w:ascii="Arial" w:cs="Arial" w:eastAsia="Arial" w:hAnsi="Arial"/>
          <w:sz w:val="19"/>
          <w:szCs w:val="19"/>
          <w:color w:val="auto"/>
        </w:rPr>
        <w:t xml:space="preserve">for such Taxable Year during which the distribution of liquidation proceeds occurs shall be allocated among the Members in such manner as to ensure that, to the greatest extent feasible, following these allocations, the balances in the Capital Accounts of the Members are expected to result in distributions pursuant to Section 12.2(a)(v) in accordance with the sharing ratios set forth in Section 5.1(a)(ii);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liquidation prior to the Tax Equity Funding Date, any remaining Company Items for such Taxable Year during which the distribution of liquidation proceeds occurs shall be allocated among the Members pro rata in proportion to the balances in the Capital Accounts of the Members at the time of such liquidation; and</w:t>
      </w:r>
    </w:p>
    <w:p>
      <w:pPr>
        <w:spacing w:after="0" w:line="149" w:lineRule="exact"/>
        <w:rPr>
          <w:sz w:val="20"/>
          <w:szCs w:val="20"/>
          <w:color w:val="auto"/>
        </w:rPr>
      </w:pPr>
    </w:p>
    <w:p>
      <w:pPr>
        <w:jc w:val="both"/>
        <w:ind w:firstLine="1952"/>
        <w:spacing w:after="0" w:line="302" w:lineRule="auto"/>
        <w:tabs>
          <w:tab w:leader="none" w:pos="2587" w:val="left"/>
        </w:tabs>
        <w:numPr>
          <w:ilvl w:val="0"/>
          <w:numId w:val="342"/>
        </w:numPr>
        <w:rPr>
          <w:rFonts w:ascii="Arial" w:cs="Arial" w:eastAsia="Arial" w:hAnsi="Arial"/>
          <w:sz w:val="19"/>
          <w:szCs w:val="19"/>
          <w:color w:val="auto"/>
        </w:rPr>
      </w:pPr>
      <w:r>
        <w:rPr>
          <w:rFonts w:ascii="Arial" w:cs="Arial" w:eastAsia="Arial" w:hAnsi="Arial"/>
          <w:sz w:val="19"/>
          <w:szCs w:val="19"/>
          <w:color w:val="auto"/>
        </w:rPr>
        <w:t>After giving effect to all allocations (including those under Section 4.2 and Section 12.2(a)(iv)), all prior distributions (including those under Section 5.1) and all Capital Contributions (including those under Section 3.1, Section 3.2 and Section 3.3) for all periods, all remaining cash and property (including any Available Cash Flow and liquidation proceeds) shall be distributed to the Members in accordance with the positive balances in their Capital Accounts.</w:t>
      </w:r>
    </w:p>
    <w:p>
      <w:pPr>
        <w:spacing w:after="0" w:line="142" w:lineRule="exact"/>
        <w:rPr>
          <w:rFonts w:ascii="Arial" w:cs="Arial" w:eastAsia="Arial" w:hAnsi="Arial"/>
          <w:sz w:val="19"/>
          <w:szCs w:val="19"/>
          <w:color w:val="auto"/>
        </w:rPr>
      </w:pPr>
    </w:p>
    <w:p>
      <w:pPr>
        <w:jc w:val="both"/>
        <w:ind w:firstLine="1952"/>
        <w:spacing w:after="0" w:line="253" w:lineRule="auto"/>
        <w:tabs>
          <w:tab w:leader="none" w:pos="2587" w:val="left"/>
        </w:tabs>
        <w:numPr>
          <w:ilvl w:val="0"/>
          <w:numId w:val="342"/>
        </w:numPr>
        <w:rPr>
          <w:rFonts w:ascii="Arial" w:cs="Arial" w:eastAsia="Arial" w:hAnsi="Arial"/>
          <w:sz w:val="22"/>
          <w:szCs w:val="22"/>
          <w:color w:val="auto"/>
        </w:rPr>
      </w:pPr>
      <w:r>
        <w:rPr>
          <w:rFonts w:ascii="Arial" w:cs="Arial" w:eastAsia="Arial" w:hAnsi="Arial"/>
          <w:sz w:val="22"/>
          <w:szCs w:val="22"/>
          <w:color w:val="auto"/>
        </w:rPr>
        <w:t>Any distribution to the Members in respect of their Capital Accounts pursuant to this Section 12.2 shall be made by the end of the Company taxable year in which a Liquidating Event occurs (or if later, within ninety (90) days after the date of such Liquidating Event).</w:t>
      </w:r>
    </w:p>
    <w:p>
      <w:pPr>
        <w:spacing w:after="0" w:line="185" w:lineRule="exact"/>
        <w:rPr>
          <w:sz w:val="20"/>
          <w:szCs w:val="20"/>
          <w:color w:val="auto"/>
        </w:rPr>
      </w:pPr>
    </w:p>
    <w:p>
      <w:pPr>
        <w:jc w:val="both"/>
        <w:ind w:firstLine="384"/>
        <w:spacing w:after="0" w:line="250" w:lineRule="auto"/>
        <w:rPr>
          <w:sz w:val="20"/>
          <w:szCs w:val="20"/>
          <w:color w:val="auto"/>
        </w:rPr>
      </w:pPr>
      <w:r>
        <w:rPr>
          <w:rFonts w:ascii="Arial" w:cs="Arial" w:eastAsia="Arial" w:hAnsi="Arial"/>
          <w:sz w:val="22"/>
          <w:szCs w:val="22"/>
          <w:color w:val="auto"/>
        </w:rPr>
        <w:t>(ii)The distribution of cash or property to a Member in accordance with the provisions of this Section 12.2 constitutes a complete return to the Member of its Capital Contributions and a complete distribution to the Member on account of its Membership Interest and all the Company’s property and constitutes a compromise to which all Members have consented pursuant to Section 18-502(b) of the Act.</w:t>
      </w:r>
    </w:p>
    <w:p>
      <w:pPr>
        <w:spacing w:after="0" w:line="18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Deficit Capital Accounts</w:t>
      </w:r>
      <w:r>
        <w:rPr>
          <w:rFonts w:ascii="Arial" w:cs="Arial" w:eastAsia="Arial" w:hAnsi="Arial"/>
          <w:sz w:val="19"/>
          <w:szCs w:val="19"/>
          <w:color w:val="auto"/>
        </w:rPr>
        <w:t>.</w:t>
      </w:r>
    </w:p>
    <w:p>
      <w:pPr>
        <w:spacing w:after="0" w:line="220" w:lineRule="exact"/>
        <w:rPr>
          <w:sz w:val="20"/>
          <w:szCs w:val="20"/>
          <w:color w:val="auto"/>
        </w:rPr>
      </w:pPr>
    </w:p>
    <w:p>
      <w:pPr>
        <w:jc w:val="both"/>
        <w:ind w:firstLine="444"/>
        <w:spacing w:after="0" w:line="263" w:lineRule="auto"/>
        <w:rPr>
          <w:sz w:val="20"/>
          <w:szCs w:val="20"/>
          <w:color w:val="auto"/>
        </w:rPr>
      </w:pPr>
      <w:r>
        <w:rPr>
          <w:rFonts w:ascii="Arial" w:cs="Arial" w:eastAsia="Arial" w:hAnsi="Arial"/>
          <w:sz w:val="22"/>
          <w:szCs w:val="22"/>
          <w:color w:val="auto"/>
        </w:rPr>
        <w:t>(i)Except as expressly provided in this Section 12.3, no Member shall be obligated to contribute cash to restore a deficit in its Capital Account balance.</w:t>
      </w:r>
    </w:p>
    <w:p>
      <w:pPr>
        <w:spacing w:after="0" w:line="175"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21"/>
          <w:szCs w:val="21"/>
          <w:color w:val="auto"/>
        </w:rPr>
        <w:t>(ii)In the event the Class A Member’s interests in the Company are “liquidated” within the meaning of Treasury Regulations Section 1.704-1(b)(2)(ii)(g), if the Class A Member has a deficit Capital Account balance in excess of the amount such Class A Member is deemed obligated to restore pursuant to the penultimate sentences of Treasury Regulations Section 1.704- 2(g)(1) and 1.704-2(i)(5) (an “</w:t>
      </w:r>
      <w:r>
        <w:rPr>
          <w:rFonts w:ascii="Arial" w:cs="Arial" w:eastAsia="Arial" w:hAnsi="Arial"/>
          <w:sz w:val="21"/>
          <w:szCs w:val="21"/>
          <w:b w:val="1"/>
          <w:bCs w:val="1"/>
          <w:color w:val="auto"/>
        </w:rPr>
        <w:t>Adjusted Deficit Capital Account Balance</w:t>
      </w:r>
      <w:r>
        <w:rPr>
          <w:rFonts w:ascii="Arial" w:cs="Arial" w:eastAsia="Arial" w:hAnsi="Arial"/>
          <w:sz w:val="21"/>
          <w:szCs w:val="21"/>
          <w:color w:val="auto"/>
        </w:rPr>
        <w:t>”), then the Class A Member shall be obligated to pay and restore to the Company cash in an amount equal to such Adjusted Deficit Capital Account Balance by the end of the Taxable Year during which the liquidation of the Company occurs, or if later, within ninety (90) days after the date of such liquidation; provided, however, that such restoration obligation of the Class A Member shall not, under any circumstances be more than its Class A DRO Amount.</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(iii)In the event the Class B Member’s interests in the Company are “liquidated” within the meaning of Treasury Regulations Section 1.704-1(b)(2)(ii)(g), if the Class B Member has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330" w:name="page331"/>
    <w:bookmarkEnd w:id="330"/>
    <w:p>
      <w:pPr>
        <w:jc w:val="both"/>
        <w:spacing w:after="0" w:line="294" w:lineRule="auto"/>
        <w:rPr>
          <w:sz w:val="20"/>
          <w:szCs w:val="20"/>
          <w:color w:val="auto"/>
        </w:rPr>
      </w:pPr>
      <w:r>
        <w:rPr>
          <w:rFonts w:ascii="Arial" w:cs="Arial" w:eastAsia="Arial" w:hAnsi="Arial"/>
          <w:sz w:val="19"/>
          <w:szCs w:val="19"/>
          <w:color w:val="auto"/>
        </w:rPr>
        <w:t>deficit Capital Account balance in excess of the amount such Class B Member is deemed obligated to restore pursuant to the penultimate sentences of Treasury Regulations Section 1.704- 2(g)(1) and 1.704-2(i)(5) (an “</w:t>
      </w:r>
      <w:r>
        <w:rPr>
          <w:rFonts w:ascii="Arial" w:cs="Arial" w:eastAsia="Arial" w:hAnsi="Arial"/>
          <w:sz w:val="19"/>
          <w:szCs w:val="19"/>
          <w:b w:val="1"/>
          <w:bCs w:val="1"/>
          <w:color w:val="auto"/>
        </w:rPr>
        <w:t>Adjusted Deficit Capital Account</w:t>
      </w:r>
      <w:r>
        <w:rPr>
          <w:rFonts w:ascii="Arial" w:cs="Arial" w:eastAsia="Arial" w:hAnsi="Arial"/>
          <w:sz w:val="19"/>
          <w:szCs w:val="19"/>
          <w:color w:val="auto"/>
        </w:rPr>
        <w:t xml:space="preserve"> </w:t>
      </w:r>
      <w:r>
        <w:rPr>
          <w:rFonts w:ascii="Arial" w:cs="Arial" w:eastAsia="Arial" w:hAnsi="Arial"/>
          <w:sz w:val="19"/>
          <w:szCs w:val="19"/>
          <w:b w:val="1"/>
          <w:bCs w:val="1"/>
          <w:color w:val="auto"/>
        </w:rPr>
        <w:t>Balance</w:t>
      </w:r>
      <w:r>
        <w:rPr>
          <w:rFonts w:ascii="Arial" w:cs="Arial" w:eastAsia="Arial" w:hAnsi="Arial"/>
          <w:sz w:val="19"/>
          <w:szCs w:val="19"/>
          <w:color w:val="auto"/>
        </w:rPr>
        <w:t>”), then the Class B Member shall be obligated to pay and restore to the Company cash in an amount equal to such</w:t>
      </w:r>
      <w:r>
        <w:rPr>
          <w:rFonts w:ascii="Arial" w:cs="Arial" w:eastAsia="Arial" w:hAnsi="Arial"/>
          <w:sz w:val="19"/>
          <w:szCs w:val="19"/>
          <w:b w:val="1"/>
          <w:bCs w:val="1"/>
          <w:color w:val="auto"/>
        </w:rPr>
        <w:t xml:space="preserve"> </w:t>
      </w:r>
      <w:r>
        <w:rPr>
          <w:rFonts w:ascii="Arial" w:cs="Arial" w:eastAsia="Arial" w:hAnsi="Arial"/>
          <w:sz w:val="19"/>
          <w:szCs w:val="19"/>
          <w:color w:val="auto"/>
        </w:rPr>
        <w:t>Adjusted Deficit Capital Account Balance by the end of the Taxable Year during which the liquidation of the Company occurs, or if later, within ninety (90) days after the date of such liquidation; provided, however, that such restoration obligation of the Class B Member shall not, under any circumstances be more than its Class B DRO Amount.</w:t>
      </w:r>
    </w:p>
    <w:p>
      <w:pPr>
        <w:spacing w:after="0" w:line="14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On completion of the satisfaction of liabilities and distribution of Assets as provided in this Agreement, the Manager (or such other Person or Persons as the Act may require or permit) shall file a certificate of cancellation with the Secretary of State of the State of Delaware and cancel any other filings made as provided in Section 2.1, and shall take such other actions as may be necessary to terminate the existence of the Company. Upon the filing of such certificate of cancellation, the existence of the Company shall terminate (and the term of the Company shall end), except as may be otherwise provided by the Act or other applicable Law. All costs and expenses in fulfilling the obligations under this Section 12.4 shall be borne by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3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a.</w:t>
      </w:r>
      <w:r>
        <w:rPr>
          <w:sz w:val="20"/>
          <w:szCs w:val="20"/>
          <w:color w:val="auto"/>
        </w:rPr>
        <w:tab/>
      </w:r>
      <w:r>
        <w:rPr>
          <w:rFonts w:ascii="Arial" w:cs="Arial" w:eastAsia="Arial" w:hAnsi="Arial"/>
          <w:sz w:val="19"/>
          <w:szCs w:val="19"/>
          <w:u w:val="single" w:color="auto"/>
          <w:color w:val="auto"/>
        </w:rPr>
        <w:t>Offset</w:t>
      </w:r>
      <w:r>
        <w:rPr>
          <w:rFonts w:ascii="Arial" w:cs="Arial" w:eastAsia="Arial" w:hAnsi="Arial"/>
          <w:sz w:val="19"/>
          <w:szCs w:val="19"/>
          <w:color w:val="auto"/>
        </w:rPr>
        <w:t>.</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Whenever the Company (or another Person on behalf of the Company) is to pay any sum to any Member, any amounts then owed by such Member to the Company may be deducted from such sum before payment, provided that no Member’s obligation to make Capital Contributions may be deducted from any payment amounts without such Member’s consent.</w:t>
      </w:r>
    </w:p>
    <w:p>
      <w:pPr>
        <w:spacing w:after="0" w:line="13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b.</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All notices, consents, demands, requests or other communications which may be or are required to be given under this Agreement shall be in writing and shall (a) be sent by overnight courier, facsimile, electronic mail or United States mail, addressed to the recipient, postage paid, and registered or certified, return receipt requested, or delivered to the recipient in person and (b) be sent or delivered, in each case, at the addresses set forth on the signature page of this Agreement or such other address as a Member may specify by notice to the Company and the other Members; provided, that any financial models or reports required to be delivered under this Agreement shall be emailed to [***] and additionally, may be uploaded to a data site mutually agreed to by the Members. Any notice, request or consent to the Company must be given to the Manager. Notices, consents, demands, requests and other communications shall be deemed effective or served on the date of receipt at the address of the Person to receive it.</w:t>
      </w:r>
    </w:p>
    <w:p>
      <w:pPr>
        <w:spacing w:after="0" w:line="17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c.</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8" w:right="339" w:bottom="1440" w:gutter="0" w:footer="0" w:header="0"/>
        </w:sectPr>
      </w:pPr>
    </w:p>
    <w:bookmarkStart w:id="331" w:name="page332"/>
    <w:bookmarkEnd w:id="331"/>
    <w:p>
      <w:pPr>
        <w:jc w:val="both"/>
        <w:spacing w:after="0" w:line="250" w:lineRule="auto"/>
        <w:rPr>
          <w:sz w:val="20"/>
          <w:szCs w:val="20"/>
          <w:color w:val="auto"/>
        </w:rPr>
      </w:pPr>
      <w:r>
        <w:rPr>
          <w:rFonts w:ascii="Arial" w:cs="Arial" w:eastAsia="Arial" w:hAnsi="Arial"/>
          <w:sz w:val="22"/>
          <w:szCs w:val="22"/>
          <w:color w:val="auto"/>
        </w:rPr>
        <w:t>This Agreement may be executed in one or more counterparts, each bearing the signatures of one or more Members. Each such counterpart shall be considered an original and all of such counterparts shall constitute a single agreement binding all the parties as if all had signed a single document. Facsimile, electronic mail or pdf signatures shall be accepted as original signatures for purposes of this Agreement.</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d.</w:t>
      </w:r>
      <w:r>
        <w:rPr>
          <w:sz w:val="20"/>
          <w:szCs w:val="20"/>
          <w:color w:val="auto"/>
        </w:rPr>
        <w:tab/>
      </w: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This Agreement shall be construed, interpreted and enforced in accordance with the internal laws and decisions of the State of Delaware without giving effect to any choice of law or conflict of law rules or provisions of any other state or jurisdiction that would cause the application of the laws of any jurisdiction other than the State of Delaware. If any provision of this Agreement shall be contrary to any other applicable Law, at the present time or in the future, such provision shall be deemed null and void, but this shall not affect the legality of the remaining provisions of this Agreement. This Agreement shall be deemed to be modified and amended so as to be in compliance with applicable Law and this Agreement shall then be construed in such a way as will best serve the intention of the Parties at the time of the execution of this Agreement.</w:t>
      </w:r>
    </w:p>
    <w:p>
      <w:pPr>
        <w:spacing w:after="0" w:line="15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e.</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Agreement, including any Annexes, Schedules and Exhibits, together with the other Investment Documents, constitutes the entire agreement among the Members regarding the terms and operations of the Company, except as amended in writing pursuant to the requirements of this Agreement, and supersedes all prior and contemporaneous agreements, statements, understandings and representations of the Parties.</w:t>
      </w:r>
    </w:p>
    <w:p>
      <w:pPr>
        <w:spacing w:after="0" w:line="18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f.</w:t>
      </w:r>
      <w:r>
        <w:rPr>
          <w:sz w:val="20"/>
          <w:szCs w:val="20"/>
          <w:color w:val="auto"/>
        </w:rPr>
        <w:tab/>
      </w:r>
      <w:r>
        <w:rPr>
          <w:rFonts w:ascii="Arial" w:cs="Arial" w:eastAsia="Arial" w:hAnsi="Arial"/>
          <w:sz w:val="19"/>
          <w:szCs w:val="19"/>
          <w:u w:val="single" w:color="auto"/>
          <w:color w:val="auto"/>
        </w:rPr>
        <w:t>Effect of Waiver or Consent</w:t>
      </w:r>
      <w:r>
        <w:rPr>
          <w:rFonts w:ascii="Arial" w:cs="Arial" w:eastAsia="Arial" w:hAnsi="Arial"/>
          <w:sz w:val="19"/>
          <w:szCs w:val="19"/>
          <w:color w:val="auto"/>
        </w:rPr>
        <w:t>.</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waiver or consent, express or implied, to or of any breach or default by any Person in the performance by that Person of its obligations under this Agreement, or any Investment Document is not a consent or waiver to or of any other breach or default in the performance by that Person of the same or any other obligations of that Person under this Agreement, or any Investment Document. Failure on the part of a Person to complain of any act of any Person or to declare any Person in default with respect to its obligations under this Agreement, or any Investment Document, irrespective of how long that failure continues, does not constitute a waiver by that Person of its rights with respect to that default until the applicable statute of limitations period has run.</w:t>
      </w:r>
    </w:p>
    <w:p>
      <w:pPr>
        <w:spacing w:after="0" w:line="14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g.</w:t>
      </w:r>
      <w:r>
        <w:rPr>
          <w:sz w:val="20"/>
          <w:szCs w:val="20"/>
          <w:color w:val="auto"/>
        </w:rPr>
        <w:tab/>
      </w:r>
      <w:r>
        <w:rPr>
          <w:rFonts w:ascii="Arial" w:cs="Arial" w:eastAsia="Arial" w:hAnsi="Arial"/>
          <w:sz w:val="19"/>
          <w:szCs w:val="19"/>
          <w:u w:val="single" w:color="auto"/>
          <w:color w:val="auto"/>
        </w:rPr>
        <w:t>Amendment or Modification</w:t>
      </w:r>
      <w:r>
        <w:rPr>
          <w:rFonts w:ascii="Arial" w:cs="Arial" w:eastAsia="Arial" w:hAnsi="Arial"/>
          <w:sz w:val="19"/>
          <w:szCs w:val="19"/>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as otherwise provided herein, this Agreement may be amended or modified from time to time only by a written instrument executed by all Members.</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h.</w:t>
      </w:r>
      <w:r>
        <w:rPr>
          <w:sz w:val="20"/>
          <w:szCs w:val="20"/>
          <w:color w:val="auto"/>
        </w:rPr>
        <w:tab/>
      </w:r>
      <w:r>
        <w:rPr>
          <w:rFonts w:ascii="Arial" w:cs="Arial" w:eastAsia="Arial" w:hAnsi="Arial"/>
          <w:sz w:val="19"/>
          <w:szCs w:val="19"/>
          <w:u w:val="single" w:color="auto"/>
          <w:color w:val="auto"/>
        </w:rPr>
        <w:t>Binding Effect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332" w:name="page333"/>
    <w:bookmarkEnd w:id="332"/>
    <w:p>
      <w:pPr>
        <w:jc w:val="both"/>
        <w:spacing w:after="0" w:line="263" w:lineRule="auto"/>
        <w:rPr>
          <w:sz w:val="20"/>
          <w:szCs w:val="20"/>
          <w:color w:val="auto"/>
        </w:rPr>
      </w:pPr>
      <w:r>
        <w:rPr>
          <w:rFonts w:ascii="Arial" w:cs="Arial" w:eastAsia="Arial" w:hAnsi="Arial"/>
          <w:sz w:val="22"/>
          <w:szCs w:val="22"/>
          <w:color w:val="auto"/>
        </w:rPr>
        <w:t>Subject to the restrictions on Transfers set forth in this Agreement, this Agreement is binding on and inures to the benefit of the Members and their respective legal representatives, permitted successors and permitted assigns.</w:t>
      </w:r>
    </w:p>
    <w:p>
      <w:pPr>
        <w:spacing w:after="0" w:line="17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i.</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connection with this Agreement and the transactions contemplated hereby, each Member shall execute and deliver any additional documents and instruments and perform any additional acts that may be necessary or appropriate to effectuate and perform the provisions of this Agreement and those transactions contemplated here, including all filing, recording, publishing and other acts appropriate to comply with all requirements for the operation of a limited liability company under the laws of all jurisdictions where the Company shall conduct business.</w:t>
      </w:r>
    </w:p>
    <w:p>
      <w:pPr>
        <w:spacing w:after="0" w:line="1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Section j.</w:t>
      </w:r>
      <w:r>
        <w:rPr>
          <w:sz w:val="20"/>
          <w:szCs w:val="20"/>
          <w:color w:val="auto"/>
        </w:rPr>
        <w:tab/>
      </w:r>
      <w:r>
        <w:rPr>
          <w:rFonts w:ascii="Arial" w:cs="Arial" w:eastAsia="Arial" w:hAnsi="Arial"/>
          <w:sz w:val="19"/>
          <w:szCs w:val="19"/>
          <w:u w:val="single" w:color="auto"/>
          <w:color w:val="auto"/>
        </w:rPr>
        <w:t>Jurisdiction</w:t>
      </w:r>
      <w:r>
        <w:rPr>
          <w:rFonts w:ascii="Arial" w:cs="Arial" w:eastAsia="Arial" w:hAnsi="Arial"/>
          <w:sz w:val="19"/>
          <w:szCs w:val="19"/>
          <w:color w:val="auto"/>
        </w:rPr>
        <w:t>.</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Parties agree to submit to the exclusive jurisdiction of the Supreme Court of the State of New York and the Federal District Court located in the Borough of Manhattan, State of New York, and any court of appeal from either thereof, in connection with any action or other proceeding relating to this Agreement or the transactions contemplated hereby. Each Party irrevocably waives and agrees not to make, to the fullest extent permitted by Law, any objection which it may now or hereafter have to the jurisdiction of any such court or to the laying of venue of any such action or proceeding brought in any such court and any claim that any such action or proceeding brought in any such court has been brought in an inconvenient forum.</w:t>
      </w:r>
    </w:p>
    <w:p>
      <w:pPr>
        <w:spacing w:after="0" w:line="14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k.</w:t>
      </w:r>
      <w:r>
        <w:rPr>
          <w:sz w:val="20"/>
          <w:szCs w:val="20"/>
          <w:color w:val="auto"/>
        </w:rPr>
        <w:tab/>
      </w:r>
      <w:r>
        <w:rPr>
          <w:rFonts w:ascii="Arial" w:cs="Arial" w:eastAsia="Arial" w:hAnsi="Arial"/>
          <w:sz w:val="22"/>
          <w:szCs w:val="22"/>
          <w:u w:val="single" w:color="auto"/>
          <w:color w:val="auto"/>
        </w:rPr>
        <w:t>LIMITATION ON LIABILITY</w:t>
      </w:r>
      <w:r>
        <w:rPr>
          <w:rFonts w:ascii="Arial" w:cs="Arial" w:eastAsia="Arial" w:hAnsi="Arial"/>
          <w:sz w:val="22"/>
          <w:szCs w:val="22"/>
          <w:color w:val="auto"/>
        </w:rPr>
        <w:t>.</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Subject to Section 11.5(b) hereof, NO PARTY HERETO NOR ANY OF ITS AFFILIATES, DIRECTORS, EMPLOYEES, ATTORNEYS OR AGENTS SHALL BE LIABLE TO ANY OTHER PARTY HERETO OR ANY OF ITS AFFILIATES, DIRECTORS, EMPLOYEES, ATTORNEYS OR AGENTS FOR ANY SPECIAL, INCIDENTAL, CONSEQUENTIAL, PUNITIVE, OR EXEMPLARY DAMAGES (INCLUDING DAMAGES FOR LOST OPPORTUNITY, LOST PROFITS OR REVENUES OR LOSS OF USE OF SUCH PROFITS OR REVENUES) (WHETHER OR NOT THE CLAIM THEREFORE IS BASED ON CONTRACT, TORT, DUTY IMPOSED BY LAW OR OTHERWISE), IN CONNECTION WITH, ARISING OUT OF OR IN ANY WAY RELATED TO THE TRANSACTIONS CONTEMPLATED BY THIS AGREEMENT OR THE OTHER INVESTMENT DOCUMENTS OR ANY ACT OR OMISSION OR EVENT OCCURRING IN CONNECTION THEREWITH; AND EACH PARTY HEREBY WAIVES, RELEASES AND AGREES NOT TO SUE UPON ANY SUCH CLAIM FOR ANY SUCH SPECIAL, INCIDENTAL, CONSEQUENTIAL, PUNITIVE, OR EXEMPLARY DAMAGES, WHETHER OR NOT ACCRUED AND WHETHER OR NOT KNOWN OR SUSPECTED TO EXIST IN ITS FAVOR, PROVIDED, HOWEVER, THAT TO THE EXTENT A BREACH RESULTS IN THE LOSS, DISALLOWANCE OR REDUCTION OF PTCS, THE VALUE OF SUCH LOST, DISALLOWED OR REDUCED PTCS SHALL NOT CONSTITUTE SPECIAL, INCIDENTAL, CONSEQUENTIAL, PUNITIVE, OR EXEMPLARY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333" w:name="page334"/>
    <w:bookmarkEnd w:id="333"/>
    <w:p>
      <w:pPr>
        <w:jc w:val="right"/>
        <w:ind w:right="34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9919"/>
          </w:cols>
          <w:pgMar w:left="540" w:top="1428" w:right="1440" w:bottom="1440" w:gutter="0" w:footer="0" w:header="0"/>
        </w:sectPr>
      </w:pPr>
    </w:p>
    <w:bookmarkStart w:id="334" w:name="page335"/>
    <w:bookmarkEnd w:id="334"/>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pacing w:after="0" w:line="26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CLASS B MEMBER</w:t>
      </w:r>
    </w:p>
    <w:p>
      <w:pPr>
        <w:spacing w:after="0" w:line="24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CWSP PINNACLE HOLDING LLC</w:t>
      </w:r>
    </w:p>
    <w:p>
      <w:pPr>
        <w:spacing w:after="0" w:line="24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Clearway Renew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Its: Managing Member</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Cornelius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 Craig Cornelius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CLASS A MEMBER</w:t>
      </w:r>
    </w:p>
    <w:p>
      <w:pPr>
        <w:spacing w:after="0" w:line="247"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CWEN PINNACLE REPOWERING HOLDCO LLC</w:t>
      </w:r>
    </w:p>
    <w:p>
      <w:pPr>
        <w:spacing w:after="0" w:line="28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Christopher S. Sotos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 Christopher S. Sotos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Title: President</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Address: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Attention:</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Telephone:</w:t>
      </w:r>
    </w:p>
    <w:p>
      <w:pPr>
        <w:sectPr>
          <w:pgSz w:w="11900" w:h="16838" w:orient="portrait"/>
          <w:cols w:equalWidth="0" w:num="1">
            <w:col w:w="9500"/>
          </w:cols>
          <w:pgMar w:left="980" w:top="1428" w:right="1419" w:bottom="1440" w:gutter="0" w:footer="0" w:header="0"/>
        </w:sectPr>
      </w:pPr>
    </w:p>
    <w:bookmarkStart w:id="335" w:name="page336"/>
    <w:bookmarkEnd w:id="335"/>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2"/>
                <w:szCs w:val="22"/>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2011 Finance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AC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Adams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Adams Community Solar Garden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Adams Community Solar Garden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Adams Community Solar Gardens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Agua Caliente Borrower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Agua Caliente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Agua Caliente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Interconnection Management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Interconnection Management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Interconnection Management,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Realty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Realty Investments,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Vista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1-5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Asset Management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Asset Management,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II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III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IV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IV,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V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V,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XI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X-XI TE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Apple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Arapahoe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Avenal Park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Avenal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Bashaw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Big Lake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36" w:name="page337"/>
    <w:bookmarkEnd w:id="336"/>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2"/>
                <w:szCs w:val="22"/>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Cat Road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 Start Battery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Start Battery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Bluestone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Brook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Buckthorn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Buckthorn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Buckthorn Solar Portfolio,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Buckthorn Westex,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Buffalo Bear,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Oklahoma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Bullock Road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BWC Swan Pond River,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Carlsbad Energy Center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Energy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Carlsbad Holdco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CBAD Holdings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CBAD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Center St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Central CA Fuel Cell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Chestnut Borrower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Chestnut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Chestnut Fund Sub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Chisago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Clara City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 View Acres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&amp; EFS Distributed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AC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Chestnut Fund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Community Energy Development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DG Lakeland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Energy Operating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Solar Star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Thermal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Walnut Creek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West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CMR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Colorado Shared Solar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Colorado Springs Solar Garden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Continental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Crosswind Transmission,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bl>
    <w:p>
      <w:pPr>
        <w:sectPr>
          <w:pgSz w:w="11900" w:h="16838" w:orient="portrait"/>
          <w:cols w:equalWidth="0" w:num="1">
            <w:col w:w="11180"/>
          </w:cols>
          <w:pgMar w:left="400" w:top="162" w:right="319" w:bottom="1440" w:gutter="0" w:footer="0" w:header="0"/>
        </w:sectPr>
      </w:pPr>
    </w:p>
    <w:bookmarkStart w:id="337" w:name="page338"/>
    <w:bookmarkEnd w:id="337"/>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2"/>
                <w:szCs w:val="22"/>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CVSR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CVSR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CWEN Pinnacle Repowering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CWEN Pinnacle Repowering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Cy-Hawk Wind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Daggett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Daggett Solar Investment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Denver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Denver Community Solar Garden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Desert Sunlight 250,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Desert Sunlight 300,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Desert Sunlight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Desert Sunlight Investment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Berkeley Rec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Berkeley Village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Central East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Central West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Contra Costa Operations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Contra Costa Waste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Crystal Spring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Dighton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Foxborough Elm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Foxborough Landfill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Grantland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Haverhill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Imperial Admin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Imperial Building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Lathrop Louise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Lincoln Middle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Marathon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Rosedale Elementary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Rosedale Middle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San Joaquin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SREC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SREC Holdings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Tufts Knoll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Tufts Science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Washington Middle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Webster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DG-CS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DG-CS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DG-CS Master Borrower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38" w:name="page339"/>
    <w:bookmarkEnd w:id="338"/>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2"/>
                <w:szCs w:val="22"/>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3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4 Borrower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4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2 HoldCo 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2 HoldCo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4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4 Sub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HoldCo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HoldCo 3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Dodge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Eagle View Acres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Eastman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ECP Uptown Campus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ECP Uptown Campus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ECP Uptown Campus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 Mirage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 Segundo Energy Center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Elbow Creek Repowering Tax Equity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Elbow Creek Wind Project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Electricity Sales Princeton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Elk Lake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Elkhorn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Elkhorn Ridge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Baltimore Medical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East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Puerto Rico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Caguas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Caguas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Puerto Rico</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Cajuhu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Puerto Rico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Fajardo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Fajardo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Fajardo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Puerto Rico</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Harrisburg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HCEC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Honolulu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Honolulu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Honolulu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39" w:name="page340"/>
    <w:bookmarkEnd w:id="339"/>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880" w:type="dxa"/>
            <w:vAlign w:val="bottom"/>
            <w:gridSpan w:val="3"/>
          </w:tcPr>
          <w:p>
            <w:pPr>
              <w:ind w:left="320"/>
              <w:spacing w:after="0"/>
              <w:rPr>
                <w:sz w:val="20"/>
                <w:szCs w:val="20"/>
                <w:color w:val="auto"/>
              </w:rPr>
            </w:pPr>
            <w:r>
              <w:rPr>
                <w:rFonts w:ascii="Arial" w:cs="Arial" w:eastAsia="Arial" w:hAnsi="Arial"/>
                <w:sz w:val="18"/>
                <w:szCs w:val="18"/>
                <w:b w:val="1"/>
                <w:bCs w:val="1"/>
                <w:color w:val="auto"/>
              </w:rPr>
              <w:t>SUBSIDIARIES OF CLEARWAY ENERGY LLC</w:t>
            </w:r>
          </w:p>
        </w:tc>
      </w:tr>
      <w:tr>
        <w:trPr>
          <w:trHeight w:val="675"/>
        </w:trPr>
        <w:tc>
          <w:tcPr>
            <w:tcW w:w="3300" w:type="dxa"/>
            <w:vAlign w:val="bottom"/>
            <w:tcBorders>
              <w:bottom w:val="single" w:sz="8" w:color="969696"/>
            </w:tcBorders>
          </w:tcPr>
          <w:p>
            <w:pPr>
              <w:spacing w:after="0"/>
              <w:rPr>
                <w:sz w:val="24"/>
                <w:szCs w:val="24"/>
                <w:color w:val="auto"/>
              </w:rPr>
            </w:pPr>
          </w:p>
        </w:tc>
        <w:tc>
          <w:tcPr>
            <w:tcW w:w="386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237"/>
        </w:trPr>
        <w:tc>
          <w:tcPr>
            <w:tcW w:w="33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60" w:type="dxa"/>
            <w:vAlign w:val="bottom"/>
            <w:tcBorders>
              <w:bottom w:val="single" w:sz="8" w:color="auto"/>
              <w:right w:val="single" w:sz="8" w:color="auto"/>
            </w:tcBorders>
            <w:shd w:val="clear" w:color="auto" w:fill="ACACAC"/>
          </w:tcPr>
          <w:p>
            <w:pPr>
              <w:spacing w:after="0"/>
              <w:rPr>
                <w:sz w:val="20"/>
                <w:szCs w:val="20"/>
                <w:color w:val="auto"/>
              </w:rPr>
            </w:pPr>
          </w:p>
        </w:tc>
        <w:tc>
          <w:tcPr>
            <w:tcW w:w="380" w:type="dxa"/>
            <w:vAlign w:val="bottom"/>
            <w:tcBorders>
              <w:bottom w:val="single" w:sz="8" w:color="auto"/>
              <w:right w:val="single" w:sz="8" w:color="auto"/>
            </w:tcBorders>
            <w:shd w:val="clear" w:color="auto" w:fill="ACACAC"/>
          </w:tcPr>
          <w:p>
            <w:pPr>
              <w:spacing w:after="0"/>
              <w:rPr>
                <w:sz w:val="20"/>
                <w:szCs w:val="20"/>
                <w:color w:val="auto"/>
              </w:rPr>
            </w:pPr>
          </w:p>
        </w:tc>
        <w:tc>
          <w:tcPr>
            <w:tcW w:w="3640" w:type="dxa"/>
            <w:vAlign w:val="bottom"/>
            <w:tcBorders>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Minneapolis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w w:val="99"/>
              </w:rPr>
              <w:t>Energy Center Omaha Holdings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Omaha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Energy Center Paxton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Phoenix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Energy Center Pittsburgh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Princeton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Energy Center San Diego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San Francisco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Energy Center Tucson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Enterprise Solar,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Escalante Solar I,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Escalante Solar II,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Escalante Solar III,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ETCAP NES CS MN 02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ETCAP NES CS MN 06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Farmington Holdco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Federal Road Solar 1,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Forest Lake Holdco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Forward WindPower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Four Brothers Holdings,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Four Brothers Solar,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Frontenac Holdco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Fuel Cell Holdings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FUSD Energy,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GCE Holding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GenConn Devon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GenConn Energy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GenConn Middletown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Goat Wind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Golden Fields Solar III,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Golden Puma Fund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Grabinski Solar,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Granite Mountain Holdings,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Renewables,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Granite Mountain Solar East,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Solar West,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Green Prairie Energy,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Greene Wind Energy,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Hardin Hilltop Wind,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6"/>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Hardin Wind Energy, LLC</w:t>
            </w:r>
          </w:p>
        </w:tc>
        <w:tc>
          <w:tcPr>
            <w:tcW w:w="38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36"/>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Harrisburg Cooling LLC</w:t>
            </w:r>
          </w:p>
        </w:tc>
        <w:tc>
          <w:tcPr>
            <w:tcW w:w="38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40" w:name="page341"/>
    <w:bookmarkEnd w:id="340"/>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20" w:type="dxa"/>
            <w:vAlign w:val="bottom"/>
            <w:gridSpan w:val="3"/>
          </w:tcPr>
          <w:p>
            <w:pPr>
              <w:ind w:left="260"/>
              <w:spacing w:after="0"/>
              <w:rPr>
                <w:sz w:val="20"/>
                <w:szCs w:val="20"/>
                <w:color w:val="auto"/>
              </w:rPr>
            </w:pPr>
            <w:r>
              <w:rPr>
                <w:rFonts w:ascii="Arial" w:cs="Arial" w:eastAsia="Arial" w:hAnsi="Arial"/>
                <w:sz w:val="18"/>
                <w:szCs w:val="18"/>
                <w:b w:val="1"/>
                <w:bCs w:val="1"/>
                <w:color w:val="auto"/>
              </w:rPr>
              <w:t>SUBSIDIARIES OF CLEARWAY ENERGY LLC</w:t>
            </w:r>
          </w:p>
        </w:tc>
      </w:tr>
      <w:tr>
        <w:trPr>
          <w:trHeight w:val="675"/>
        </w:trPr>
        <w:tc>
          <w:tcPr>
            <w:tcW w:w="3360" w:type="dxa"/>
            <w:vAlign w:val="bottom"/>
            <w:tcBorders>
              <w:bottom w:val="single" w:sz="8" w:color="969696"/>
            </w:tcBorders>
          </w:tcPr>
          <w:p>
            <w:pPr>
              <w:spacing w:after="0"/>
              <w:rPr>
                <w:sz w:val="24"/>
                <w:szCs w:val="24"/>
                <w:color w:val="auto"/>
              </w:rPr>
            </w:pPr>
          </w:p>
        </w:tc>
        <w:tc>
          <w:tcPr>
            <w:tcW w:w="380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237"/>
        </w:trPr>
        <w:tc>
          <w:tcPr>
            <w:tcW w:w="336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0" w:type="dxa"/>
            <w:vAlign w:val="bottom"/>
            <w:tcBorders>
              <w:bottom w:val="single" w:sz="8" w:color="auto"/>
              <w:right w:val="single" w:sz="8" w:color="auto"/>
            </w:tcBorders>
            <w:shd w:val="clear" w:color="auto" w:fill="ACACAC"/>
          </w:tcPr>
          <w:p>
            <w:pPr>
              <w:spacing w:after="0"/>
              <w:rPr>
                <w:sz w:val="20"/>
                <w:szCs w:val="20"/>
                <w:color w:val="auto"/>
              </w:rPr>
            </w:pPr>
          </w:p>
        </w:tc>
        <w:tc>
          <w:tcPr>
            <w:tcW w:w="380" w:type="dxa"/>
            <w:vAlign w:val="bottom"/>
            <w:tcBorders>
              <w:bottom w:val="single" w:sz="8" w:color="auto"/>
              <w:right w:val="single" w:sz="8" w:color="auto"/>
            </w:tcBorders>
            <w:shd w:val="clear" w:color="auto" w:fill="ACACAC"/>
          </w:tcPr>
          <w:p>
            <w:pPr>
              <w:spacing w:after="0"/>
              <w:rPr>
                <w:sz w:val="20"/>
                <w:szCs w:val="20"/>
                <w:color w:val="auto"/>
              </w:rPr>
            </w:pPr>
          </w:p>
        </w:tc>
        <w:tc>
          <w:tcPr>
            <w:tcW w:w="3640" w:type="dxa"/>
            <w:vAlign w:val="bottom"/>
            <w:tcBorders>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6"/>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High Plains Ranch II,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Highland Township Wind Farm,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HLE Solar Holdings,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HSD Solar Holdings,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Huntington Beach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Hwy 14 Holdco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Iron Springs Holdings,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Iron Springs Renewables,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Iron Springs Solar,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Kawailoa Renewables,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Kawailoa Solar Holdings,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Kawailoa Solar Portfolio,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Kawailoa Solar,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Langford Class B Holdco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Langford Holding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Langford Tax Equity Partnership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Langford Wind Power,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Texas</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Lanikuhana Solar,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Hawaii</w:t>
            </w:r>
          </w:p>
        </w:tc>
      </w:tr>
      <w:tr>
        <w:trPr>
          <w:trHeight w:val="236"/>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Laredo Ridge Wind,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Lenape II Solar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Lighthouse Renewable Class A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Lighthouse Renewable Holdco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Lighthouse Renewable Holdings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Lindberg Field Solar 1,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Lindberg Field Solar 2,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Longhorn Energy,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6"/>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Lookout WindPower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Mapleton Solar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Marsh Landing Holdings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Marsh Landing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MC1 Solar Farm,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North Carolina</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Mesquite Star Class B Holdco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Mesquite Star Special,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w w:val="98"/>
              </w:rPr>
              <w:t>Mesquite Star Tax Equity Holdco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Minisink Solar 1,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Minisink Solar 2,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Iowa Wind,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California</w:t>
            </w:r>
          </w:p>
        </w:tc>
      </w:tr>
      <w:tr>
        <w:trPr>
          <w:trHeight w:val="236"/>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Mission Minnesota Wind II,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Laredo,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Mission Wind New Mexico,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Oklahoma, LLC</w:t>
            </w:r>
          </w:p>
        </w:tc>
        <w:tc>
          <w:tcPr>
            <w:tcW w:w="38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Mission Wind PA One, LLC</w:t>
            </w:r>
          </w:p>
        </w:tc>
        <w:tc>
          <w:tcPr>
            <w:tcW w:w="3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41" w:name="page342"/>
    <w:bookmarkEnd w:id="341"/>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2"/>
                <w:szCs w:val="22"/>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PA Three,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PA Two,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Pennsylvania,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Utah,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Monster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Montevideo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Mount Hope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Natural Gas Repowering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New Munich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NIMH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NIMH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NIMH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Northfield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NS Smith,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Oahu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Oahu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Oahu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OC Solar 2010,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Ocotillo Windpower Holdco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Ocotillo Windpower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Ocotillo Windpower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Ocotillo Windpower, LP</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Odin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Old Westminster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Old Westminster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Olinda Trail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Osakis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Eight,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Five,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Four,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One,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Seven,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Six,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Three,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Two,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Palo Alto County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Partridgeville Road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PC Dinuba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PESD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Pikes Peak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Pine Island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Pinnacle Repowering Partnership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42" w:name="page343"/>
    <w:bookmarkEnd w:id="342"/>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2"/>
                <w:szCs w:val="22"/>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Pinnacle Repowering Partnership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Pinnacle Repowering Tax Equity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Pinnacle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PM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Pond Road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Portfolio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Poverty Ridge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Puma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Redbrook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Canal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Solar CS4 Borrower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Solar CS4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Solar CS4 Fund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Spark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Repowering Partnership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Repowering Partnership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Rollingstone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Rosamond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Rosamond Solar Investment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Rosie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Rosie Project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Rosie TargetCo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Rosie TE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Rounseville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Holding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 Juan Mesa Investments,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San Juan Mesa Wind Project,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Sand Drag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Sartell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SCDA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SCWFD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Silver Lake Acres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SJA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Sleeping Bear,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Alpine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Apple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AV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Avra Valley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Blythe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Blythe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Borrego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Borrego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43" w:name="page344"/>
    <w:bookmarkEnd w:id="343"/>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2"/>
                <w:szCs w:val="22"/>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Community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Community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CVSR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Flagstaff One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Iguana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Kansas South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Kansas South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Las Vegas MB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Las Vegas MB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Mayfair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Mule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Oasis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Roadrunner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Roadrunner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Tabernacle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Warren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Wauwinet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West Shaft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South Trent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South Trent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Spanish Fork Wind Park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Utah</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Asset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Lease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P-IV Master Lessee,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Energy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Energy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Expansion Class B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Expansion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Expansion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Interconnection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Stafford St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Stafford St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Stafford St Solar 3,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Statoil Energy Power/Pennsylvania, Inc.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Pennsylvania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Stearns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Steel Bridge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Sun City Project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44" w:name="page345"/>
    <w:bookmarkEnd w:id="344"/>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2"/>
                <w:szCs w:val="22"/>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Sunrise View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Sunset View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Sutton Wind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 - High Desert,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Taloga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Oklahoma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Tapestry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Canada Equities 1 Inc.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British Columbia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Canada Infrastructure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Canada Infrastructure 1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Hawaii Development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Hawaii Development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Hawaii Development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Infrastructure Development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Topeka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TOS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TOS Solar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TOS Solar 4,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TOS Solar 5,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Tully Farms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UB Fuel Cell,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Underhill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Utah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Utah Solar Master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Utah Solar Master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Vail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Viento Funding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Viento Funding,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Virgin Lake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Wabasha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Wabasha Solar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Wabasha Solar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Wabasha Solar LLC</w:t>
            </w:r>
          </w:p>
        </w:tc>
        <w:tc>
          <w:tcPr>
            <w:tcW w:w="38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Waipio PV, LLC</w:t>
            </w:r>
          </w:p>
        </w:tc>
        <w:tc>
          <w:tcPr>
            <w:tcW w:w="380" w:type="dxa"/>
            <w:vAlign w:val="bottom"/>
            <w:tcBorders>
              <w:bottom w:val="single" w:sz="8" w:color="auto"/>
              <w:right w:val="single" w:sz="8" w:color="auto"/>
            </w:tcBorders>
            <w:shd w:val="clear" w:color="auto" w:fill="CCEEFF"/>
          </w:tcPr>
          <w:p>
            <w:pPr>
              <w:spacing w:after="0"/>
              <w:rPr>
                <w:sz w:val="21"/>
                <w:szCs w:val="21"/>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Walnut Creek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Walnut Creek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Waterford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WCEP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Webster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Wildcat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Wildorado Interconnect,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Wildorado Repowering Tax Equity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45" w:name="page346"/>
    <w:bookmarkEnd w:id="345"/>
    <w:p>
      <w:pPr>
        <w:ind w:left="1004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7980" w:type="dxa"/>
            <w:vAlign w:val="bottom"/>
            <w:gridSpan w:val="3"/>
          </w:tcPr>
          <w:p>
            <w:pPr>
              <w:ind w:left="420"/>
              <w:spacing w:after="0"/>
              <w:rPr>
                <w:sz w:val="20"/>
                <w:szCs w:val="20"/>
                <w:color w:val="auto"/>
              </w:rPr>
            </w:pPr>
            <w:r>
              <w:rPr>
                <w:rFonts w:ascii="Arial" w:cs="Arial" w:eastAsia="Arial" w:hAnsi="Arial"/>
                <w:sz w:val="18"/>
                <w:szCs w:val="18"/>
                <w:b w:val="1"/>
                <w:bCs w:val="1"/>
                <w:color w:val="auto"/>
              </w:rPr>
              <w:t>SUBSIDIARIES OF CLEARWAY ENERGY LLC</w:t>
            </w:r>
          </w:p>
        </w:tc>
      </w:tr>
      <w:tr>
        <w:trPr>
          <w:trHeight w:val="675"/>
        </w:trPr>
        <w:tc>
          <w:tcPr>
            <w:tcW w:w="3200" w:type="dxa"/>
            <w:vAlign w:val="bottom"/>
            <w:tcBorders>
              <w:bottom w:val="single" w:sz="8" w:color="969696"/>
            </w:tcBorders>
          </w:tcPr>
          <w:p>
            <w:pPr>
              <w:spacing w:after="0"/>
              <w:rPr>
                <w:sz w:val="24"/>
                <w:szCs w:val="24"/>
                <w:color w:val="auto"/>
              </w:rPr>
            </w:pPr>
          </w:p>
        </w:tc>
        <w:tc>
          <w:tcPr>
            <w:tcW w:w="396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237"/>
        </w:trPr>
        <w:tc>
          <w:tcPr>
            <w:tcW w:w="32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960" w:type="dxa"/>
            <w:vAlign w:val="bottom"/>
            <w:tcBorders>
              <w:bottom w:val="single" w:sz="8" w:color="auto"/>
              <w:right w:val="single" w:sz="8" w:color="auto"/>
            </w:tcBorders>
            <w:shd w:val="clear" w:color="auto" w:fill="ACACAC"/>
          </w:tcPr>
          <w:p>
            <w:pPr>
              <w:spacing w:after="0"/>
              <w:rPr>
                <w:sz w:val="20"/>
                <w:szCs w:val="20"/>
                <w:color w:val="auto"/>
              </w:rPr>
            </w:pPr>
          </w:p>
        </w:tc>
        <w:tc>
          <w:tcPr>
            <w:tcW w:w="380" w:type="dxa"/>
            <w:vAlign w:val="bottom"/>
            <w:tcBorders>
              <w:bottom w:val="single" w:sz="8" w:color="auto"/>
              <w:right w:val="single" w:sz="8" w:color="auto"/>
            </w:tcBorders>
            <w:shd w:val="clear" w:color="auto" w:fill="ACACAC"/>
          </w:tcPr>
          <w:p>
            <w:pPr>
              <w:spacing w:after="0"/>
              <w:rPr>
                <w:sz w:val="20"/>
                <w:szCs w:val="20"/>
                <w:color w:val="auto"/>
              </w:rPr>
            </w:pPr>
          </w:p>
        </w:tc>
        <w:tc>
          <w:tcPr>
            <w:tcW w:w="3640" w:type="dxa"/>
            <w:vAlign w:val="bottom"/>
            <w:tcBorders>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Wildorado Wind,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Wilmarth Lane Solar 1,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Wind Family Turbine,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Wind TE Holdco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Winona Solar I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Winona Solar II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WSD Solar Holdings,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WV Wind Holdco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WV Wind Holdings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Zephyr Kawailoa Partnership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Zephyr Oahu Partnership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Zontos Wind,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bl>
    <w:p>
      <w:pPr>
        <w:sectPr>
          <w:pgSz w:w="11900" w:h="16838" w:orient="portrait"/>
          <w:cols w:equalWidth="0" w:num="1">
            <w:col w:w="11180"/>
          </w:cols>
          <w:pgMar w:left="400" w:top="162" w:right="319" w:bottom="1440" w:gutter="0" w:footer="0" w:header="0"/>
        </w:sectPr>
      </w:pPr>
    </w:p>
    <w:bookmarkStart w:id="346" w:name="page347"/>
    <w:bookmarkEnd w:id="346"/>
    <w:p>
      <w:pPr>
        <w:ind w:left="10040"/>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LIST OF GUARANTOR SUBSIDIARIES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500"/>
        <w:spacing w:after="0" w:line="284" w:lineRule="auto"/>
        <w:rPr>
          <w:sz w:val="20"/>
          <w:szCs w:val="20"/>
          <w:color w:val="auto"/>
        </w:rPr>
      </w:pPr>
      <w:r>
        <w:rPr>
          <w:rFonts w:ascii="Arial" w:cs="Arial" w:eastAsia="Arial" w:hAnsi="Arial"/>
          <w:sz w:val="16"/>
          <w:szCs w:val="16"/>
          <w:color w:val="auto"/>
        </w:rPr>
        <w:t>Clearway Energy LLC (the “Company”) is a guarantor of the 5.750% unsecured senior notes due 2025 (the “2025 Notes”) and the 5.00% unsecured senior notes due 2026 (the “2026 Notes”), in each case, issued by Clearway Energy Operating LLC, a wholly-owned subsidiary of the Company. In addition, the following subsidiaries of the Company and Clearway Energy Operating LLC are guarantors of the 2025 Notes and 2026 Notes:</w:t>
      </w:r>
    </w:p>
    <w:tbl>
      <w:tblPr>
        <w:tblLayout w:type="fixed"/>
        <w:tblInd w:w="10" w:type="dxa"/>
        <w:tblCellMar>
          <w:top w:w="0" w:type="dxa"/>
          <w:left w:w="0" w:type="dxa"/>
          <w:bottom w:w="0" w:type="dxa"/>
          <w:right w:w="0" w:type="dxa"/>
        </w:tblCellMar>
      </w:tblPr>
      <w:tr>
        <w:trPr>
          <w:trHeight w:val="232"/>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Name of Guarantor Subsidiary</w:t>
            </w:r>
          </w:p>
        </w:tc>
        <w:tc>
          <w:tcPr>
            <w:tcW w:w="38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1-5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CBAD Holdings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Central CA Fuel Cell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Solar Star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CWEN Pinnacle Repowering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CWSP Rattlesnake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Daggett Solar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SREC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DG-CS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ECP Uptown Campus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Fajardo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Honolulu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Fuel Cell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Langford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Lighthouse Renewable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NIMH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Ocotillo Windpower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Portfolio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Rosamond Solar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Flagstaff One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Iguana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Las Vegas MB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Tabernacle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South Trent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Asset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Canada Infrastructure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Hawaii Development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Infrastructure Development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UB Fuel Cell,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Utah Solar Master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27686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S. Sotos</w:t>
      </w:r>
    </w:p>
    <w:p>
      <w:pPr>
        <w:ind w:left="5580"/>
        <w:spacing w:after="0" w:line="203" w:lineRule="auto"/>
        <w:rPr>
          <w:sz w:val="20"/>
          <w:szCs w:val="20"/>
          <w:color w:val="auto"/>
        </w:rPr>
      </w:pPr>
      <w:r>
        <w:rPr>
          <w:rFonts w:ascii="Arial" w:cs="Arial" w:eastAsia="Arial" w:hAnsi="Arial"/>
          <w:sz w:val="18"/>
          <w:szCs w:val="18"/>
          <w:i w:val="1"/>
          <w:iCs w:val="1"/>
          <w:color w:val="auto"/>
        </w:rPr>
        <w:t>Chief Executive Officer</w:t>
      </w:r>
    </w:p>
    <w:p>
      <w:pPr>
        <w:ind w:left="5580"/>
        <w:spacing w:after="0"/>
        <w:rPr>
          <w:sz w:val="20"/>
          <w:szCs w:val="20"/>
          <w:color w:val="auto"/>
        </w:rPr>
      </w:pPr>
      <w:r>
        <w:rPr>
          <w:rFonts w:ascii="Arial" w:cs="Arial" w:eastAsia="Arial" w:hAnsi="Arial"/>
          <w:sz w:val="18"/>
          <w:szCs w:val="18"/>
          <w:i w:val="1"/>
          <w:iCs w:val="1"/>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ectPr>
          <w:pgSz w:w="11900" w:h="16838" w:orient="portrait"/>
          <w:cols w:equalWidth="0" w:num="1">
            <w:col w:w="11240"/>
          </w:cols>
          <w:pgMar w:left="320" w:top="985" w:right="3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19545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Chad Plotkin</w:t>
      </w:r>
    </w:p>
    <w:p>
      <w:pPr>
        <w:ind w:left="68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ectPr>
          <w:pgSz w:w="11900" w:h="16838" w:orient="portrait"/>
          <w:cols w:equalWidth="0" w:num="1">
            <w:col w:w="11240"/>
          </w:cols>
          <w:pgMar w:left="320" w:top="985" w:right="3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33" w:lineRule="exact"/>
        <w:rPr>
          <w:sz w:val="20"/>
          <w:szCs w:val="20"/>
          <w:color w:val="auto"/>
        </w:rPr>
      </w:pPr>
    </w:p>
    <w:p>
      <w:pPr>
        <w:ind w:left="660" w:hanging="652"/>
        <w:spacing w:after="0"/>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18002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Sarah Rubenstein</w:t>
      </w:r>
    </w:p>
    <w:p>
      <w:pPr>
        <w:ind w:left="7300"/>
        <w:spacing w:after="0" w:line="203" w:lineRule="auto"/>
        <w:rPr>
          <w:sz w:val="20"/>
          <w:szCs w:val="20"/>
          <w:color w:val="auto"/>
        </w:rPr>
      </w:pPr>
      <w:r>
        <w:rPr>
          <w:rFonts w:ascii="Arial" w:cs="Arial" w:eastAsia="Arial" w:hAnsi="Arial"/>
          <w:sz w:val="18"/>
          <w:szCs w:val="18"/>
          <w:i w:val="1"/>
          <w:iCs w:val="1"/>
          <w:color w:val="auto"/>
        </w:rPr>
        <w:t>Vice President, Accounting &amp;</w:t>
      </w:r>
    </w:p>
    <w:p>
      <w:pPr>
        <w:ind w:left="7300"/>
        <w:spacing w:after="0" w:line="203" w:lineRule="auto"/>
        <w:rPr>
          <w:sz w:val="20"/>
          <w:szCs w:val="20"/>
          <w:color w:val="auto"/>
        </w:rPr>
      </w:pPr>
      <w:r>
        <w:rPr>
          <w:rFonts w:ascii="Arial" w:cs="Arial" w:eastAsia="Arial" w:hAnsi="Arial"/>
          <w:sz w:val="18"/>
          <w:szCs w:val="18"/>
          <w:i w:val="1"/>
          <w:iCs w:val="1"/>
          <w:color w:val="auto"/>
        </w:rPr>
        <w:t>Controller</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ectPr>
          <w:pgSz w:w="11900" w:h="16838" w:orient="portrait"/>
          <w:cols w:equalWidth="0" w:num="1">
            <w:col w:w="11240"/>
          </w:cols>
          <w:pgMar w:left="320" w:top="891" w:right="3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Annual Report of Clearway Energy LLC on Form 10-K for the year ended December 31, 2020,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34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Chad Plotkin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ind w:left="5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Sarah Rubenstein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Vice President, Accounting &amp; Controller</w:t>
      </w:r>
    </w:p>
    <w:p>
      <w:pPr>
        <w:ind w:left="58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6AD9BE"/>
    <w:multiLevelType w:val="hybridMultilevel"/>
    <w:lvl w:ilvl="0">
      <w:lvlJc w:val="left"/>
      <w:lvlText w:val="☒"/>
      <w:numFmt w:val="bullet"/>
      <w:start w:val="1"/>
    </w:lvl>
  </w:abstractNum>
  <w:abstractNum w:abstractNumId="1">
    <w:nsid w:val="BAAC1B4"/>
    <w:multiLevelType w:val="hybridMultilevel"/>
    <w:lvl w:ilvl="0">
      <w:lvlJc w:val="left"/>
      <w:lvlText w:val="☐"/>
      <w:numFmt w:val="bullet"/>
      <w:start w:val="1"/>
    </w:lvl>
  </w:abstractNum>
  <w:abstractNum w:abstractNumId="2">
    <w:nsid w:val="36B2ACBC"/>
    <w:multiLevelType w:val="hybridMultilevel"/>
    <w:lvl w:ilvl="0">
      <w:lvlJc w:val="left"/>
      <w:lvlText w:val="(%1)"/>
      <w:numFmt w:val="lowerLetter"/>
      <w:start w:val="1"/>
    </w:lvl>
  </w:abstractNum>
  <w:abstractNum w:abstractNumId="3">
    <w:nsid w:val="779D8544"/>
    <w:multiLevelType w:val="hybridMultilevel"/>
    <w:lvl w:ilvl="0">
      <w:lvlJc w:val="left"/>
      <w:lvlText w:val="(%1)"/>
      <w:numFmt w:val="lowerLetter"/>
      <w:start w:val="1"/>
    </w:lvl>
    <w:lvl w:ilvl="1">
      <w:lvlJc w:val="left"/>
      <w:lvlText w:val="(%2)"/>
      <w:numFmt w:val="lowerLetter"/>
      <w:start w:val="2"/>
    </w:lvl>
  </w:abstractNum>
  <w:abstractNum w:abstractNumId="4">
    <w:nsid w:val="4AB26E78"/>
    <w:multiLevelType w:val="hybridMultilevel"/>
    <w:lvl w:ilvl="0">
      <w:lvlJc w:val="left"/>
      <w:lvlText w:val="&amp;"/>
      <w:numFmt w:val="bullet"/>
      <w:start w:val="1"/>
    </w:lvl>
  </w:abstractNum>
  <w:abstractNum w:abstractNumId="5">
    <w:nsid w:val="21FAA2FA"/>
    <w:multiLevelType w:val="hybridMultilevel"/>
    <w:lvl w:ilvl="0">
      <w:lvlJc w:val="left"/>
      <w:lvlText w:val="•"/>
      <w:numFmt w:val="bullet"/>
      <w:start w:val="1"/>
    </w:lvl>
  </w:abstractNum>
  <w:abstractNum w:abstractNumId="6">
    <w:nsid w:val="5451CF49"/>
    <w:multiLevelType w:val="hybridMultilevel"/>
    <w:lvl w:ilvl="0">
      <w:lvlJc w:val="left"/>
      <w:lvlText w:val="•"/>
      <w:numFmt w:val="bullet"/>
      <w:start w:val="1"/>
    </w:lvl>
  </w:abstractNum>
  <w:abstractNum w:abstractNumId="7">
    <w:nsid w:val="6181EF69"/>
    <w:multiLevelType w:val="hybridMultilevel"/>
    <w:lvl w:ilvl="0">
      <w:lvlJc w:val="left"/>
      <w:lvlText w:val="•"/>
      <w:numFmt w:val="bullet"/>
      <w:start w:val="1"/>
    </w:lvl>
  </w:abstractNum>
  <w:abstractNum w:abstractNumId="8">
    <w:nsid w:val="3E6400E6"/>
    <w:multiLevelType w:val="hybridMultilevel"/>
    <w:lvl w:ilvl="0">
      <w:lvlJc w:val="left"/>
      <w:lvlText w:val="•"/>
      <w:numFmt w:val="bullet"/>
      <w:start w:val="1"/>
    </w:lvl>
  </w:abstractNum>
  <w:abstractNum w:abstractNumId="9">
    <w:nsid w:val="14217E23"/>
    <w:multiLevelType w:val="hybridMultilevel"/>
    <w:lvl w:ilvl="0">
      <w:lvlJc w:val="left"/>
      <w:lvlText w:val="•"/>
      <w:numFmt w:val="bullet"/>
      <w:start w:val="1"/>
    </w:lvl>
  </w:abstractNum>
  <w:abstractNum w:abstractNumId="10">
    <w:nsid w:val="710757D0"/>
    <w:multiLevelType w:val="hybridMultilevel"/>
    <w:lvl w:ilvl="0">
      <w:lvlJc w:val="left"/>
      <w:lvlText w:val="•"/>
      <w:numFmt w:val="bullet"/>
      <w:start w:val="1"/>
    </w:lvl>
  </w:abstractNum>
  <w:abstractNum w:abstractNumId="11">
    <w:nsid w:val="5015CD1A"/>
    <w:multiLevelType w:val="hybridMultilevel"/>
    <w:lvl w:ilvl="0">
      <w:lvlJc w:val="left"/>
      <w:lvlText w:val="(%1)"/>
      <w:numFmt w:val="lowerLetter"/>
      <w:start w:val="1"/>
    </w:lvl>
  </w:abstractNum>
  <w:abstractNum w:abstractNumId="12">
    <w:nsid w:val="424479DA"/>
    <w:multiLevelType w:val="hybridMultilevel"/>
    <w:lvl w:ilvl="0">
      <w:lvlJc w:val="left"/>
      <w:lvlText w:val="(%1)"/>
      <w:numFmt w:val="lowerLetter"/>
      <w:start w:val="1"/>
    </w:lvl>
  </w:abstractNum>
  <w:abstractNum w:abstractNumId="13">
    <w:nsid w:val="1A9A9E69"/>
    <w:multiLevelType w:val="hybridMultilevel"/>
    <w:lvl w:ilvl="0">
      <w:lvlJc w:val="left"/>
      <w:lvlText w:val="•"/>
      <w:numFmt w:val="bullet"/>
      <w:start w:val="1"/>
    </w:lvl>
  </w:abstractNum>
  <w:abstractNum w:abstractNumId="14">
    <w:nsid w:val="475E256A"/>
    <w:multiLevelType w:val="hybridMultilevel"/>
    <w:lvl w:ilvl="0">
      <w:lvlJc w:val="left"/>
      <w:lvlText w:val="•"/>
      <w:numFmt w:val="bullet"/>
      <w:start w:val="1"/>
    </w:lvl>
  </w:abstractNum>
  <w:abstractNum w:abstractNumId="15">
    <w:nsid w:val="368DB37E"/>
    <w:multiLevelType w:val="hybridMultilevel"/>
    <w:lvl w:ilvl="0">
      <w:lvlJc w:val="left"/>
      <w:lvlText w:val="•"/>
      <w:numFmt w:val="bullet"/>
      <w:start w:val="1"/>
    </w:lvl>
    <w:lvl w:ilvl="1">
      <w:lvlJc w:val="left"/>
      <w:lvlText w:val="◦"/>
      <w:numFmt w:val="bullet"/>
      <w:start w:val="1"/>
    </w:lvl>
  </w:abstractNum>
  <w:abstractNum w:abstractNumId="16">
    <w:nsid w:val="6A3B714C"/>
    <w:multiLevelType w:val="hybridMultilevel"/>
    <w:lvl w:ilvl="0">
      <w:lvlJc w:val="left"/>
      <w:lvlText w:val="•"/>
      <w:numFmt w:val="bullet"/>
      <w:start w:val="1"/>
    </w:lvl>
  </w:abstractNum>
  <w:abstractNum w:abstractNumId="17">
    <w:nsid w:val="327B517E"/>
    <w:multiLevelType w:val="hybridMultilevel"/>
    <w:lvl w:ilvl="0">
      <w:lvlJc w:val="left"/>
      <w:lvlText w:val="•"/>
      <w:numFmt w:val="bullet"/>
      <w:start w:val="1"/>
    </w:lvl>
    <w:lvl w:ilvl="1">
      <w:lvlJc w:val="left"/>
      <w:lvlText w:val="◦"/>
      <w:numFmt w:val="bullet"/>
      <w:start w:val="1"/>
    </w:lvl>
  </w:abstractNum>
  <w:abstractNum w:abstractNumId="18">
    <w:nsid w:val="1F461B51"/>
    <w:multiLevelType w:val="hybridMultilevel"/>
    <w:lvl w:ilvl="0">
      <w:lvlJc w:val="left"/>
      <w:lvlText w:val="•"/>
      <w:numFmt w:val="bullet"/>
      <w:start w:val="1"/>
    </w:lvl>
  </w:abstractNum>
  <w:abstractNum w:abstractNumId="19">
    <w:nsid w:val="29BACF25"/>
    <w:multiLevelType w:val="hybridMultilevel"/>
    <w:lvl w:ilvl="0">
      <w:lvlJc w:val="left"/>
      <w:lvlText w:val="•"/>
      <w:numFmt w:val="bullet"/>
      <w:start w:val="1"/>
    </w:lvl>
  </w:abstractNum>
  <w:abstractNum w:abstractNumId="20">
    <w:nsid w:val="5D5BABB3"/>
    <w:multiLevelType w:val="hybridMultilevel"/>
    <w:lvl w:ilvl="0">
      <w:lvlJc w:val="left"/>
      <w:lvlText w:val="•"/>
      <w:numFmt w:val="bullet"/>
      <w:start w:val="1"/>
    </w:lvl>
  </w:abstractNum>
  <w:abstractNum w:abstractNumId="21">
    <w:nsid w:val="51BF6B48"/>
    <w:multiLevelType w:val="hybridMultilevel"/>
    <w:lvl w:ilvl="0">
      <w:lvlJc w:val="left"/>
      <w:lvlText w:val="•"/>
      <w:numFmt w:val="bullet"/>
      <w:start w:val="1"/>
    </w:lvl>
  </w:abstractNum>
  <w:abstractNum w:abstractNumId="22">
    <w:nsid w:val="7E0F6384"/>
    <w:multiLevelType w:val="hybridMultilevel"/>
    <w:lvl w:ilvl="0">
      <w:lvlJc w:val="left"/>
      <w:lvlText w:val="•"/>
      <w:numFmt w:val="bullet"/>
      <w:start w:val="1"/>
    </w:lvl>
  </w:abstractNum>
  <w:abstractNum w:abstractNumId="23">
    <w:nsid w:val="2B4B8B53"/>
    <w:multiLevelType w:val="hybridMultilevel"/>
    <w:lvl w:ilvl="0">
      <w:lvlJc w:val="left"/>
      <w:lvlText w:val="(%1)"/>
      <w:numFmt w:val="lowerLetter"/>
      <w:start w:val="1"/>
    </w:lvl>
  </w:abstractNum>
  <w:abstractNum w:abstractNumId="24">
    <w:nsid w:val="72E3413A"/>
    <w:multiLevelType w:val="hybridMultilevel"/>
    <w:lvl w:ilvl="0">
      <w:lvlJc w:val="left"/>
      <w:lvlText w:val="◦"/>
      <w:numFmt w:val="bullet"/>
      <w:start w:val="1"/>
    </w:lvl>
  </w:abstractNum>
  <w:abstractNum w:abstractNumId="25">
    <w:nsid w:val="116AE494"/>
    <w:multiLevelType w:val="hybridMultilevel"/>
    <w:lvl w:ilvl="0">
      <w:lvlJc w:val="left"/>
      <w:lvlText w:val="•"/>
      <w:numFmt w:val="bullet"/>
      <w:start w:val="1"/>
    </w:lvl>
  </w:abstractNum>
  <w:abstractNum w:abstractNumId="26">
    <w:nsid w:val="3494B2FB"/>
    <w:multiLevelType w:val="hybridMultilevel"/>
    <w:lvl w:ilvl="0">
      <w:lvlJc w:val="left"/>
      <w:lvlText w:val="(%1)"/>
      <w:numFmt w:val="lowerLetter"/>
      <w:start w:val="1"/>
    </w:lvl>
  </w:abstractNum>
  <w:abstractNum w:abstractNumId="27">
    <w:nsid w:val="B13A31"/>
    <w:multiLevelType w:val="hybridMultilevel"/>
    <w:lvl w:ilvl="0">
      <w:lvlJc w:val="left"/>
      <w:lvlText w:val="•"/>
      <w:numFmt w:val="bullet"/>
      <w:start w:val="1"/>
    </w:lvl>
  </w:abstractNum>
  <w:abstractNum w:abstractNumId="28">
    <w:nsid w:val="64429599"/>
    <w:multiLevelType w:val="hybridMultilevel"/>
    <w:lvl w:ilvl="0">
      <w:lvlJc w:val="left"/>
      <w:lvlText w:val="%1."/>
      <w:numFmt w:val="decimal"/>
      <w:start w:val="1"/>
    </w:lvl>
  </w:abstractNum>
  <w:abstractNum w:abstractNumId="29">
    <w:nsid w:val="631F1690"/>
    <w:multiLevelType w:val="hybridMultilevel"/>
    <w:lvl w:ilvl="0">
      <w:lvlJc w:val="left"/>
      <w:lvlText w:val="•"/>
      <w:numFmt w:val="bullet"/>
      <w:start w:val="1"/>
    </w:lvl>
  </w:abstractNum>
  <w:abstractNum w:abstractNumId="30">
    <w:nsid w:val="25973E32"/>
    <w:multiLevelType w:val="hybridMultilevel"/>
    <w:lvl w:ilvl="0">
      <w:lvlJc w:val="left"/>
      <w:lvlText w:val="•"/>
      <w:numFmt w:val="bullet"/>
      <w:start w:val="1"/>
    </w:lvl>
  </w:abstractNum>
  <w:abstractNum w:abstractNumId="31">
    <w:nsid w:val="EAD6F57"/>
    <w:multiLevelType w:val="hybridMultilevel"/>
    <w:lvl w:ilvl="0">
      <w:lvlJc w:val="left"/>
      <w:lvlText w:val="•"/>
      <w:numFmt w:val="bullet"/>
      <w:start w:val="1"/>
    </w:lvl>
  </w:abstractNum>
  <w:abstractNum w:abstractNumId="32">
    <w:nsid w:val="6EC9D844"/>
    <w:multiLevelType w:val="hybridMultilevel"/>
    <w:lvl w:ilvl="0">
      <w:lvlJc w:val="left"/>
      <w:lvlText w:val="•"/>
      <w:numFmt w:val="bullet"/>
      <w:start w:val="1"/>
    </w:lvl>
  </w:abstractNum>
  <w:abstractNum w:abstractNumId="33">
    <w:nsid w:val="5C49EAEE"/>
    <w:multiLevelType w:val="hybridMultilevel"/>
    <w:lvl w:ilvl="0">
      <w:lvlJc w:val="left"/>
      <w:lvlText w:val="•"/>
      <w:numFmt w:val="bullet"/>
      <w:start w:val="1"/>
    </w:lvl>
  </w:abstractNum>
  <w:abstractNum w:abstractNumId="34">
    <w:nsid w:val="64AF49B"/>
    <w:multiLevelType w:val="hybridMultilevel"/>
    <w:lvl w:ilvl="0">
      <w:lvlJc w:val="left"/>
      <w:lvlText w:val="(%1)"/>
      <w:numFmt w:val="decimal"/>
      <w:start w:val="1"/>
    </w:lvl>
  </w:abstractNum>
  <w:abstractNum w:abstractNumId="35">
    <w:nsid w:val="397C46BC"/>
    <w:multiLevelType w:val="hybridMultilevel"/>
    <w:lvl w:ilvl="0">
      <w:lvlJc w:val="left"/>
      <w:lvlText w:val="(%1)"/>
      <w:numFmt w:val="decimal"/>
      <w:start w:val="1"/>
    </w:lvl>
  </w:abstractNum>
  <w:abstractNum w:abstractNumId="36">
    <w:nsid w:val="7E448DE9"/>
    <w:multiLevelType w:val="hybridMultilevel"/>
    <w:lvl w:ilvl="0">
      <w:lvlJc w:val="left"/>
      <w:lvlText w:val="(%1)"/>
      <w:numFmt w:val="decimal"/>
      <w:start w:val="1"/>
    </w:lvl>
  </w:abstractNum>
  <w:abstractNum w:abstractNumId="37">
    <w:nsid w:val="5A9CC3E5"/>
    <w:multiLevelType w:val="hybridMultilevel"/>
    <w:lvl w:ilvl="0">
      <w:lvlJc w:val="left"/>
      <w:lvlText w:val="•"/>
      <w:numFmt w:val="bullet"/>
      <w:start w:val="1"/>
    </w:lvl>
  </w:abstractNum>
  <w:abstractNum w:abstractNumId="38">
    <w:nsid w:val="1AFE3625"/>
    <w:multiLevelType w:val="hybridMultilevel"/>
    <w:lvl w:ilvl="0">
      <w:lvlJc w:val="left"/>
      <w:lvlText w:val="•"/>
      <w:numFmt w:val="bullet"/>
      <w:start w:val="1"/>
    </w:lvl>
  </w:abstractNum>
  <w:abstractNum w:abstractNumId="39">
    <w:nsid w:val="3CA88ECF"/>
    <w:multiLevelType w:val="hybridMultilevel"/>
    <w:lvl w:ilvl="0">
      <w:lvlJc w:val="left"/>
      <w:lvlText w:val="•"/>
      <w:numFmt w:val="bullet"/>
      <w:start w:val="1"/>
    </w:lvl>
  </w:abstractNum>
  <w:abstractNum w:abstractNumId="40">
    <w:nsid w:val="6EBE4208"/>
    <w:multiLevelType w:val="hybridMultilevel"/>
    <w:lvl w:ilvl="0">
      <w:lvlJc w:val="left"/>
      <w:lvlText w:val="(%1)"/>
      <w:numFmt w:val="decimal"/>
      <w:start w:val="1"/>
    </w:lvl>
  </w:abstractNum>
  <w:abstractNum w:abstractNumId="41">
    <w:nsid w:val="C058DF5"/>
    <w:multiLevelType w:val="hybridMultilevel"/>
    <w:lvl w:ilvl="0">
      <w:lvlJc w:val="left"/>
      <w:lvlText w:val="(%1)"/>
      <w:numFmt w:val="decimal"/>
      <w:start w:val="1"/>
    </w:lvl>
  </w:abstractNum>
  <w:abstractNum w:abstractNumId="42">
    <w:nsid w:val="CBE5BE9"/>
    <w:multiLevelType w:val="hybridMultilevel"/>
    <w:lvl w:ilvl="0">
      <w:lvlJc w:val="left"/>
      <w:lvlText w:val="(%1)"/>
      <w:numFmt w:val="decimal"/>
      <w:start w:val="1"/>
    </w:lvl>
  </w:abstractNum>
  <w:abstractNum w:abstractNumId="43">
    <w:nsid w:val="3102BBE2"/>
    <w:multiLevelType w:val="hybridMultilevel"/>
    <w:lvl w:ilvl="0">
      <w:lvlJc w:val="left"/>
      <w:lvlText w:val="(%1)"/>
      <w:numFmt w:val="decimal"/>
      <w:start w:val="1"/>
    </w:lvl>
  </w:abstractNum>
  <w:abstractNum w:abstractNumId="44">
    <w:nsid w:val="26A02C5E"/>
    <w:multiLevelType w:val="hybridMultilevel"/>
    <w:lvl w:ilvl="0">
      <w:lvlJc w:val="left"/>
      <w:lvlText w:val="(%1)"/>
      <w:numFmt w:val="decimal"/>
      <w:start w:val="1"/>
    </w:lvl>
  </w:abstractNum>
  <w:abstractNum w:abstractNumId="45">
    <w:nsid w:val="541C8153"/>
    <w:multiLevelType w:val="hybridMultilevel"/>
    <w:lvl w:ilvl="0">
      <w:lvlJc w:val="left"/>
      <w:lvlText w:val="(%1)"/>
      <w:numFmt w:val="decimal"/>
      <w:start w:val="1"/>
    </w:lvl>
  </w:abstractNum>
  <w:abstractNum w:abstractNumId="46">
    <w:nsid w:val="67906F60"/>
    <w:multiLevelType w:val="hybridMultilevel"/>
    <w:lvl w:ilvl="0">
      <w:lvlJc w:val="left"/>
      <w:lvlText w:val="•"/>
      <w:numFmt w:val="bullet"/>
      <w:start w:val="1"/>
    </w:lvl>
  </w:abstractNum>
  <w:abstractNum w:abstractNumId="47">
    <w:nsid w:val="10DB9DAA"/>
    <w:multiLevelType w:val="hybridMultilevel"/>
    <w:lvl w:ilvl="0">
      <w:lvlJc w:val="left"/>
      <w:lvlText w:val="•"/>
      <w:numFmt w:val="bullet"/>
      <w:start w:val="1"/>
    </w:lvl>
  </w:abstractNum>
  <w:abstractNum w:abstractNumId="48">
    <w:nsid w:val="697D2D2"/>
    <w:multiLevelType w:val="hybridMultilevel"/>
    <w:lvl w:ilvl="0">
      <w:lvlJc w:val="left"/>
      <w:lvlText w:val="•"/>
      <w:numFmt w:val="bullet"/>
      <w:start w:val="1"/>
    </w:lvl>
  </w:abstractNum>
  <w:abstractNum w:abstractNumId="49">
    <w:nsid w:val="6D68AB2"/>
    <w:multiLevelType w:val="hybridMultilevel"/>
    <w:lvl w:ilvl="0">
      <w:lvlJc w:val="left"/>
      <w:lvlText w:val="(%1)"/>
      <w:numFmt w:val="decimal"/>
      <w:start w:val="1"/>
    </w:lvl>
  </w:abstractNum>
  <w:abstractNum w:abstractNumId="50">
    <w:nsid w:val="3A966CD0"/>
    <w:multiLevelType w:val="hybridMultilevel"/>
    <w:lvl w:ilvl="0">
      <w:lvlJc w:val="left"/>
      <w:lvlText w:val="•"/>
      <w:numFmt w:val="bullet"/>
      <w:start w:val="1"/>
    </w:lvl>
  </w:abstractNum>
  <w:abstractNum w:abstractNumId="51">
    <w:nsid w:val="63F37E85"/>
    <w:multiLevelType w:val="hybridMultilevel"/>
    <w:lvl w:ilvl="0">
      <w:lvlJc w:val="left"/>
      <w:lvlText w:val="(%1)"/>
      <w:numFmt w:val="decimal"/>
      <w:start w:val="1"/>
    </w:lvl>
  </w:abstractNum>
  <w:abstractNum w:abstractNumId="52">
    <w:nsid w:val="5895F5FA"/>
    <w:multiLevelType w:val="hybridMultilevel"/>
    <w:lvl w:ilvl="0">
      <w:lvlJc w:val="left"/>
      <w:lvlText w:val="◦"/>
      <w:numFmt w:val="bullet"/>
      <w:start w:val="1"/>
    </w:lvl>
  </w:abstractNum>
  <w:abstractNum w:abstractNumId="53">
    <w:nsid w:val="38A5D054"/>
    <w:multiLevelType w:val="hybridMultilevel"/>
    <w:lvl w:ilvl="0">
      <w:lvlJc w:val="left"/>
      <w:lvlText w:val="◦"/>
      <w:numFmt w:val="bullet"/>
      <w:start w:val="1"/>
    </w:lvl>
  </w:abstractNum>
  <w:abstractNum w:abstractNumId="54">
    <w:nsid w:val="F3F09D8"/>
    <w:multiLevelType w:val="hybridMultilevel"/>
    <w:lvl w:ilvl="0">
      <w:lvlJc w:val="left"/>
      <w:lvlText w:val="•"/>
      <w:numFmt w:val="bullet"/>
      <w:start w:val="1"/>
    </w:lvl>
  </w:abstractNum>
  <w:abstractNum w:abstractNumId="55">
    <w:nsid w:val="4B793735"/>
    <w:multiLevelType w:val="hybridMultilevel"/>
    <w:lvl w:ilvl="0">
      <w:lvlJc w:val="left"/>
      <w:lvlText w:val="•"/>
      <w:numFmt w:val="bullet"/>
      <w:start w:val="1"/>
    </w:lvl>
  </w:abstractNum>
  <w:abstractNum w:abstractNumId="56">
    <w:nsid w:val="4A10B4E8"/>
    <w:multiLevelType w:val="hybridMultilevel"/>
    <w:lvl w:ilvl="0">
      <w:lvlJc w:val="left"/>
      <w:lvlText w:val="(%1)"/>
      <w:numFmt w:val="lowerLetter"/>
      <w:start w:val="2"/>
    </w:lvl>
  </w:abstractNum>
  <w:abstractNum w:abstractNumId="57">
    <w:nsid w:val="43D3BCD4"/>
    <w:multiLevelType w:val="hybridMultilevel"/>
    <w:lvl w:ilvl="0">
      <w:lvlJc w:val="left"/>
      <w:lvlText w:val="(%1)"/>
      <w:numFmt w:val="lowerLetter"/>
      <w:start w:val="1"/>
    </w:lvl>
  </w:abstractNum>
  <w:abstractNum w:abstractNumId="58">
    <w:nsid w:val="4C2A7166"/>
    <w:multiLevelType w:val="hybridMultilevel"/>
    <w:lvl w:ilvl="0">
      <w:lvlJc w:val="left"/>
      <w:lvlText w:val="(%1)"/>
      <w:numFmt w:val="lowerLetter"/>
      <w:start w:val="1"/>
    </w:lvl>
  </w:abstractNum>
  <w:abstractNum w:abstractNumId="59">
    <w:nsid w:val="2E534A82"/>
    <w:multiLevelType w:val="hybridMultilevel"/>
    <w:lvl w:ilvl="0">
      <w:lvlJc w:val="left"/>
      <w:lvlText w:val="•"/>
      <w:numFmt w:val="bullet"/>
      <w:start w:val="1"/>
    </w:lvl>
  </w:abstractNum>
  <w:abstractNum w:abstractNumId="60">
    <w:nsid w:val="26F2D364"/>
    <w:multiLevelType w:val="hybridMultilevel"/>
    <w:lvl w:ilvl="0">
      <w:lvlJc w:val="left"/>
      <w:lvlText w:val="(%1)"/>
      <w:numFmt w:val="lowerLetter"/>
      <w:start w:val="1"/>
    </w:lvl>
  </w:abstractNum>
  <w:abstractNum w:abstractNumId="61">
    <w:nsid w:val="71C1AF98"/>
    <w:multiLevelType w:val="hybridMultilevel"/>
    <w:lvl w:ilvl="0">
      <w:lvlJc w:val="left"/>
      <w:lvlText w:val="(%1)"/>
      <w:numFmt w:val="lowerLetter"/>
      <w:start w:val="1"/>
    </w:lvl>
  </w:abstractNum>
  <w:abstractNum w:abstractNumId="62">
    <w:nsid w:val="3D00B9D9"/>
    <w:multiLevelType w:val="hybridMultilevel"/>
    <w:lvl w:ilvl="0">
      <w:lvlJc w:val="left"/>
      <w:lvlText w:val="(%1)"/>
      <w:numFmt w:val="lowerLetter"/>
      <w:start w:val="1"/>
    </w:lvl>
  </w:abstractNum>
  <w:abstractNum w:abstractNumId="63">
    <w:nsid w:val="15BCABA8"/>
    <w:multiLevelType w:val="hybridMultilevel"/>
    <w:lvl w:ilvl="0">
      <w:lvlJc w:val="left"/>
      <w:lvlText w:val="(%1)"/>
      <w:numFmt w:val="lowerLetter"/>
      <w:start w:val="1"/>
    </w:lvl>
  </w:abstractNum>
  <w:abstractNum w:abstractNumId="64">
    <w:nsid w:val="4E0B9A87"/>
    <w:multiLevelType w:val="hybridMultilevel"/>
    <w:lvl w:ilvl="0">
      <w:lvlJc w:val="left"/>
      <w:lvlText w:val="(%1)"/>
      <w:numFmt w:val="lowerLetter"/>
      <w:start w:val="1"/>
    </w:lvl>
  </w:abstractNum>
  <w:abstractNum w:abstractNumId="65">
    <w:nsid w:val="434BAE75"/>
    <w:multiLevelType w:val="hybridMultilevel"/>
    <w:lvl w:ilvl="0">
      <w:lvlJc w:val="left"/>
      <w:lvlText w:val="%1."/>
      <w:numFmt w:val="decimal"/>
      <w:start w:val="810"/>
    </w:lvl>
  </w:abstractNum>
  <w:abstractNum w:abstractNumId="66">
    <w:nsid w:val="4F38F265"/>
    <w:multiLevelType w:val="hybridMultilevel"/>
    <w:lvl w:ilvl="0">
      <w:lvlJc w:val="left"/>
      <w:lvlText w:val="(%1)"/>
      <w:numFmt w:val="lowerLetter"/>
      <w:start w:val="1"/>
    </w:lvl>
  </w:abstractNum>
  <w:abstractNum w:abstractNumId="67">
    <w:nsid w:val="4C502870"/>
    <w:multiLevelType w:val="hybridMultilevel"/>
    <w:lvl w:ilvl="0">
      <w:lvlJc w:val="left"/>
      <w:lvlText w:val="•"/>
      <w:numFmt w:val="bullet"/>
      <w:start w:val="1"/>
    </w:lvl>
  </w:abstractNum>
  <w:abstractNum w:abstractNumId="68">
    <w:nsid w:val="1DE8725A"/>
    <w:multiLevelType w:val="hybridMultilevel"/>
    <w:lvl w:ilvl="0">
      <w:lvlJc w:val="left"/>
      <w:lvlText w:val="(%1)"/>
      <w:numFmt w:val="lowerLetter"/>
      <w:start w:val="1"/>
    </w:lvl>
  </w:abstractNum>
  <w:abstractNum w:abstractNumId="69">
    <w:nsid w:val="6A37288A"/>
    <w:multiLevelType w:val="hybridMultilevel"/>
    <w:lvl w:ilvl="0">
      <w:lvlJc w:val="left"/>
      <w:lvlText w:val="(%1)"/>
      <w:numFmt w:val="lowerLetter"/>
      <w:start w:val="1"/>
    </w:lvl>
  </w:abstractNum>
  <w:abstractNum w:abstractNumId="70">
    <w:nsid w:val="8F8B73F"/>
    <w:multiLevelType w:val="hybridMultilevel"/>
    <w:lvl w:ilvl="0">
      <w:lvlJc w:val="left"/>
      <w:lvlText w:val="(%1)"/>
      <w:numFmt w:val="lowerRoman"/>
      <w:start w:val="1"/>
    </w:lvl>
  </w:abstractNum>
  <w:abstractNum w:abstractNumId="71">
    <w:nsid w:val="CA6B462"/>
    <w:multiLevelType w:val="hybridMultilevel"/>
    <w:lvl w:ilvl="0">
      <w:lvlJc w:val="left"/>
      <w:lvlText w:val="(%1)"/>
      <w:numFmt w:val="lowerLetter"/>
      <w:start w:val="1"/>
    </w:lvl>
  </w:abstractNum>
  <w:abstractNum w:abstractNumId="72">
    <w:nsid w:val="763CB680"/>
    <w:multiLevelType w:val="hybridMultilevel"/>
    <w:lvl w:ilvl="0">
      <w:lvlJc w:val="left"/>
      <w:lvlText w:val="•"/>
      <w:numFmt w:val="bullet"/>
      <w:start w:val="1"/>
    </w:lvl>
  </w:abstractNum>
  <w:abstractNum w:abstractNumId="73">
    <w:nsid w:val="15B71329"/>
    <w:multiLevelType w:val="hybridMultilevel"/>
    <w:lvl w:ilvl="0">
      <w:lvlJc w:val="left"/>
      <w:lvlText w:val="•"/>
      <w:numFmt w:val="bullet"/>
      <w:start w:val="1"/>
    </w:lvl>
  </w:abstractNum>
  <w:abstractNum w:abstractNumId="74">
    <w:nsid w:val="3DA97044"/>
    <w:multiLevelType w:val="hybridMultilevel"/>
    <w:lvl w:ilvl="0">
      <w:lvlJc w:val="left"/>
      <w:lvlText w:val="(%1)"/>
      <w:numFmt w:val="lowerLetter"/>
      <w:start w:val="1"/>
    </w:lvl>
  </w:abstractNum>
  <w:abstractNum w:abstractNumId="75">
    <w:nsid w:val="1CDCE2DE"/>
    <w:multiLevelType w:val="hybridMultilevel"/>
    <w:lvl w:ilvl="0">
      <w:lvlJc w:val="left"/>
      <w:lvlText w:val="(%1)"/>
      <w:numFmt w:val="lowerLetter"/>
      <w:start w:val="1"/>
    </w:lvl>
  </w:abstractNum>
  <w:abstractNum w:abstractNumId="76">
    <w:nsid w:val="69D3947C"/>
    <w:multiLevelType w:val="hybridMultilevel"/>
    <w:lvl w:ilvl="0">
      <w:lvlJc w:val="left"/>
      <w:lvlText w:val="(%1)"/>
      <w:numFmt w:val="lowerLetter"/>
      <w:start w:val="1"/>
    </w:lvl>
  </w:abstractNum>
  <w:abstractNum w:abstractNumId="77">
    <w:nsid w:val="2539DFA5"/>
    <w:multiLevelType w:val="hybridMultilevel"/>
    <w:lvl w:ilvl="0">
      <w:lvlJc w:val="left"/>
      <w:lvlText w:val="%1"/>
      <w:numFmt w:val="decimal"/>
      <w:start w:val="104"/>
    </w:lvl>
  </w:abstractNum>
  <w:abstractNum w:abstractNumId="78">
    <w:nsid w:val="2DB88089"/>
    <w:multiLevelType w:val="hybridMultilevel"/>
    <w:lvl w:ilvl="0">
      <w:lvlJc w:val="left"/>
      <w:lvlText w:val="†"/>
      <w:numFmt w:val="bullet"/>
      <w:start w:val="1"/>
    </w:lvl>
  </w:abstractNum>
  <w:abstractNum w:abstractNumId="79">
    <w:nsid w:val="706B674E"/>
    <w:multiLevelType w:val="hybridMultilevel"/>
    <w:lvl w:ilvl="0">
      <w:lvlJc w:val="left"/>
      <w:lvlText w:val="*"/>
      <w:numFmt w:val="bullet"/>
      <w:start w:val="1"/>
    </w:lvl>
  </w:abstractNum>
  <w:abstractNum w:abstractNumId="80">
    <w:nsid w:val="2C106A57"/>
    <w:multiLevelType w:val="hybridMultilevel"/>
    <w:lvl w:ilvl="0">
      <w:lvlJc w:val="left"/>
      <w:lvlText w:val="^"/>
      <w:numFmt w:val="bullet"/>
      <w:start w:val="1"/>
    </w:lvl>
  </w:abstractNum>
  <w:abstractNum w:abstractNumId="81">
    <w:nsid w:val="684EED59"/>
    <w:multiLevelType w:val="hybridMultilevel"/>
    <w:lvl w:ilvl="0">
      <w:lvlJc w:val="left"/>
      <w:lvlText w:val="•"/>
      <w:numFmt w:val="bullet"/>
      <w:start w:val="1"/>
    </w:lvl>
  </w:abstractNum>
  <w:abstractNum w:abstractNumId="82">
    <w:nsid w:val="545EE5D3"/>
    <w:multiLevelType w:val="hybridMultilevel"/>
    <w:lvl w:ilvl="0">
      <w:lvlJc w:val="left"/>
      <w:lvlText w:val="•"/>
      <w:numFmt w:val="bullet"/>
      <w:start w:val="1"/>
    </w:lvl>
  </w:abstractNum>
  <w:abstractNum w:abstractNumId="83">
    <w:nsid w:val="4A66051"/>
    <w:multiLevelType w:val="hybridMultilevel"/>
    <w:lvl w:ilvl="0">
      <w:lvlJc w:val="left"/>
      <w:lvlText w:val="•"/>
      <w:numFmt w:val="bullet"/>
      <w:start w:val="1"/>
    </w:lvl>
  </w:abstractNum>
  <w:abstractNum w:abstractNumId="84">
    <w:nsid w:val="20F4BDAD"/>
    <w:multiLevelType w:val="hybridMultilevel"/>
    <w:lvl w:ilvl="0">
      <w:lvlJc w:val="left"/>
      <w:lvlText w:val="(%1)"/>
      <w:numFmt w:val="decimal"/>
      <w:start w:val="1"/>
    </w:lvl>
  </w:abstractNum>
  <w:abstractNum w:abstractNumId="85">
    <w:nsid w:val="639DEFAC"/>
    <w:multiLevelType w:val="hybridMultilevel"/>
    <w:lvl w:ilvl="0">
      <w:lvlJc w:val="left"/>
      <w:lvlText w:val="(%1)"/>
      <w:numFmt w:val="decimal"/>
      <w:start w:val="3"/>
    </w:lvl>
    <w:lvl w:ilvl="1">
      <w:lvlJc w:val="left"/>
      <w:lvlText w:val="(%2)"/>
      <w:numFmt w:val="lowerLetter"/>
      <w:start w:val="1"/>
    </w:lvl>
  </w:abstractNum>
  <w:abstractNum w:abstractNumId="86">
    <w:nsid w:val="501F9786"/>
    <w:multiLevelType w:val="hybridMultilevel"/>
    <w:lvl w:ilvl="0">
      <w:lvlJc w:val="left"/>
      <w:lvlText w:val="(%1)"/>
      <w:numFmt w:val="decimal"/>
      <w:start w:val="1"/>
    </w:lvl>
  </w:abstractNum>
  <w:abstractNum w:abstractNumId="87">
    <w:nsid w:val="6B057295"/>
    <w:multiLevelType w:val="hybridMultilevel"/>
    <w:lvl w:ilvl="0">
      <w:lvlJc w:val="left"/>
      <w:lvlText w:val="(%1)"/>
      <w:numFmt w:val="decimal"/>
      <w:start w:val="1"/>
    </w:lvl>
  </w:abstractNum>
  <w:abstractNum w:abstractNumId="88">
    <w:nsid w:val="2771AC80"/>
    <w:multiLevelType w:val="hybridMultilevel"/>
    <w:lvl w:ilvl="0">
      <w:lvlJc w:val="left"/>
      <w:lvlText w:val="(%1)"/>
      <w:numFmt w:val="decimal"/>
      <w:start w:val="3"/>
    </w:lvl>
  </w:abstractNum>
  <w:abstractNum w:abstractNumId="89">
    <w:nsid w:val="1C4A08EC"/>
    <w:multiLevelType w:val="hybridMultilevel"/>
    <w:lvl w:ilvl="0">
      <w:lvlJc w:val="left"/>
      <w:lvlText w:val="(%1)"/>
      <w:numFmt w:val="decimal"/>
      <w:start w:val="1"/>
    </w:lvl>
  </w:abstractNum>
  <w:abstractNum w:abstractNumId="90">
    <w:nsid w:val="1958BD17"/>
    <w:multiLevelType w:val="hybridMultilevel"/>
    <w:lvl w:ilvl="0">
      <w:lvlJc w:val="left"/>
      <w:lvlText w:val="(%1)"/>
      <w:numFmt w:val="decimal"/>
      <w:start w:val="5"/>
    </w:lvl>
  </w:abstractNum>
  <w:abstractNum w:abstractNumId="91">
    <w:nsid w:val="4E647FE4"/>
    <w:multiLevelType w:val="hybridMultilevel"/>
    <w:lvl w:ilvl="0">
      <w:lvlJc w:val="left"/>
      <w:lvlText w:val="(%1)"/>
      <w:numFmt w:val="decimal"/>
      <w:start w:val="1"/>
    </w:lvl>
  </w:abstractNum>
  <w:abstractNum w:abstractNumId="92">
    <w:nsid w:val="E0BB885"/>
    <w:multiLevelType w:val="hybridMultilevel"/>
    <w:lvl w:ilvl="0">
      <w:lvlJc w:val="left"/>
      <w:lvlText w:val="(%1)"/>
      <w:numFmt w:val="decimal"/>
      <w:start w:val="2"/>
    </w:lvl>
  </w:abstractNum>
  <w:abstractNum w:abstractNumId="93">
    <w:nsid w:val="565976F1"/>
    <w:multiLevelType w:val="hybridMultilevel"/>
    <w:lvl w:ilvl="0">
      <w:lvlJc w:val="left"/>
      <w:lvlText w:val="(%1)"/>
      <w:numFmt w:val="decimal"/>
      <w:start w:val="1"/>
    </w:lvl>
  </w:abstractNum>
  <w:abstractNum w:abstractNumId="94">
    <w:nsid w:val="64212B8C"/>
    <w:multiLevelType w:val="hybridMultilevel"/>
    <w:lvl w:ilvl="0">
      <w:lvlJc w:val="left"/>
      <w:lvlText w:val="(%1)"/>
      <w:numFmt w:val="decimal"/>
      <w:start w:val="1"/>
    </w:lvl>
  </w:abstractNum>
  <w:abstractNum w:abstractNumId="95">
    <w:nsid w:val="5C17530C"/>
    <w:multiLevelType w:val="hybridMultilevel"/>
    <w:lvl w:ilvl="0">
      <w:lvlJc w:val="left"/>
      <w:lvlText w:val="(%1)"/>
      <w:numFmt w:val="decimal"/>
      <w:start w:val="1"/>
    </w:lvl>
  </w:abstractNum>
  <w:abstractNum w:abstractNumId="96">
    <w:nsid w:val="19A52566"/>
    <w:multiLevelType w:val="hybridMultilevel"/>
    <w:lvl w:ilvl="0">
      <w:lvlJc w:val="left"/>
      <w:lvlText w:val="(%1)"/>
      <w:numFmt w:val="decimal"/>
      <w:start w:val="4"/>
    </w:lvl>
  </w:abstractNum>
  <w:abstractNum w:abstractNumId="97">
    <w:nsid w:val="335A1DF1"/>
    <w:multiLevelType w:val="hybridMultilevel"/>
    <w:lvl w:ilvl="0">
      <w:lvlJc w:val="left"/>
      <w:lvlText w:val="(%1)"/>
      <w:numFmt w:val="decimal"/>
      <w:start w:val="1"/>
    </w:lvl>
    <w:lvl w:ilvl="1">
      <w:lvlJc w:val="left"/>
      <w:lvlText w:val="(%2)"/>
      <w:numFmt w:val="lowerLetter"/>
      <w:start w:val="1"/>
    </w:lvl>
  </w:abstractNum>
  <w:abstractNum w:abstractNumId="98">
    <w:nsid w:val="28677B7C"/>
    <w:multiLevelType w:val="hybridMultilevel"/>
    <w:lvl w:ilvl="0">
      <w:lvlJc w:val="left"/>
      <w:lvlText w:val="(%1)"/>
      <w:numFmt w:val="decimal"/>
      <w:start w:val="5"/>
    </w:lvl>
  </w:abstractNum>
  <w:abstractNum w:abstractNumId="99">
    <w:nsid w:val="378D97C0"/>
    <w:multiLevelType w:val="hybridMultilevel"/>
    <w:lvl w:ilvl="0">
      <w:lvlJc w:val="left"/>
      <w:lvlText w:val="(%1)"/>
      <w:numFmt w:val="decimal"/>
      <w:start w:val="7"/>
    </w:lvl>
  </w:abstractNum>
  <w:abstractNum w:abstractNumId="100">
    <w:nsid w:val="1D91467C"/>
    <w:multiLevelType w:val="hybridMultilevel"/>
    <w:lvl w:ilvl="0">
      <w:lvlJc w:val="left"/>
      <w:lvlText w:val="(%1)"/>
      <w:numFmt w:val="decimal"/>
      <w:start w:val="1"/>
    </w:lvl>
  </w:abstractNum>
  <w:abstractNum w:abstractNumId="101">
    <w:nsid w:val="316032BB"/>
    <w:multiLevelType w:val="hybridMultilevel"/>
    <w:lvl w:ilvl="0">
      <w:lvlJc w:val="left"/>
      <w:lvlText w:val="(%1)"/>
      <w:numFmt w:val="decimal"/>
      <w:start w:val="1"/>
    </w:lvl>
  </w:abstractNum>
  <w:abstractNum w:abstractNumId="102">
    <w:nsid w:val="44344C22"/>
    <w:multiLevelType w:val="hybridMultilevel"/>
    <w:lvl w:ilvl="0">
      <w:lvlJc w:val="left"/>
      <w:lvlText w:val="(%1)"/>
      <w:numFmt w:val="decimal"/>
      <w:start w:val="1"/>
    </w:lvl>
  </w:abstractNum>
  <w:abstractNum w:abstractNumId="103">
    <w:nsid w:val="13CDFCFC"/>
    <w:multiLevelType w:val="hybridMultilevel"/>
    <w:lvl w:ilvl="0">
      <w:lvlJc w:val="left"/>
      <w:lvlText w:val="(%1)"/>
      <w:numFmt w:val="decimal"/>
      <w:start w:val="3"/>
    </w:lvl>
  </w:abstractNum>
  <w:abstractNum w:abstractNumId="104">
    <w:nsid w:val="471745E4"/>
    <w:multiLevelType w:val="hybridMultilevel"/>
    <w:lvl w:ilvl="0">
      <w:lvlJc w:val="left"/>
      <w:lvlText w:val="(%1)"/>
      <w:numFmt w:val="decimal"/>
      <w:start w:val="1"/>
    </w:lvl>
  </w:abstractNum>
  <w:abstractNum w:abstractNumId="105">
    <w:nsid w:val="1DDBC66"/>
    <w:multiLevelType w:val="hybridMultilevel"/>
    <w:lvl w:ilvl="0">
      <w:lvlJc w:val="left"/>
      <w:lvlText w:val="(%1)"/>
      <w:numFmt w:val="decimal"/>
      <w:start w:val="6"/>
    </w:lvl>
  </w:abstractNum>
  <w:abstractNum w:abstractNumId="106">
    <w:nsid w:val="30AADFDA"/>
    <w:multiLevelType w:val="hybridMultilevel"/>
    <w:lvl w:ilvl="0">
      <w:lvlJc w:val="left"/>
      <w:lvlText w:val="(%1)"/>
      <w:numFmt w:val="decimal"/>
      <w:start w:val="1"/>
    </w:lvl>
  </w:abstractNum>
  <w:abstractNum w:abstractNumId="107">
    <w:nsid w:val="30EADA61"/>
    <w:multiLevelType w:val="hybridMultilevel"/>
    <w:lvl w:ilvl="0">
      <w:lvlJc w:val="left"/>
      <w:lvlText w:val="(%1)"/>
      <w:numFmt w:val="decimal"/>
      <w:start w:val="1"/>
    </w:lvl>
    <w:lvl w:ilvl="1">
      <w:lvlJc w:val="left"/>
      <w:lvlText w:val="(%2)"/>
      <w:numFmt w:val="lowerLetter"/>
      <w:start w:val="1"/>
    </w:lvl>
  </w:abstractNum>
  <w:abstractNum w:abstractNumId="108">
    <w:nsid w:val="27179C0B"/>
    <w:multiLevelType w:val="hybridMultilevel"/>
    <w:lvl w:ilvl="0">
      <w:lvlJc w:val="left"/>
      <w:lvlText w:val="(%1)"/>
      <w:numFmt w:val="decimal"/>
      <w:start w:val="2"/>
    </w:lvl>
  </w:abstractNum>
  <w:abstractNum w:abstractNumId="109">
    <w:nsid w:val="5E636063"/>
    <w:multiLevelType w:val="hybridMultilevel"/>
    <w:lvl w:ilvl="0">
      <w:lvlJc w:val="left"/>
      <w:lvlText w:val="(%1)"/>
      <w:numFmt w:val="decimal"/>
      <w:start w:val="1"/>
    </w:lvl>
  </w:abstractNum>
  <w:abstractNum w:abstractNumId="110">
    <w:nsid w:val="215641AF"/>
    <w:multiLevelType w:val="hybridMultilevel"/>
    <w:lvl w:ilvl="0">
      <w:lvlJc w:val="left"/>
      <w:lvlText w:val="(%1)"/>
      <w:numFmt w:val="decimal"/>
      <w:start w:val="3"/>
    </w:lvl>
  </w:abstractNum>
  <w:abstractNum w:abstractNumId="111">
    <w:nsid w:val="53280662"/>
    <w:multiLevelType w:val="hybridMultilevel"/>
    <w:lvl w:ilvl="0">
      <w:lvlJc w:val="left"/>
      <w:lvlText w:val="(%1)"/>
      <w:numFmt w:val="decimal"/>
      <w:start w:val="2"/>
    </w:lvl>
  </w:abstractNum>
  <w:abstractNum w:abstractNumId="112">
    <w:nsid w:val="46B24DBC"/>
    <w:multiLevelType w:val="hybridMultilevel"/>
    <w:lvl w:ilvl="0">
      <w:lvlJc w:val="left"/>
      <w:lvlText w:val="(%1)"/>
      <w:numFmt w:val="decimal"/>
      <w:start w:val="8"/>
    </w:lvl>
  </w:abstractNum>
  <w:abstractNum w:abstractNumId="113">
    <w:nsid w:val="75B52783"/>
    <w:multiLevelType w:val="hybridMultilevel"/>
    <w:lvl w:ilvl="0">
      <w:lvlJc w:val="left"/>
      <w:lvlText w:val="(%1)"/>
      <w:numFmt w:val="decimal"/>
      <w:start w:val="1"/>
    </w:lvl>
  </w:abstractNum>
  <w:abstractNum w:abstractNumId="114">
    <w:nsid w:val="57CE66B4"/>
    <w:multiLevelType w:val="hybridMultilevel"/>
    <w:lvl w:ilvl="0">
      <w:lvlJc w:val="left"/>
      <w:lvlText w:val="(%1)"/>
      <w:numFmt w:val="decimal"/>
      <w:start w:val="1"/>
    </w:lvl>
    <w:lvl w:ilvl="1">
      <w:lvlJc w:val="left"/>
      <w:lvlText w:val="(%2)"/>
      <w:numFmt w:val="lowerLetter"/>
      <w:start w:val="1"/>
    </w:lvl>
  </w:abstractNum>
  <w:abstractNum w:abstractNumId="115">
    <w:nsid w:val="67A70B69"/>
    <w:multiLevelType w:val="hybridMultilevel"/>
    <w:lvl w:ilvl="0">
      <w:lvlJc w:val="left"/>
      <w:lvlText w:val="(%1)"/>
      <w:numFmt w:val="decimal"/>
      <w:start w:val="1"/>
    </w:lvl>
  </w:abstractNum>
  <w:abstractNum w:abstractNumId="116">
    <w:nsid w:val="5953172F"/>
    <w:multiLevelType w:val="hybridMultilevel"/>
    <w:lvl w:ilvl="0">
      <w:lvlJc w:val="left"/>
      <w:lvlText w:val="(%1)"/>
      <w:numFmt w:val="decimal"/>
      <w:start w:val="1"/>
    </w:lvl>
  </w:abstractNum>
  <w:abstractNum w:abstractNumId="117">
    <w:nsid w:val="27EDFE3A"/>
    <w:multiLevelType w:val="hybridMultilevel"/>
    <w:lvl w:ilvl="0">
      <w:lvlJc w:val="left"/>
      <w:lvlText w:val="(%1)"/>
      <w:numFmt w:val="decimal"/>
      <w:start w:val="3"/>
    </w:lvl>
  </w:abstractNum>
  <w:abstractNum w:abstractNumId="118">
    <w:nsid w:val="52AC7DFF"/>
    <w:multiLevelType w:val="hybridMultilevel"/>
    <w:lvl w:ilvl="0">
      <w:lvlJc w:val="left"/>
      <w:lvlText w:val="(%1)"/>
      <w:numFmt w:val="decimal"/>
      <w:start w:val="1"/>
    </w:lvl>
  </w:abstractNum>
  <w:abstractNum w:abstractNumId="119">
    <w:nsid w:val="C4C3AF"/>
    <w:multiLevelType w:val="hybridMultilevel"/>
    <w:lvl w:ilvl="0">
      <w:lvlJc w:val="left"/>
      <w:lvlText w:val="(%1)"/>
      <w:numFmt w:val="decimal"/>
      <w:start w:val="1"/>
    </w:lvl>
  </w:abstractNum>
  <w:abstractNum w:abstractNumId="120">
    <w:nsid w:val="44380727"/>
    <w:multiLevelType w:val="hybridMultilevel"/>
    <w:lvl w:ilvl="0">
      <w:lvlJc w:val="left"/>
      <w:lvlText w:val="(%1)"/>
      <w:numFmt w:val="decimal"/>
      <w:start w:val="1"/>
    </w:lvl>
  </w:abstractNum>
  <w:abstractNum w:abstractNumId="121">
    <w:nsid w:val="6C053B16"/>
    <w:multiLevelType w:val="hybridMultilevel"/>
    <w:lvl w:ilvl="0">
      <w:lvlJc w:val="left"/>
      <w:lvlText w:val="(%1)"/>
      <w:numFmt w:val="decimal"/>
      <w:start w:val="1"/>
    </w:lvl>
  </w:abstractNum>
  <w:abstractNum w:abstractNumId="122">
    <w:nsid w:val="4F294393"/>
    <w:multiLevelType w:val="hybridMultilevel"/>
    <w:lvl w:ilvl="0">
      <w:lvlJc w:val="left"/>
      <w:lvlText w:val="(%1)"/>
      <w:numFmt w:val="decimal"/>
      <w:start w:val="1"/>
    </w:lvl>
  </w:abstractNum>
  <w:abstractNum w:abstractNumId="123">
    <w:nsid w:val="5243BFAC"/>
    <w:multiLevelType w:val="hybridMultilevel"/>
    <w:lvl w:ilvl="0">
      <w:lvlJc w:val="left"/>
      <w:lvlText w:val="(%1)"/>
      <w:numFmt w:val="decimal"/>
      <w:start w:val="1"/>
    </w:lvl>
  </w:abstractNum>
  <w:abstractNum w:abstractNumId="124">
    <w:nsid w:val="425EB207"/>
    <w:multiLevelType w:val="hybridMultilevel"/>
    <w:lvl w:ilvl="0">
      <w:lvlJc w:val="left"/>
      <w:lvlText w:val="(%1)"/>
      <w:numFmt w:val="decimal"/>
      <w:start w:val="1"/>
    </w:lvl>
  </w:abstractNum>
  <w:abstractNum w:abstractNumId="125">
    <w:nsid w:val="334A6F1F"/>
    <w:multiLevelType w:val="hybridMultilevel"/>
    <w:lvl w:ilvl="0">
      <w:lvlJc w:val="left"/>
      <w:lvlText w:val="(%1)"/>
      <w:numFmt w:val="decimal"/>
      <w:start w:val="1"/>
    </w:lvl>
  </w:abstractNum>
  <w:abstractNum w:abstractNumId="126">
    <w:nsid w:val="2E5B12B8"/>
    <w:multiLevelType w:val="hybridMultilevel"/>
    <w:lvl w:ilvl="0">
      <w:lvlJc w:val="left"/>
      <w:lvlText w:val="•"/>
      <w:numFmt w:val="bullet"/>
      <w:start w:val="1"/>
    </w:lvl>
  </w:abstractNum>
  <w:abstractNum w:abstractNumId="127">
    <w:nsid w:val="5C03D76D"/>
    <w:multiLevelType w:val="hybridMultilevel"/>
    <w:lvl w:ilvl="0">
      <w:lvlJc w:val="left"/>
      <w:lvlText w:val="•"/>
      <w:numFmt w:val="bullet"/>
      <w:start w:val="1"/>
    </w:lvl>
  </w:abstractNum>
  <w:abstractNum w:abstractNumId="128">
    <w:nsid w:val="66A48D11"/>
    <w:multiLevelType w:val="hybridMultilevel"/>
    <w:lvl w:ilvl="0">
      <w:lvlJc w:val="left"/>
      <w:lvlText w:val="•"/>
      <w:numFmt w:val="bullet"/>
      <w:start w:val="1"/>
    </w:lvl>
  </w:abstractNum>
  <w:abstractNum w:abstractNumId="129">
    <w:nsid w:val="56C28E34"/>
    <w:multiLevelType w:val="hybridMultilevel"/>
    <w:lvl w:ilvl="0">
      <w:lvlJc w:val="left"/>
      <w:lvlText w:val="•"/>
      <w:numFmt w:val="bullet"/>
      <w:start w:val="1"/>
    </w:lvl>
  </w:abstractNum>
  <w:abstractNum w:abstractNumId="130">
    <w:nsid w:val="13916F2D"/>
    <w:multiLevelType w:val="hybridMultilevel"/>
    <w:lvl w:ilvl="0">
      <w:lvlJc w:val="left"/>
      <w:lvlText w:val="(%1)"/>
      <w:numFmt w:val="decimal"/>
      <w:start w:val="1"/>
    </w:lvl>
  </w:abstractNum>
  <w:abstractNum w:abstractNumId="131">
    <w:nsid w:val="435D38D"/>
    <w:multiLevelType w:val="hybridMultilevel"/>
    <w:lvl w:ilvl="0">
      <w:lvlJc w:val="left"/>
      <w:lvlText w:val="(%1)"/>
      <w:numFmt w:val="decimal"/>
      <w:start w:val="4"/>
    </w:lvl>
    <w:lvl w:ilvl="1">
      <w:lvlJc w:val="left"/>
      <w:lvlText w:val="(%2)"/>
      <w:numFmt w:val="lowerLetter"/>
      <w:start w:val="1"/>
    </w:lvl>
  </w:abstractNum>
  <w:abstractNum w:abstractNumId="132">
    <w:nsid w:val="822C0EF"/>
    <w:multiLevelType w:val="hybridMultilevel"/>
    <w:lvl w:ilvl="0">
      <w:lvlJc w:val="left"/>
      <w:lvlText w:val="(%1)"/>
      <w:numFmt w:val="decimal"/>
      <w:start w:val="1"/>
    </w:lvl>
  </w:abstractNum>
  <w:abstractNum w:abstractNumId="133">
    <w:nsid w:val="57C5BB4F"/>
    <w:multiLevelType w:val="hybridMultilevel"/>
    <w:lvl w:ilvl="0">
      <w:lvlJc w:val="left"/>
      <w:lvlText w:val="(%1)"/>
      <w:numFmt w:val="decimal"/>
      <w:start w:val="1"/>
    </w:lvl>
  </w:abstractNum>
  <w:abstractNum w:abstractNumId="134">
    <w:nsid w:val="1803D089"/>
    <w:multiLevelType w:val="hybridMultilevel"/>
    <w:lvl w:ilvl="0">
      <w:lvlJc w:val="left"/>
      <w:lvlText w:val="(%1)"/>
      <w:numFmt w:val="decimal"/>
      <w:start w:val="1"/>
    </w:lvl>
  </w:abstractNum>
  <w:abstractNum w:abstractNumId="135">
    <w:nsid w:val="4F3A06D4"/>
    <w:multiLevelType w:val="hybridMultilevel"/>
    <w:lvl w:ilvl="0">
      <w:lvlJc w:val="left"/>
      <w:lvlText w:val="(%1)"/>
      <w:numFmt w:val="decimal"/>
      <w:start w:val="1"/>
    </w:lvl>
  </w:abstractNum>
  <w:abstractNum w:abstractNumId="136">
    <w:nsid w:val="59A377B6"/>
    <w:multiLevelType w:val="hybridMultilevel"/>
    <w:lvl w:ilvl="0">
      <w:lvlJc w:val="left"/>
      <w:lvlText w:val="(%1)"/>
      <w:numFmt w:val="decimal"/>
      <w:start w:val="1"/>
    </w:lvl>
  </w:abstractNum>
  <w:abstractNum w:abstractNumId="137">
    <w:nsid w:val="48AEB063"/>
    <w:multiLevelType w:val="hybridMultilevel"/>
    <w:lvl w:ilvl="0">
      <w:lvlJc w:val="left"/>
      <w:lvlText w:val="(%1)"/>
      <w:numFmt w:val="decimal"/>
      <w:start w:val="1"/>
    </w:lvl>
  </w:abstractNum>
  <w:abstractNum w:abstractNumId="138">
    <w:nsid w:val="24E135"/>
    <w:multiLevelType w:val="hybridMultilevel"/>
    <w:lvl w:ilvl="0">
      <w:lvlJc w:val="left"/>
      <w:lvlText w:val="(%1)"/>
      <w:numFmt w:val="decimal"/>
      <w:start w:val="1"/>
    </w:lvl>
  </w:abstractNum>
  <w:abstractNum w:abstractNumId="139">
    <w:nsid w:val="BB13C1"/>
    <w:multiLevelType w:val="hybridMultilevel"/>
    <w:lvl w:ilvl="0">
      <w:lvlJc w:val="left"/>
      <w:lvlText w:val="(%1)"/>
      <w:numFmt w:val="lowerLetter"/>
      <w:start w:val="1"/>
    </w:lvl>
  </w:abstractNum>
  <w:abstractNum w:abstractNumId="140">
    <w:nsid w:val="271210C7"/>
    <w:multiLevelType w:val="hybridMultilevel"/>
    <w:lvl w:ilvl="0">
      <w:lvlJc w:val="left"/>
      <w:lvlText w:val="(%1)"/>
      <w:numFmt w:val="decimal"/>
      <w:start w:val="5"/>
    </w:lvl>
  </w:abstractNum>
  <w:abstractNum w:abstractNumId="141">
    <w:nsid w:val="217B22E4"/>
    <w:multiLevelType w:val="hybridMultilevel"/>
    <w:lvl w:ilvl="0">
      <w:lvlJc w:val="left"/>
      <w:lvlText w:val="(%1)"/>
      <w:numFmt w:val="decimal"/>
      <w:start w:val="1"/>
    </w:lvl>
  </w:abstractNum>
  <w:abstractNum w:abstractNumId="142">
    <w:nsid w:val="53E31A24"/>
    <w:multiLevelType w:val="hybridMultilevel"/>
    <w:lvl w:ilvl="0">
      <w:lvlJc w:val="left"/>
      <w:lvlText w:val="(%1)"/>
      <w:numFmt w:val="decimal"/>
      <w:start w:val="3"/>
    </w:lvl>
  </w:abstractNum>
  <w:abstractNum w:abstractNumId="143">
    <w:nsid w:val="6DC45E83"/>
    <w:multiLevelType w:val="hybridMultilevel"/>
    <w:lvl w:ilvl="0">
      <w:lvlJc w:val="left"/>
      <w:lvlText w:val="(%1)"/>
      <w:numFmt w:val="decimal"/>
      <w:start w:val="1"/>
    </w:lvl>
  </w:abstractNum>
  <w:abstractNum w:abstractNumId="144">
    <w:nsid w:val="17304A67"/>
    <w:multiLevelType w:val="hybridMultilevel"/>
    <w:lvl w:ilvl="0">
      <w:lvlJc w:val="left"/>
      <w:lvlText w:val="(%1)"/>
      <w:numFmt w:val="decimal"/>
      <w:start w:val="1"/>
    </w:lvl>
  </w:abstractNum>
  <w:abstractNum w:abstractNumId="145">
    <w:nsid w:val="2BB180D8"/>
    <w:multiLevelType w:val="hybridMultilevel"/>
    <w:lvl w:ilvl="0">
      <w:lvlJc w:val="left"/>
      <w:lvlText w:val="(%1)"/>
      <w:numFmt w:val="decimal"/>
      <w:start w:val="1"/>
    </w:lvl>
  </w:abstractNum>
  <w:abstractNum w:abstractNumId="146">
    <w:nsid w:val="556B69ED"/>
    <w:multiLevelType w:val="hybridMultilevel"/>
    <w:lvl w:ilvl="0">
      <w:lvlJc w:val="left"/>
      <w:lvlText w:val="(%1)"/>
      <w:numFmt w:val="decimal"/>
      <w:start w:val="1"/>
    </w:lvl>
  </w:abstractNum>
  <w:abstractNum w:abstractNumId="147">
    <w:nsid w:val="70836196"/>
    <w:multiLevelType w:val="hybridMultilevel"/>
    <w:lvl w:ilvl="0">
      <w:lvlJc w:val="left"/>
      <w:lvlText w:val="(%1)"/>
      <w:numFmt w:val="decimal"/>
      <w:start w:val="1"/>
    </w:lvl>
    <w:lvl w:ilvl="1">
      <w:lvlJc w:val="left"/>
      <w:lvlText w:val="(%2)"/>
      <w:numFmt w:val="lowerLetter"/>
      <w:start w:val="1"/>
    </w:lvl>
  </w:abstractNum>
  <w:abstractNum w:abstractNumId="148">
    <w:nsid w:val="539F7F12"/>
    <w:multiLevelType w:val="hybridMultilevel"/>
    <w:lvl w:ilvl="0">
      <w:lvlJc w:val="left"/>
      <w:lvlText w:val="(%1)"/>
      <w:numFmt w:val="decimal"/>
      <w:start w:val="1"/>
    </w:lvl>
  </w:abstractNum>
  <w:abstractNum w:abstractNumId="149">
    <w:nsid w:val="2817E7EC"/>
    <w:multiLevelType w:val="hybridMultilevel"/>
    <w:lvl w:ilvl="0">
      <w:lvlJc w:val="left"/>
      <w:lvlText w:val="(%1)"/>
      <w:numFmt w:val="decimal"/>
      <w:start w:val="2"/>
    </w:lvl>
  </w:abstractNum>
  <w:abstractNum w:abstractNumId="150">
    <w:nsid w:val="71482545"/>
    <w:multiLevelType w:val="hybridMultilevel"/>
    <w:lvl w:ilvl="0">
      <w:lvlJc w:val="left"/>
      <w:lvlText w:val="(%1)"/>
      <w:numFmt w:val="decimal"/>
      <w:start w:val="8"/>
    </w:lvl>
  </w:abstractNum>
  <w:abstractNum w:abstractNumId="151">
    <w:nsid w:val="17D78639"/>
    <w:multiLevelType w:val="hybridMultilevel"/>
    <w:lvl w:ilvl="0">
      <w:lvlJc w:val="left"/>
      <w:lvlText w:val="(%1)"/>
      <w:numFmt w:val="decimal"/>
      <w:start w:val="1"/>
    </w:lvl>
  </w:abstractNum>
  <w:abstractNum w:abstractNumId="152">
    <w:nsid w:val="141D2302"/>
    <w:multiLevelType w:val="hybridMultilevel"/>
    <w:lvl w:ilvl="0">
      <w:lvlJc w:val="left"/>
      <w:lvlText w:val="(%1)"/>
      <w:numFmt w:val="decimal"/>
      <w:start w:val="2"/>
    </w:lvl>
  </w:abstractNum>
  <w:abstractNum w:abstractNumId="153">
    <w:nsid w:val="407168D8"/>
    <w:multiLevelType w:val="hybridMultilevel"/>
    <w:lvl w:ilvl="0">
      <w:lvlJc w:val="left"/>
      <w:lvlText w:val="(%1)"/>
      <w:numFmt w:val="decimal"/>
      <w:start w:val="1"/>
    </w:lvl>
    <w:lvl w:ilvl="1">
      <w:lvlJc w:val="left"/>
      <w:lvlText w:val="(%2)"/>
      <w:numFmt w:val="lowerLetter"/>
      <w:start w:val="1"/>
    </w:lvl>
  </w:abstractNum>
  <w:abstractNum w:abstractNumId="154">
    <w:nsid w:val="6A1B45E5"/>
    <w:multiLevelType w:val="hybridMultilevel"/>
    <w:lvl w:ilvl="0">
      <w:lvlJc w:val="left"/>
      <w:lvlText w:val="(%1)"/>
      <w:numFmt w:val="decimal"/>
      <w:start w:val="1"/>
    </w:lvl>
  </w:abstractNum>
  <w:abstractNum w:abstractNumId="155">
    <w:nsid w:val="567BD50A"/>
    <w:multiLevelType w:val="hybridMultilevel"/>
    <w:lvl w:ilvl="0">
      <w:lvlJc w:val="left"/>
      <w:lvlText w:val="(%1)"/>
      <w:numFmt w:val="decimal"/>
      <w:start w:val="1"/>
    </w:lvl>
  </w:abstractNum>
  <w:abstractNum w:abstractNumId="156">
    <w:nsid w:val="73BBD7F8"/>
    <w:multiLevelType w:val="hybridMultilevel"/>
    <w:lvl w:ilvl="0">
      <w:lvlJc w:val="left"/>
      <w:lvlText w:val="(%1)"/>
      <w:numFmt w:val="decimal"/>
      <w:start w:val="1"/>
    </w:lvl>
  </w:abstractNum>
  <w:abstractNum w:abstractNumId="157">
    <w:nsid w:val="1876589D"/>
    <w:multiLevelType w:val="hybridMultilevel"/>
    <w:lvl w:ilvl="0">
      <w:lvlJc w:val="left"/>
      <w:lvlText w:val="(%1)"/>
      <w:numFmt w:val="decimal"/>
      <w:start w:val="1"/>
    </w:lvl>
  </w:abstractNum>
  <w:abstractNum w:abstractNumId="158">
    <w:nsid w:val="327FAC77"/>
    <w:multiLevelType w:val="hybridMultilevel"/>
    <w:lvl w:ilvl="0">
      <w:lvlJc w:val="left"/>
      <w:lvlText w:val="(%1)"/>
      <w:numFmt w:val="decimal"/>
      <w:start w:val="1"/>
    </w:lvl>
  </w:abstractNum>
  <w:abstractNum w:abstractNumId="159">
    <w:nsid w:val="5A606509"/>
    <w:multiLevelType w:val="hybridMultilevel"/>
    <w:lvl w:ilvl="0">
      <w:lvlJc w:val="left"/>
      <w:lvlText w:val="(%1)"/>
      <w:numFmt w:val="decimal"/>
      <w:start w:val="1"/>
    </w:lvl>
  </w:abstractNum>
  <w:abstractNum w:abstractNumId="160">
    <w:nsid w:val="6F38E6D1"/>
    <w:multiLevelType w:val="hybridMultilevel"/>
    <w:lvl w:ilvl="0">
      <w:lvlJc w:val="left"/>
      <w:lvlText w:val="(%1)"/>
      <w:numFmt w:val="decimal"/>
      <w:start w:val="1"/>
    </w:lvl>
  </w:abstractNum>
  <w:abstractNum w:abstractNumId="161">
    <w:nsid w:val="46111BA5"/>
    <w:multiLevelType w:val="hybridMultilevel"/>
    <w:lvl w:ilvl="0">
      <w:lvlJc w:val="left"/>
      <w:lvlText w:val="(%1)"/>
      <w:numFmt w:val="decimal"/>
      <w:start w:val="6"/>
    </w:lvl>
  </w:abstractNum>
  <w:abstractNum w:abstractNumId="162">
    <w:nsid w:val="5E963896"/>
    <w:multiLevelType w:val="hybridMultilevel"/>
    <w:lvl w:ilvl="0">
      <w:lvlJc w:val="left"/>
      <w:lvlText w:val="(%1)"/>
      <w:numFmt w:val="decimal"/>
      <w:start w:val="1"/>
    </w:lvl>
  </w:abstractNum>
  <w:abstractNum w:abstractNumId="163">
    <w:nsid w:val="775BA7C1"/>
    <w:multiLevelType w:val="hybridMultilevel"/>
    <w:lvl w:ilvl="0">
      <w:lvlJc w:val="left"/>
      <w:lvlText w:val="(%1)"/>
      <w:numFmt w:val="decimal"/>
      <w:start w:val="1"/>
    </w:lvl>
  </w:abstractNum>
  <w:abstractNum w:abstractNumId="164">
    <w:nsid w:val="1DD6D6F4"/>
    <w:multiLevelType w:val="hybridMultilevel"/>
    <w:lvl w:ilvl="0">
      <w:lvlJc w:val="left"/>
      <w:lvlText w:val="(%1)"/>
      <w:numFmt w:val="decimal"/>
      <w:start w:val="1"/>
    </w:lvl>
  </w:abstractNum>
  <w:abstractNum w:abstractNumId="165">
    <w:nsid w:val="769A091F"/>
    <w:multiLevelType w:val="hybridMultilevel"/>
    <w:lvl w:ilvl="0">
      <w:lvlJc w:val="left"/>
      <w:lvlText w:val="%1."/>
      <w:numFmt w:val="lowerLetter"/>
      <w:start w:val="1"/>
    </w:lvl>
  </w:abstractNum>
  <w:abstractNum w:abstractNumId="166">
    <w:nsid w:val="4695AE95"/>
    <w:multiLevelType w:val="hybridMultilevel"/>
    <w:lvl w:ilvl="0">
      <w:lvlJc w:val="left"/>
      <w:lvlText w:val="."/>
      <w:numFmt w:val="bullet"/>
      <w:start w:val="1"/>
    </w:lvl>
  </w:abstractNum>
  <w:abstractNum w:abstractNumId="167">
    <w:nsid w:val="777A4EAA"/>
    <w:multiLevelType w:val="hybridMultilevel"/>
    <w:lvl w:ilvl="0">
      <w:lvlJc w:val="left"/>
      <w:lvlText w:val="%1."/>
      <w:numFmt w:val="lowerLetter"/>
      <w:start w:val="2"/>
    </w:lvl>
  </w:abstractNum>
  <w:abstractNum w:abstractNumId="168">
    <w:nsid w:val="3F48B982"/>
    <w:multiLevelType w:val="hybridMultilevel"/>
    <w:lvl w:ilvl="0">
      <w:lvlJc w:val="left"/>
      <w:lvlText w:val="."/>
      <w:numFmt w:val="bullet"/>
      <w:start w:val="1"/>
    </w:lvl>
  </w:abstractNum>
  <w:abstractNum w:abstractNumId="169">
    <w:nsid w:val="46BA8FCA"/>
    <w:multiLevelType w:val="hybridMultilevel"/>
    <w:lvl w:ilvl="0">
      <w:lvlJc w:val="left"/>
      <w:lvlText w:val="%1."/>
      <w:numFmt w:val="lowerLetter"/>
      <w:start w:val="3"/>
    </w:lvl>
  </w:abstractNum>
  <w:abstractNum w:abstractNumId="170">
    <w:nsid w:val="7835626C"/>
    <w:multiLevelType w:val="hybridMultilevel"/>
    <w:lvl w:ilvl="0">
      <w:lvlJc w:val="left"/>
      <w:lvlText w:val="."/>
      <w:numFmt w:val="bullet"/>
      <w:start w:val="1"/>
    </w:lvl>
  </w:abstractNum>
  <w:abstractNum w:abstractNumId="171">
    <w:nsid w:val="665ACA49"/>
    <w:multiLevelType w:val="hybridMultilevel"/>
    <w:lvl w:ilvl="0">
      <w:lvlJc w:val="left"/>
      <w:lvlText w:val="%1."/>
      <w:numFmt w:val="lowerLetter"/>
      <w:start w:val="4"/>
    </w:lvl>
  </w:abstractNum>
  <w:abstractNum w:abstractNumId="172">
    <w:nsid w:val="6835B2AE"/>
    <w:multiLevelType w:val="hybridMultilevel"/>
    <w:lvl w:ilvl="0">
      <w:lvlJc w:val="left"/>
      <w:lvlText w:val="."/>
      <w:numFmt w:val="bullet"/>
      <w:start w:val="1"/>
    </w:lvl>
  </w:abstractNum>
  <w:abstractNum w:abstractNumId="173">
    <w:nsid w:val="4C187C90"/>
    <w:multiLevelType w:val="hybridMultilevel"/>
    <w:lvl w:ilvl="0">
      <w:lvlJc w:val="left"/>
      <w:lvlText w:val="%1."/>
      <w:numFmt w:val="decimal"/>
      <w:start w:val="1"/>
    </w:lvl>
    <w:lvl w:ilvl="1">
      <w:lvlJc w:val="left"/>
      <w:lvlText w:val="%2."/>
      <w:numFmt w:val="lowerRoman"/>
      <w:start w:val="1"/>
    </w:lvl>
  </w:abstractNum>
  <w:abstractNum w:abstractNumId="174">
    <w:nsid w:val="541F28CD"/>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75">
    <w:nsid w:val="7F65FD16"/>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6"/>
    </w:lvl>
  </w:abstractNum>
  <w:abstractNum w:abstractNumId="176">
    <w:nsid w:val="77C9FD68"/>
    <w:multiLevelType w:val="hybridMultilevel"/>
    <w:lvl w:ilvl="0">
      <w:lvlJc w:val="left"/>
      <w:lvlText w:val="%1."/>
      <w:numFmt w:val="decimal"/>
      <w:start w:val="7"/>
    </w:lvl>
    <w:lvl w:ilvl="1">
      <w:lvlJc w:val="left"/>
      <w:lvlText w:val="%2"/>
      <w:numFmt w:val="lowerRoman"/>
      <w:start w:val="1"/>
    </w:lvl>
    <w:lvl w:ilvl="2">
      <w:lvlJc w:val="left"/>
      <w:lvlText w:val="%3."/>
      <w:numFmt w:val="lowerRoman"/>
      <w:start w:val="7"/>
    </w:lvl>
  </w:abstractNum>
  <w:abstractNum w:abstractNumId="177">
    <w:nsid w:val="298A92BA"/>
    <w:multiLevelType w:val="hybridMultilevel"/>
    <w:lvl w:ilvl="0">
      <w:lvlJc w:val="left"/>
      <w:lvlText w:val="%1"/>
      <w:numFmt w:val="decimal"/>
      <w:start w:val="1"/>
    </w:lvl>
    <w:lvl w:ilvl="1">
      <w:lvlJc w:val="left"/>
      <w:lvlText w:val="%2."/>
      <w:numFmt w:val="lowerRoman"/>
      <w:start w:val="9"/>
    </w:lvl>
  </w:abstractNum>
  <w:abstractNum w:abstractNumId="178">
    <w:nsid w:val="6FE95EAC"/>
    <w:multiLevelType w:val="hybridMultilevel"/>
    <w:lvl w:ilvl="0">
      <w:lvlJc w:val="left"/>
      <w:lvlText w:val="%1."/>
      <w:numFmt w:val="decimal"/>
      <w:start w:val="9"/>
    </w:lvl>
    <w:lvl w:ilvl="1">
      <w:lvlJc w:val="left"/>
      <w:lvlText w:val="%2"/>
      <w:numFmt w:val="lowerRoman"/>
      <w:start w:val="1"/>
    </w:lvl>
  </w:abstractNum>
  <w:abstractNum w:abstractNumId="179">
    <w:nsid w:val="4B697C7A"/>
    <w:multiLevelType w:val="hybridMultilevel"/>
    <w:lvl w:ilvl="0">
      <w:lvlJc w:val="left"/>
      <w:lvlText w:val="%1."/>
      <w:numFmt w:val="decimal"/>
      <w:start w:val="14"/>
    </w:lvl>
    <w:lvl w:ilvl="1">
      <w:lvlJc w:val="left"/>
      <w:lvlText w:val="%2."/>
      <w:numFmt w:val="lowerRoman"/>
      <w:start w:val="11"/>
    </w:lvl>
  </w:abstractNum>
  <w:abstractNum w:abstractNumId="180">
    <w:nsid w:val="51A27AA6"/>
    <w:multiLevelType w:val="hybridMultilevel"/>
    <w:lvl w:ilvl="0">
      <w:lvlJc w:val="left"/>
      <w:lvlText w:val="%1."/>
      <w:numFmt w:val="lowerRoman"/>
      <w:start w:val="13"/>
    </w:lvl>
  </w:abstractNum>
  <w:abstractNum w:abstractNumId="181">
    <w:nsid w:val="613183F2"/>
    <w:multiLevelType w:val="hybridMultilevel"/>
    <w:lvl w:ilvl="0">
      <w:lvlJc w:val="left"/>
      <w:lvlText w:val="%1."/>
      <w:numFmt w:val="lowerRoman"/>
      <w:start w:val="14"/>
    </w:lvl>
  </w:abstractNum>
  <w:abstractNum w:abstractNumId="182">
    <w:nsid w:val="634102B4"/>
    <w:multiLevelType w:val="hybridMultilevel"/>
    <w:lvl w:ilvl="0">
      <w:lvlJc w:val="left"/>
      <w:lvlText w:val="%1"/>
      <w:numFmt w:val="decimal"/>
      <w:start w:val="1"/>
    </w:lvl>
    <w:lvl w:ilvl="1">
      <w:lvlJc w:val="left"/>
      <w:lvlText w:val="%2"/>
      <w:numFmt w:val="lowerRoman"/>
      <w:start w:val="1"/>
    </w:lvl>
    <w:lvl w:ilvl="2">
      <w:lvlJc w:val="left"/>
      <w:lvlText w:val="(%3)"/>
      <w:numFmt w:val="decimal"/>
      <w:start w:val="90"/>
    </w:lvl>
    <w:lvl w:ilvl="3">
      <w:lvlJc w:val="left"/>
      <w:lvlText w:val="%4"/>
      <w:numFmt w:val="lowerLetter"/>
      <w:start w:val="1"/>
    </w:lvl>
  </w:abstractNum>
  <w:abstractNum w:abstractNumId="183">
    <w:nsid w:val="65BF9DA8"/>
    <w:multiLevelType w:val="hybridMultilevel"/>
    <w:lvl w:ilvl="0">
      <w:lvlJc w:val="left"/>
      <w:lvlText w:val="%1."/>
      <w:numFmt w:val="decimal"/>
      <w:start w:val="22"/>
    </w:lvl>
    <w:lvl w:ilvl="1">
      <w:lvlJc w:val="left"/>
      <w:lvlText w:val="%2."/>
      <w:numFmt w:val="lowerRoman"/>
      <w:start w:val="16"/>
    </w:lvl>
    <w:lvl w:ilvl="2">
      <w:lvlJc w:val="left"/>
      <w:lvlText w:val="%3"/>
      <w:numFmt w:val="decimal"/>
      <w:start w:val="1"/>
    </w:lvl>
    <w:lvl w:ilvl="3">
      <w:lvlJc w:val="left"/>
      <w:lvlText w:val="%4"/>
      <w:numFmt w:val="lowerLetter"/>
      <w:start w:val="1"/>
    </w:lvl>
  </w:abstractNum>
  <w:abstractNum w:abstractNumId="184">
    <w:nsid w:val="21A2ECC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85">
    <w:nsid w:val="4D5C4899"/>
    <w:multiLevelType w:val="hybridMultilevel"/>
    <w:lvl w:ilvl="0">
      <w:lvlJc w:val="left"/>
      <w:lvlText w:val="%1"/>
      <w:numFmt w:val="decimal"/>
      <w:start w:val="1"/>
    </w:lvl>
    <w:lvl w:ilvl="1">
      <w:lvlJc w:val="left"/>
      <w:lvlText w:val="%2."/>
      <w:numFmt w:val="lowerRoman"/>
      <w:start w:val="17"/>
    </w:lvl>
    <w:lvl w:ilvl="2">
      <w:lvlJc w:val="left"/>
      <w:lvlText w:val="%3."/>
      <w:numFmt w:val="lowerLetter"/>
      <w:start w:val="3"/>
    </w:lvl>
  </w:abstractNum>
  <w:abstractNum w:abstractNumId="186">
    <w:nsid w:val="3C3B72B2"/>
    <w:multiLevelType w:val="hybridMultilevel"/>
    <w:lvl w:ilvl="0">
      <w:lvlJc w:val="left"/>
      <w:lvlText w:val="%1."/>
      <w:numFmt w:val="decimal"/>
      <w:start w:val="28"/>
    </w:lvl>
    <w:lvl w:ilvl="1">
      <w:lvlJc w:val="left"/>
      <w:lvlText w:val="%2"/>
      <w:numFmt w:val="lowerRoman"/>
      <w:start w:val="1"/>
    </w:lvl>
    <w:lvl w:ilvl="2">
      <w:lvlJc w:val="left"/>
      <w:lvlText w:val="%3"/>
      <w:numFmt w:val="lowerLetter"/>
      <w:start w:val="1"/>
    </w:lvl>
  </w:abstractNum>
  <w:abstractNum w:abstractNumId="187">
    <w:nsid w:val="155EC4C2"/>
    <w:multiLevelType w:val="hybridMultilevel"/>
    <w:lvl w:ilvl="0">
      <w:lvlJc w:val="left"/>
      <w:lvlText w:val="%1."/>
      <w:numFmt w:val="lowerLetter"/>
      <w:start w:val="1"/>
    </w:lvl>
  </w:abstractNum>
  <w:abstractNum w:abstractNumId="188">
    <w:nsid w:val="65D2A137"/>
    <w:multiLevelType w:val="hybridMultilevel"/>
    <w:lvl w:ilvl="0">
      <w:lvlJc w:val="left"/>
      <w:lvlText w:val="%1."/>
      <w:numFmt w:val="decimal"/>
      <w:start w:val="36"/>
    </w:lvl>
  </w:abstractNum>
  <w:abstractNum w:abstractNumId="189">
    <w:nsid w:val="6EBB1F2A"/>
    <w:multiLevelType w:val="hybridMultilevel"/>
    <w:lvl w:ilvl="0">
      <w:lvlJc w:val="left"/>
      <w:lvlText w:val="%1."/>
      <w:numFmt w:val="decimal"/>
      <w:start w:val="38"/>
    </w:lvl>
  </w:abstractNum>
  <w:abstractNum w:abstractNumId="190">
    <w:nsid w:val="6FBF29CB"/>
    <w:multiLevelType w:val="hybridMultilevel"/>
    <w:lvl w:ilvl="0">
      <w:lvlJc w:val="left"/>
      <w:lvlText w:val="%1."/>
      <w:numFmt w:val="lowerLetter"/>
      <w:start w:val="2"/>
    </w:lvl>
  </w:abstractNum>
  <w:abstractNum w:abstractNumId="191">
    <w:nsid w:val="550B8808"/>
    <w:multiLevelType w:val="hybridMultilevel"/>
    <w:lvl w:ilvl="0">
      <w:lvlJc w:val="left"/>
      <w:lvlText w:val="."/>
      <w:numFmt w:val="bullet"/>
      <w:start w:val="1"/>
    </w:lvl>
  </w:abstractNum>
  <w:abstractNum w:abstractNumId="192">
    <w:nsid w:val="34CC3ACF"/>
    <w:multiLevelType w:val="hybridMultilevel"/>
    <w:lvl w:ilvl="0">
      <w:lvlJc w:val="left"/>
      <w:lvlText w:val="%1."/>
      <w:numFmt w:val="decimal"/>
      <w:start w:val="41"/>
    </w:lvl>
  </w:abstractNum>
  <w:abstractNum w:abstractNumId="193">
    <w:nsid w:val="4E556261"/>
    <w:multiLevelType w:val="hybridMultilevel"/>
    <w:lvl w:ilvl="0">
      <w:lvlJc w:val="left"/>
      <w:lvlText w:val="%1."/>
      <w:numFmt w:val="decimal"/>
      <w:start w:val="44"/>
    </w:lvl>
  </w:abstractNum>
  <w:abstractNum w:abstractNumId="194">
    <w:nsid w:val="4C672FC9"/>
    <w:multiLevelType w:val="hybridMultilevel"/>
    <w:lvl w:ilvl="0">
      <w:lvlJc w:val="left"/>
      <w:lvlText w:val="%1."/>
      <w:numFmt w:val="lowerLetter"/>
      <w:start w:val="3"/>
    </w:lvl>
  </w:abstractNum>
  <w:abstractNum w:abstractNumId="195">
    <w:nsid w:val="52A311C3"/>
    <w:multiLevelType w:val="hybridMultilevel"/>
    <w:lvl w:ilvl="0">
      <w:lvlJc w:val="left"/>
      <w:lvlText w:val="."/>
      <w:numFmt w:val="bullet"/>
      <w:start w:val="1"/>
    </w:lvl>
  </w:abstractNum>
  <w:abstractNum w:abstractNumId="196">
    <w:nsid w:val="44EF6B80"/>
    <w:multiLevelType w:val="hybridMultilevel"/>
    <w:lvl w:ilvl="0">
      <w:lvlJc w:val="left"/>
      <w:lvlText w:val="%1."/>
      <w:numFmt w:val="decimal"/>
      <w:start w:val="46"/>
    </w:lvl>
  </w:abstractNum>
  <w:abstractNum w:abstractNumId="197">
    <w:nsid w:val="12FCDE5E"/>
    <w:multiLevelType w:val="hybridMultilevel"/>
    <w:lvl w:ilvl="0">
      <w:lvlJc w:val="left"/>
      <w:lvlText w:val="%1."/>
      <w:numFmt w:val="decimal"/>
      <w:start w:val="48"/>
    </w:lvl>
  </w:abstractNum>
  <w:abstractNum w:abstractNumId="198">
    <w:nsid w:val="4A1D606E"/>
    <w:multiLevelType w:val="hybridMultilevel"/>
    <w:lvl w:ilvl="0">
      <w:lvlJc w:val="left"/>
      <w:lvlText w:val="%1."/>
      <w:numFmt w:val="lowerLetter"/>
      <w:start w:val="4"/>
    </w:lvl>
  </w:abstractNum>
  <w:abstractNum w:abstractNumId="199">
    <w:nsid w:val="4382503"/>
    <w:multiLevelType w:val="hybridMultilevel"/>
    <w:lvl w:ilvl="0">
      <w:lvlJc w:val="left"/>
      <w:lvlText w:val="%1."/>
      <w:numFmt w:val="decimal"/>
      <w:start w:val="50"/>
    </w:lvl>
  </w:abstractNum>
  <w:abstractNum w:abstractNumId="200">
    <w:nsid w:val="59B76E28"/>
    <w:multiLevelType w:val="hybridMultilevel"/>
    <w:lvl w:ilvl="0">
      <w:lvlJc w:val="left"/>
      <w:lvlText w:val="%1."/>
      <w:numFmt w:val="lowerLetter"/>
      <w:start w:val="1"/>
    </w:lvl>
  </w:abstractNum>
  <w:abstractNum w:abstractNumId="201">
    <w:nsid w:val="4252C2DA"/>
    <w:multiLevelType w:val="hybridMultilevel"/>
    <w:lvl w:ilvl="0">
      <w:lvlJc w:val="left"/>
      <w:lvlText w:val="%1."/>
      <w:numFmt w:val="lowerLetter"/>
      <w:start w:val="2"/>
    </w:lvl>
  </w:abstractNum>
  <w:abstractNum w:abstractNumId="202">
    <w:nsid w:val="6A92EF4C"/>
    <w:multiLevelType w:val="hybridMultilevel"/>
    <w:lvl w:ilvl="0">
      <w:lvlJc w:val="left"/>
      <w:lvlText w:val="%1."/>
      <w:numFmt w:val="decimal"/>
      <w:start w:val="52"/>
    </w:lvl>
  </w:abstractNum>
  <w:abstractNum w:abstractNumId="203">
    <w:nsid w:val="41ED20D7"/>
    <w:multiLevelType w:val="hybridMultilevel"/>
    <w:lvl w:ilvl="0">
      <w:lvlJc w:val="left"/>
      <w:lvlText w:val="%1."/>
      <w:numFmt w:val="decimal"/>
      <w:start w:val="57"/>
    </w:lvl>
  </w:abstractNum>
  <w:abstractNum w:abstractNumId="204">
    <w:nsid w:val="E6B3F6A"/>
    <w:multiLevelType w:val="hybridMultilevel"/>
    <w:lvl w:ilvl="0">
      <w:lvlJc w:val="left"/>
      <w:lvlText w:val="%1."/>
      <w:numFmt w:val="decimal"/>
      <w:start w:val="58"/>
    </w:lvl>
  </w:abstractNum>
  <w:abstractNum w:abstractNumId="205">
    <w:nsid w:val="3EB21819"/>
    <w:multiLevelType w:val="hybridMultilevel"/>
    <w:lvl w:ilvl="0">
      <w:lvlJc w:val="left"/>
      <w:lvlText w:val="%1."/>
      <w:numFmt w:val="decimal"/>
      <w:start w:val="59"/>
    </w:lvl>
  </w:abstractNum>
  <w:abstractNum w:abstractNumId="206">
    <w:nsid w:val="41531DED"/>
    <w:multiLevelType w:val="hybridMultilevel"/>
    <w:lvl w:ilvl="0">
      <w:lvlJc w:val="left"/>
      <w:lvlText w:val="%1."/>
      <w:numFmt w:val="decimal"/>
      <w:start w:val="61"/>
    </w:lvl>
  </w:abstractNum>
  <w:abstractNum w:abstractNumId="207">
    <w:nsid w:val="6353CD2"/>
    <w:multiLevelType w:val="hybridMultilevel"/>
    <w:lvl w:ilvl="0">
      <w:lvlJc w:val="left"/>
      <w:lvlText w:val="(%1)"/>
      <w:numFmt w:val="lowerRoman"/>
      <w:start w:val="2"/>
    </w:lvl>
  </w:abstractNum>
  <w:abstractNum w:abstractNumId="208">
    <w:nsid w:val="683CAAD3"/>
    <w:multiLevelType w:val="hybridMultilevel"/>
    <w:lvl w:ilvl="0">
      <w:lvlJc w:val="left"/>
      <w:lvlText w:val="%1."/>
      <w:numFmt w:val="lowerLetter"/>
      <w:start w:val="1"/>
    </w:lvl>
  </w:abstractNum>
  <w:abstractNum w:abstractNumId="209">
    <w:nsid w:val="313C7C99"/>
    <w:multiLevelType w:val="hybridMultilevel"/>
    <w:lvl w:ilvl="0">
      <w:lvlJc w:val="left"/>
      <w:lvlText w:val="."/>
      <w:numFmt w:val="bullet"/>
      <w:start w:val="1"/>
    </w:lvl>
  </w:abstractNum>
  <w:abstractNum w:abstractNumId="210">
    <w:nsid w:val="519EB94C"/>
    <w:multiLevelType w:val="hybridMultilevel"/>
    <w:lvl w:ilvl="0">
      <w:lvlJc w:val="left"/>
      <w:lvlText w:val="%1."/>
      <w:numFmt w:val="lowerLetter"/>
      <w:start w:val="2"/>
    </w:lvl>
  </w:abstractNum>
  <w:abstractNum w:abstractNumId="211">
    <w:nsid w:val="39DF2579"/>
    <w:multiLevelType w:val="hybridMultilevel"/>
    <w:lvl w:ilvl="0">
      <w:lvlJc w:val="left"/>
      <w:lvlText w:val="."/>
      <w:numFmt w:val="bullet"/>
      <w:start w:val="1"/>
    </w:lvl>
  </w:abstractNum>
  <w:abstractNum w:abstractNumId="212">
    <w:nsid w:val="126E008B"/>
    <w:multiLevelType w:val="hybridMultilevel"/>
    <w:lvl w:ilvl="0">
      <w:lvlJc w:val="left"/>
      <w:lvlText w:val="%1."/>
      <w:numFmt w:val="lowerLetter"/>
      <w:start w:val="1"/>
    </w:lvl>
  </w:abstractNum>
  <w:abstractNum w:abstractNumId="213">
    <w:nsid w:val="34DFBC00"/>
    <w:multiLevelType w:val="hybridMultilevel"/>
    <w:lvl w:ilvl="0">
      <w:lvlJc w:val="left"/>
      <w:lvlText w:val="."/>
      <w:numFmt w:val="bullet"/>
      <w:start w:val="1"/>
    </w:lvl>
  </w:abstractNum>
  <w:abstractNum w:abstractNumId="214">
    <w:nsid w:val="1F9EC322"/>
    <w:multiLevelType w:val="hybridMultilevel"/>
    <w:lvl w:ilvl="0">
      <w:lvlJc w:val="left"/>
      <w:lvlText w:val="%1."/>
      <w:numFmt w:val="lowerLetter"/>
      <w:start w:val="2"/>
    </w:lvl>
  </w:abstractNum>
  <w:abstractNum w:abstractNumId="215">
    <w:nsid w:val="3410ED56"/>
    <w:multiLevelType w:val="hybridMultilevel"/>
    <w:lvl w:ilvl="0">
      <w:lvlJc w:val="left"/>
      <w:lvlText w:val="."/>
      <w:numFmt w:val="bullet"/>
      <w:start w:val="1"/>
    </w:lvl>
  </w:abstractNum>
  <w:abstractNum w:abstractNumId="216">
    <w:nsid w:val="23C049A"/>
    <w:multiLevelType w:val="hybridMultilevel"/>
    <w:lvl w:ilvl="0">
      <w:lvlJc w:val="left"/>
      <w:lvlText w:val="%1."/>
      <w:numFmt w:val="lowerLetter"/>
      <w:start w:val="1"/>
    </w:lvl>
  </w:abstractNum>
  <w:abstractNum w:abstractNumId="217">
    <w:nsid w:val="5BDA35D4"/>
    <w:multiLevelType w:val="hybridMultilevel"/>
    <w:lvl w:ilvl="0">
      <w:lvlJc w:val="left"/>
      <w:lvlText w:val="."/>
      <w:numFmt w:val="bullet"/>
      <w:start w:val="1"/>
    </w:lvl>
  </w:abstractNum>
  <w:abstractNum w:abstractNumId="218">
    <w:nsid w:val="496FB218"/>
    <w:multiLevelType w:val="hybridMultilevel"/>
    <w:lvl w:ilvl="0">
      <w:lvlJc w:val="left"/>
      <w:lvlText w:val="%1."/>
      <w:numFmt w:val="lowerLetter"/>
      <w:start w:val="2"/>
    </w:lvl>
  </w:abstractNum>
  <w:abstractNum w:abstractNumId="219">
    <w:nsid w:val="680EA5D1"/>
    <w:multiLevelType w:val="hybridMultilevel"/>
    <w:lvl w:ilvl="0">
      <w:lvlJc w:val="left"/>
      <w:lvlText w:val="%1."/>
      <w:numFmt w:val="decimal"/>
      <w:start w:val="64"/>
    </w:lvl>
  </w:abstractNum>
  <w:abstractNum w:abstractNumId="220">
    <w:nsid w:val="4A9554FE"/>
    <w:multiLevelType w:val="hybridMultilevel"/>
    <w:lvl w:ilvl="0">
      <w:lvlJc w:val="left"/>
      <w:lvlText w:val="%1."/>
      <w:numFmt w:val="decimal"/>
      <w:start w:val="65"/>
    </w:lvl>
  </w:abstractNum>
  <w:abstractNum w:abstractNumId="221">
    <w:nsid w:val="392EDBE4"/>
    <w:multiLevelType w:val="hybridMultilevel"/>
    <w:lvl w:ilvl="0">
      <w:lvlJc w:val="left"/>
      <w:lvlText w:val="%1."/>
      <w:numFmt w:val="lowerLetter"/>
      <w:start w:val="3"/>
    </w:lvl>
  </w:abstractNum>
  <w:abstractNum w:abstractNumId="222">
    <w:nsid w:val="3D1A2DD9"/>
    <w:multiLevelType w:val="hybridMultilevel"/>
    <w:lvl w:ilvl="0">
      <w:lvlJc w:val="left"/>
      <w:lvlText w:val="."/>
      <w:numFmt w:val="bullet"/>
      <w:start w:val="1"/>
    </w:lvl>
  </w:abstractNum>
  <w:abstractNum w:abstractNumId="223">
    <w:nsid w:val="7F618FCD"/>
    <w:multiLevelType w:val="hybridMultilevel"/>
    <w:lvl w:ilvl="0">
      <w:lvlJc w:val="left"/>
      <w:lvlText w:val="%1."/>
      <w:numFmt w:val="lowerLetter"/>
      <w:start w:val="4"/>
    </w:lvl>
  </w:abstractNum>
  <w:abstractNum w:abstractNumId="224">
    <w:nsid w:val="7843E45"/>
    <w:multiLevelType w:val="hybridMultilevel"/>
    <w:lvl w:ilvl="0">
      <w:lvlJc w:val="left"/>
      <w:lvlText w:val="."/>
      <w:numFmt w:val="bullet"/>
      <w:start w:val="1"/>
    </w:lvl>
  </w:abstractNum>
  <w:abstractNum w:abstractNumId="225">
    <w:nsid w:val="9815DA3"/>
    <w:multiLevelType w:val="hybridMultilevel"/>
    <w:lvl w:ilvl="0">
      <w:lvlJc w:val="left"/>
      <w:lvlText w:val="%1."/>
      <w:numFmt w:val="lowerLetter"/>
      <w:start w:val="5"/>
    </w:lvl>
  </w:abstractNum>
  <w:abstractNum w:abstractNumId="226">
    <w:nsid w:val="5204A191"/>
    <w:multiLevelType w:val="hybridMultilevel"/>
    <w:lvl w:ilvl="0">
      <w:lvlJc w:val="left"/>
      <w:lvlText w:val="."/>
      <w:numFmt w:val="bullet"/>
      <w:start w:val="1"/>
    </w:lvl>
  </w:abstractNum>
  <w:abstractNum w:abstractNumId="227">
    <w:nsid w:val="4C73A9C6"/>
    <w:multiLevelType w:val="hybridMultilevel"/>
    <w:lvl w:ilvl="0">
      <w:lvlJc w:val="left"/>
      <w:lvlText w:val="%1."/>
      <w:numFmt w:val="lowerLetter"/>
      <w:start w:val="6"/>
    </w:lvl>
  </w:abstractNum>
  <w:abstractNum w:abstractNumId="228">
    <w:nsid w:val="1C7E3C01"/>
    <w:multiLevelType w:val="hybridMultilevel"/>
    <w:lvl w:ilvl="0">
      <w:lvlJc w:val="left"/>
      <w:lvlText w:val="."/>
      <w:numFmt w:val="bullet"/>
      <w:start w:val="1"/>
    </w:lvl>
  </w:abstractNum>
  <w:abstractNum w:abstractNumId="229">
    <w:nsid w:val="1C2201FF"/>
    <w:multiLevelType w:val="hybridMultilevel"/>
    <w:lvl w:ilvl="0">
      <w:lvlJc w:val="left"/>
      <w:lvlText w:val="%1."/>
      <w:numFmt w:val="lowerLetter"/>
      <w:start w:val="7"/>
    </w:lvl>
  </w:abstractNum>
  <w:abstractNum w:abstractNumId="230">
    <w:nsid w:val="50ABCEC9"/>
    <w:multiLevelType w:val="hybridMultilevel"/>
    <w:lvl w:ilvl="0">
      <w:lvlJc w:val="left"/>
      <w:lvlText w:val="."/>
      <w:numFmt w:val="bullet"/>
      <w:start w:val="1"/>
    </w:lvl>
  </w:abstractNum>
  <w:abstractNum w:abstractNumId="231">
    <w:nsid w:val="7635AA2A"/>
    <w:multiLevelType w:val="hybridMultilevel"/>
    <w:lvl w:ilvl="0">
      <w:lvlJc w:val="left"/>
      <w:lvlText w:val="%1."/>
      <w:numFmt w:val="lowerLetter"/>
      <w:start w:val="8"/>
    </w:lvl>
  </w:abstractNum>
  <w:abstractNum w:abstractNumId="232">
    <w:nsid w:val="5E74C4D9"/>
    <w:multiLevelType w:val="hybridMultilevel"/>
    <w:lvl w:ilvl="0">
      <w:lvlJc w:val="left"/>
      <w:lvlText w:val="."/>
      <w:numFmt w:val="bullet"/>
      <w:start w:val="1"/>
    </w:lvl>
  </w:abstractNum>
  <w:abstractNum w:abstractNumId="233">
    <w:nsid w:val="3B3EBE15"/>
    <w:multiLevelType w:val="hybridMultilevel"/>
    <w:lvl w:ilvl="0">
      <w:lvlJc w:val="left"/>
      <w:lvlText w:val="%1."/>
      <w:numFmt w:val="lowerRoman"/>
      <w:start w:val="1"/>
    </w:lvl>
  </w:abstractNum>
  <w:abstractNum w:abstractNumId="234">
    <w:nsid w:val="3822CB01"/>
    <w:multiLevelType w:val="hybridMultilevel"/>
    <w:lvl w:ilvl="0">
      <w:lvlJc w:val="left"/>
      <w:lvlText w:val="."/>
      <w:numFmt w:val="bullet"/>
      <w:start w:val="1"/>
    </w:lvl>
  </w:abstractNum>
  <w:abstractNum w:abstractNumId="235">
    <w:nsid w:val="6CE00443"/>
    <w:multiLevelType w:val="hybridMultilevel"/>
    <w:lvl w:ilvl="0">
      <w:lvlJc w:val="left"/>
      <w:lvlText w:val="%1."/>
      <w:numFmt w:val="lowerLetter"/>
      <w:start w:val="10"/>
    </w:lvl>
  </w:abstractNum>
  <w:abstractNum w:abstractNumId="236">
    <w:nsid w:val="79F0D62F"/>
    <w:multiLevelType w:val="hybridMultilevel"/>
    <w:lvl w:ilvl="0">
      <w:lvlJc w:val="left"/>
      <w:lvlText w:val="."/>
      <w:numFmt w:val="bullet"/>
      <w:start w:val="1"/>
    </w:lvl>
  </w:abstractNum>
  <w:abstractNum w:abstractNumId="237">
    <w:nsid w:val="7975E8EE"/>
    <w:multiLevelType w:val="hybridMultilevel"/>
    <w:lvl w:ilvl="0">
      <w:lvlJc w:val="left"/>
      <w:lvlText w:val="%1."/>
      <w:numFmt w:val="lowerLetter"/>
      <w:start w:val="11"/>
    </w:lvl>
  </w:abstractNum>
  <w:abstractNum w:abstractNumId="238">
    <w:nsid w:val="73154115"/>
    <w:multiLevelType w:val="hybridMultilevel"/>
    <w:lvl w:ilvl="0">
      <w:lvlJc w:val="left"/>
      <w:lvlText w:val="."/>
      <w:numFmt w:val="bullet"/>
      <w:start w:val="1"/>
    </w:lvl>
  </w:abstractNum>
  <w:abstractNum w:abstractNumId="239">
    <w:nsid w:val="622D8102"/>
    <w:multiLevelType w:val="hybridMultilevel"/>
    <w:lvl w:ilvl="0">
      <w:lvlJc w:val="left"/>
      <w:lvlText w:val="%1."/>
      <w:numFmt w:val="lowerLetter"/>
      <w:start w:val="1"/>
    </w:lvl>
  </w:abstractNum>
  <w:abstractNum w:abstractNumId="240">
    <w:nsid w:val="2AB26587"/>
    <w:multiLevelType w:val="hybridMultilevel"/>
    <w:lvl w:ilvl="0">
      <w:lvlJc w:val="left"/>
      <w:lvlText w:val="%1."/>
      <w:numFmt w:val="lowerLetter"/>
      <w:start w:val="2"/>
    </w:lvl>
  </w:abstractNum>
  <w:abstractNum w:abstractNumId="241">
    <w:nsid w:val="44B3FA61"/>
    <w:multiLevelType w:val="hybridMultilevel"/>
    <w:lvl w:ilvl="0">
      <w:lvlJc w:val="left"/>
      <w:lvlText w:val="%1."/>
      <w:numFmt w:val="lowerLetter"/>
      <w:start w:val="3"/>
    </w:lvl>
  </w:abstractNum>
  <w:abstractNum w:abstractNumId="242">
    <w:nsid w:val="1C0CA67C"/>
    <w:multiLevelType w:val="hybridMultilevel"/>
    <w:lvl w:ilvl="0">
      <w:lvlJc w:val="left"/>
      <w:lvlText w:val="%1."/>
      <w:numFmt w:val="lowerLetter"/>
      <w:start w:val="4"/>
    </w:lvl>
  </w:abstractNum>
  <w:abstractNum w:abstractNumId="243">
    <w:nsid w:val="3D206613"/>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244">
    <w:nsid w:val="7993B662"/>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245">
    <w:nsid w:val="3BAB699E"/>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6"/>
    </w:lvl>
  </w:abstractNum>
  <w:abstractNum w:abstractNumId="246">
    <w:nsid w:val="71315369"/>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7"/>
    </w:lvl>
  </w:abstractNum>
  <w:abstractNum w:abstractNumId="247">
    <w:nsid w:val="7BCFBAFC"/>
    <w:multiLevelType w:val="hybridMultilevel"/>
    <w:lvl w:ilvl="0">
      <w:lvlJc w:val="left"/>
      <w:lvlText w:val="%1"/>
      <w:numFmt w:val="decimal"/>
      <w:start w:val="1"/>
    </w:lvl>
    <w:lvl w:ilvl="1">
      <w:lvlJc w:val="left"/>
      <w:lvlText w:val="%2."/>
      <w:numFmt w:val="lowerRoman"/>
      <w:start w:val="9"/>
    </w:lvl>
  </w:abstractNum>
  <w:abstractNum w:abstractNumId="248">
    <w:nsid w:val="17859F72"/>
    <w:multiLevelType w:val="hybridMultilevel"/>
    <w:lvl w:ilvl="0">
      <w:lvlJc w:val="left"/>
      <w:lvlText w:val="%1."/>
      <w:numFmt w:val="decimal"/>
      <w:start w:val="8"/>
    </w:lvl>
    <w:lvl w:ilvl="1">
      <w:lvlJc w:val="left"/>
      <w:lvlText w:val="%2"/>
      <w:numFmt w:val="lowerRoman"/>
      <w:start w:val="1"/>
    </w:lvl>
  </w:abstractNum>
  <w:abstractNum w:abstractNumId="249">
    <w:nsid w:val="3AA10581"/>
    <w:multiLevelType w:val="hybridMultilevel"/>
    <w:lvl w:ilvl="0">
      <w:lvlJc w:val="left"/>
      <w:lvlText w:val="%1."/>
      <w:numFmt w:val="decimal"/>
      <w:start w:val="13"/>
    </w:lvl>
    <w:lvl w:ilvl="1">
      <w:lvlJc w:val="left"/>
      <w:lvlText w:val="%2."/>
      <w:numFmt w:val="lowerRoman"/>
      <w:start w:val="13"/>
    </w:lvl>
    <w:lvl w:ilvl="2">
      <w:lvlJc w:val="left"/>
      <w:lvlText w:val="%3."/>
      <w:numFmt w:val="lowerRoman"/>
      <w:start w:val="11"/>
    </w:lvl>
  </w:abstractNum>
  <w:abstractNum w:abstractNumId="250">
    <w:nsid w:val="63DE60CD"/>
    <w:multiLevelType w:val="hybridMultilevel"/>
    <w:lvl w:ilvl="0">
      <w:lvlJc w:val="left"/>
      <w:lvlText w:val="%1."/>
      <w:numFmt w:val="lowerRoman"/>
      <w:start w:val="15"/>
    </w:lvl>
  </w:abstractNum>
  <w:abstractNum w:abstractNumId="251">
    <w:nsid w:val="621AF471"/>
    <w:multiLevelType w:val="hybridMultilevel"/>
    <w:lvl w:ilvl="0">
      <w:lvlJc w:val="left"/>
      <w:lvlText w:val="%1"/>
      <w:numFmt w:val="decimal"/>
      <w:start w:val="1"/>
    </w:lvl>
    <w:lvl w:ilvl="1">
      <w:lvlJc w:val="left"/>
      <w:lvlText w:val="%2"/>
      <w:numFmt w:val="lowerRoman"/>
      <w:start w:val="1"/>
    </w:lvl>
    <w:lvl w:ilvl="2">
      <w:lvlJc w:val="left"/>
      <w:lvlText w:val="(%3)"/>
      <w:numFmt w:val="decimal"/>
      <w:start w:val="90"/>
    </w:lvl>
    <w:lvl w:ilvl="3">
      <w:lvlJc w:val="left"/>
      <w:lvlText w:val="%4"/>
      <w:numFmt w:val="lowerLetter"/>
      <w:start w:val="1"/>
    </w:lvl>
  </w:abstractNum>
  <w:abstractNum w:abstractNumId="252">
    <w:nsid w:val="73CFE165"/>
    <w:multiLevelType w:val="hybridMultilevel"/>
    <w:lvl w:ilvl="0">
      <w:lvlJc w:val="left"/>
      <w:lvlText w:val="%1."/>
      <w:numFmt w:val="decimal"/>
      <w:start w:val="20"/>
    </w:lvl>
    <w:lvl w:ilvl="1">
      <w:lvlJc w:val="left"/>
      <w:lvlText w:val="%2."/>
      <w:numFmt w:val="lowerRoman"/>
      <w:start w:val="16"/>
    </w:lvl>
    <w:lvl w:ilvl="2">
      <w:lvlJc w:val="left"/>
      <w:lvlText w:val="%3"/>
      <w:numFmt w:val="decimal"/>
      <w:start w:val="1"/>
    </w:lvl>
    <w:lvl w:ilvl="3">
      <w:lvlJc w:val="left"/>
      <w:lvlText w:val="%4."/>
      <w:numFmt w:val="lowerLetter"/>
      <w:start w:val="1"/>
    </w:lvl>
  </w:abstractNum>
  <w:abstractNum w:abstractNumId="253">
    <w:nsid w:val="20F88EA6"/>
    <w:multiLevelType w:val="hybridMultilevel"/>
    <w:lvl w:ilvl="0">
      <w:lvlJc w:val="left"/>
      <w:lvlText w:val="%1"/>
      <w:numFmt w:val="decimal"/>
      <w:start w:val="1"/>
    </w:lvl>
    <w:lvl w:ilvl="1">
      <w:lvlJc w:val="left"/>
      <w:lvlText w:val="%2."/>
      <w:numFmt w:val="lowerLetter"/>
      <w:start w:val="3"/>
    </w:lvl>
  </w:abstractNum>
  <w:abstractNum w:abstractNumId="254">
    <w:nsid w:val="617C843E"/>
    <w:multiLevelType w:val="hybridMultilevel"/>
    <w:lvl w:ilvl="0">
      <w:lvlJc w:val="left"/>
      <w:lvlText w:val="%1."/>
      <w:numFmt w:val="decimal"/>
      <w:start w:val="26"/>
    </w:lvl>
    <w:lvl w:ilvl="1">
      <w:lvlJc w:val="left"/>
      <w:lvlText w:val="%2"/>
      <w:numFmt w:val="lowerLetter"/>
      <w:start w:val="1"/>
    </w:lvl>
  </w:abstractNum>
  <w:abstractNum w:abstractNumId="255">
    <w:nsid w:val="7B541FAB"/>
    <w:multiLevelType w:val="hybridMultilevel"/>
    <w:lvl w:ilvl="0">
      <w:lvlJc w:val="left"/>
      <w:lvlText w:val="%1."/>
      <w:numFmt w:val="lowerLetter"/>
      <w:start w:val="1"/>
    </w:lvl>
  </w:abstractNum>
  <w:abstractNum w:abstractNumId="256">
    <w:nsid w:val="2A79EC49"/>
    <w:multiLevelType w:val="hybridMultilevel"/>
    <w:lvl w:ilvl="0">
      <w:lvlJc w:val="left"/>
      <w:lvlText w:val="%1."/>
      <w:numFmt w:val="decimal"/>
      <w:start w:val="38"/>
    </w:lvl>
  </w:abstractNum>
  <w:abstractNum w:abstractNumId="257">
    <w:nsid w:val="338125CF"/>
    <w:multiLevelType w:val="hybridMultilevel"/>
    <w:lvl w:ilvl="0">
      <w:lvlJc w:val="left"/>
      <w:lvlText w:val="%1."/>
      <w:numFmt w:val="lowerLetter"/>
      <w:start w:val="2"/>
    </w:lvl>
  </w:abstractNum>
  <w:abstractNum w:abstractNumId="258">
    <w:nsid w:val="47C7C971"/>
    <w:multiLevelType w:val="hybridMultilevel"/>
    <w:lvl w:ilvl="0">
      <w:lvlJc w:val="left"/>
      <w:lvlText w:val="%1."/>
      <w:numFmt w:val="decimal"/>
      <w:start w:val="43"/>
    </w:lvl>
  </w:abstractNum>
  <w:abstractNum w:abstractNumId="259">
    <w:nsid w:val="46F8284B"/>
    <w:multiLevelType w:val="hybridMultilevel"/>
    <w:lvl w:ilvl="0">
      <w:lvlJc w:val="left"/>
      <w:lvlText w:val="%1."/>
      <w:numFmt w:val="decimal"/>
      <w:start w:val="45"/>
    </w:lvl>
  </w:abstractNum>
  <w:abstractNum w:abstractNumId="260">
    <w:nsid w:val="4FA327CE"/>
    <w:multiLevelType w:val="hybridMultilevel"/>
    <w:lvl w:ilvl="0">
      <w:lvlJc w:val="left"/>
      <w:lvlText w:val="%1."/>
      <w:numFmt w:val="lowerLetter"/>
      <w:start w:val="3"/>
    </w:lvl>
  </w:abstractNum>
  <w:abstractNum w:abstractNumId="261">
    <w:nsid w:val="1873983A"/>
    <w:multiLevelType w:val="hybridMultilevel"/>
    <w:lvl w:ilvl="0">
      <w:lvlJc w:val="left"/>
      <w:lvlText w:val="%1."/>
      <w:numFmt w:val="decimal"/>
      <w:start w:val="47"/>
    </w:lvl>
  </w:abstractNum>
  <w:abstractNum w:abstractNumId="262">
    <w:nsid w:val="3D2DD275"/>
    <w:multiLevelType w:val="hybridMultilevel"/>
    <w:lvl w:ilvl="0">
      <w:lvlJc w:val="left"/>
      <w:lvlText w:val="%1."/>
      <w:numFmt w:val="decimal"/>
      <w:start w:val="48"/>
    </w:lvl>
  </w:abstractNum>
  <w:abstractNum w:abstractNumId="263">
    <w:nsid w:val="2E17ECA7"/>
    <w:multiLevelType w:val="hybridMultilevel"/>
    <w:lvl w:ilvl="0">
      <w:lvlJc w:val="left"/>
      <w:lvlText w:val="%1."/>
      <w:numFmt w:val="lowerLetter"/>
      <w:start w:val="4"/>
    </w:lvl>
  </w:abstractNum>
  <w:abstractNum w:abstractNumId="264">
    <w:nsid w:val="53B2564F"/>
    <w:multiLevelType w:val="hybridMultilevel"/>
    <w:lvl w:ilvl="0">
      <w:lvlJc w:val="left"/>
      <w:lvlText w:val="%1."/>
      <w:numFmt w:val="decimal"/>
      <w:start w:val="50"/>
    </w:lvl>
  </w:abstractNum>
  <w:abstractNum w:abstractNumId="265">
    <w:nsid w:val="75509D76"/>
    <w:multiLevelType w:val="hybridMultilevel"/>
    <w:lvl w:ilvl="0">
      <w:lvlJc w:val="left"/>
      <w:lvlText w:val="%1."/>
      <w:numFmt w:val="decimal"/>
      <w:start w:val="51"/>
    </w:lvl>
  </w:abstractNum>
  <w:abstractNum w:abstractNumId="266">
    <w:nsid w:val="1AF7F0EA"/>
    <w:multiLevelType w:val="hybridMultilevel"/>
    <w:lvl w:ilvl="0">
      <w:lvlJc w:val="left"/>
      <w:lvlText w:val="%1."/>
      <w:numFmt w:val="lowerLetter"/>
      <w:start w:val="1"/>
    </w:lvl>
  </w:abstractNum>
  <w:abstractNum w:abstractNumId="267">
    <w:nsid w:val="4DA32C7E"/>
    <w:multiLevelType w:val="hybridMultilevel"/>
    <w:lvl w:ilvl="0">
      <w:lvlJc w:val="left"/>
      <w:lvlText w:val="%1."/>
      <w:numFmt w:val="lowerLetter"/>
      <w:start w:val="2"/>
    </w:lvl>
  </w:abstractNum>
  <w:abstractNum w:abstractNumId="268">
    <w:nsid w:val="6EC68664"/>
    <w:multiLevelType w:val="hybridMultilevel"/>
    <w:lvl w:ilvl="0">
      <w:lvlJc w:val="left"/>
      <w:lvlText w:val="%1."/>
      <w:numFmt w:val="decimal"/>
      <w:start w:val="52"/>
    </w:lvl>
  </w:abstractNum>
  <w:abstractNum w:abstractNumId="269">
    <w:nsid w:val="E0D31FF"/>
    <w:multiLevelType w:val="hybridMultilevel"/>
    <w:lvl w:ilvl="0">
      <w:lvlJc w:val="left"/>
      <w:lvlText w:val="%1."/>
      <w:numFmt w:val="decimal"/>
      <w:start w:val="56"/>
    </w:lvl>
  </w:abstractNum>
  <w:abstractNum w:abstractNumId="270">
    <w:nsid w:val="2FD0AD81"/>
    <w:multiLevelType w:val="hybridMultilevel"/>
    <w:lvl w:ilvl="0">
      <w:lvlJc w:val="left"/>
      <w:lvlText w:val="%1."/>
      <w:numFmt w:val="decimal"/>
      <w:start w:val="57"/>
    </w:lvl>
  </w:abstractNum>
  <w:abstractNum w:abstractNumId="271">
    <w:nsid w:val="1978EBEB"/>
    <w:multiLevelType w:val="hybridMultilevel"/>
    <w:lvl w:ilvl="0">
      <w:lvlJc w:val="left"/>
      <w:lvlText w:val="%1."/>
      <w:numFmt w:val="decimal"/>
      <w:start w:val="59"/>
    </w:lvl>
  </w:abstractNum>
  <w:abstractNum w:abstractNumId="272">
    <w:nsid w:val="52C12C61"/>
    <w:multiLevelType w:val="hybridMultilevel"/>
    <w:lvl w:ilvl="0">
      <w:lvlJc w:val="left"/>
      <w:lvlText w:val="%1."/>
      <w:numFmt w:val="decimal"/>
      <w:start w:val="61"/>
    </w:lvl>
  </w:abstractNum>
  <w:abstractNum w:abstractNumId="273">
    <w:nsid w:val="4BDD53FD"/>
    <w:multiLevelType w:val="hybridMultilevel"/>
    <w:lvl w:ilvl="0">
      <w:lvlJc w:val="left"/>
      <w:lvlText w:val="(%1)"/>
      <w:numFmt w:val="lowerRoman"/>
      <w:start w:val="2"/>
    </w:lvl>
  </w:abstractNum>
  <w:abstractNum w:abstractNumId="274">
    <w:nsid w:val="569951FE"/>
    <w:multiLevelType w:val="hybridMultilevel"/>
    <w:lvl w:ilvl="0">
      <w:lvlJc w:val="left"/>
      <w:lvlText w:val="%1."/>
      <w:numFmt w:val="lowerLetter"/>
      <w:start w:val="1"/>
    </w:lvl>
  </w:abstractNum>
  <w:abstractNum w:abstractNumId="275">
    <w:nsid w:val="4C54E2C3"/>
    <w:multiLevelType w:val="hybridMultilevel"/>
    <w:lvl w:ilvl="0">
      <w:lvlJc w:val="left"/>
      <w:lvlText w:val="%1."/>
      <w:numFmt w:val="lowerLetter"/>
      <w:start w:val="2"/>
    </w:lvl>
  </w:abstractNum>
  <w:abstractNum w:abstractNumId="276">
    <w:nsid w:val="788BD9B"/>
    <w:multiLevelType w:val="hybridMultilevel"/>
    <w:lvl w:ilvl="0">
      <w:lvlJc w:val="left"/>
      <w:lvlText w:val="%1."/>
      <w:numFmt w:val="lowerLetter"/>
      <w:start w:val="1"/>
    </w:lvl>
  </w:abstractNum>
  <w:abstractNum w:abstractNumId="277">
    <w:nsid w:val="47CAA567"/>
    <w:multiLevelType w:val="hybridMultilevel"/>
    <w:lvl w:ilvl="0">
      <w:lvlJc w:val="left"/>
      <w:lvlText w:val="%1."/>
      <w:numFmt w:val="lowerLetter"/>
      <w:start w:val="2"/>
    </w:lvl>
  </w:abstractNum>
  <w:abstractNum w:abstractNumId="278">
    <w:nsid w:val="48249DBF"/>
    <w:multiLevelType w:val="hybridMultilevel"/>
    <w:lvl w:ilvl="0">
      <w:lvlJc w:val="left"/>
      <w:lvlText w:val="%1."/>
      <w:numFmt w:val="lowerLetter"/>
      <w:start w:val="1"/>
    </w:lvl>
  </w:abstractNum>
  <w:abstractNum w:abstractNumId="279">
    <w:nsid w:val="1F0E5D0D"/>
    <w:multiLevelType w:val="hybridMultilevel"/>
    <w:lvl w:ilvl="0">
      <w:lvlJc w:val="left"/>
      <w:lvlText w:val="%1."/>
      <w:numFmt w:val="lowerLetter"/>
      <w:start w:val="2"/>
    </w:lvl>
  </w:abstractNum>
  <w:abstractNum w:abstractNumId="280">
    <w:nsid w:val="26BAAE9"/>
    <w:multiLevelType w:val="hybridMultilevel"/>
    <w:lvl w:ilvl="0">
      <w:lvlJc w:val="left"/>
      <w:lvlText w:val="%1."/>
      <w:numFmt w:val="decimal"/>
      <w:start w:val="63"/>
    </w:lvl>
  </w:abstractNum>
  <w:abstractNum w:abstractNumId="281">
    <w:nsid w:val="2C02FE8C"/>
    <w:multiLevelType w:val="hybridMultilevel"/>
    <w:lvl w:ilvl="0">
      <w:lvlJc w:val="left"/>
      <w:lvlText w:val="%1."/>
      <w:numFmt w:val="decimal"/>
      <w:start w:val="67"/>
    </w:lvl>
  </w:abstractNum>
  <w:abstractNum w:abstractNumId="282">
    <w:nsid w:val="129517E"/>
    <w:multiLevelType w:val="hybridMultilevel"/>
    <w:lvl w:ilvl="0">
      <w:lvlJc w:val="left"/>
      <w:lvlText w:val="%1."/>
      <w:numFmt w:val="lowerLetter"/>
      <w:start w:val="3"/>
    </w:lvl>
  </w:abstractNum>
  <w:abstractNum w:abstractNumId="283">
    <w:nsid w:val="763B8C4E"/>
    <w:multiLevelType w:val="hybridMultilevel"/>
    <w:lvl w:ilvl="0">
      <w:lvlJc w:val="left"/>
      <w:lvlText w:val="%1."/>
      <w:numFmt w:val="lowerLetter"/>
      <w:start w:val="4"/>
    </w:lvl>
  </w:abstractNum>
  <w:abstractNum w:abstractNumId="284">
    <w:nsid w:val="4CFB8D32"/>
    <w:multiLevelType w:val="hybridMultilevel"/>
    <w:lvl w:ilvl="0">
      <w:lvlJc w:val="left"/>
      <w:lvlText w:val="%1."/>
      <w:numFmt w:val="lowerLetter"/>
      <w:start w:val="5"/>
    </w:lvl>
  </w:abstractNum>
  <w:abstractNum w:abstractNumId="285">
    <w:nsid w:val="62A5D5BD"/>
    <w:multiLevelType w:val="hybridMultilevel"/>
    <w:lvl w:ilvl="0">
      <w:lvlJc w:val="left"/>
      <w:lvlText w:val="%1."/>
      <w:numFmt w:val="lowerLetter"/>
      <w:start w:val="6"/>
    </w:lvl>
  </w:abstractNum>
  <w:abstractNum w:abstractNumId="286">
    <w:nsid w:val="718FABF9"/>
    <w:multiLevelType w:val="hybridMultilevel"/>
    <w:lvl w:ilvl="0">
      <w:lvlJc w:val="left"/>
      <w:lvlText w:val="%1."/>
      <w:numFmt w:val="lowerLetter"/>
      <w:start w:val="7"/>
    </w:lvl>
  </w:abstractNum>
  <w:abstractNum w:abstractNumId="287">
    <w:nsid w:val="7775797C"/>
    <w:multiLevelType w:val="hybridMultilevel"/>
    <w:lvl w:ilvl="0">
      <w:lvlJc w:val="left"/>
      <w:lvlText w:val="%1."/>
      <w:numFmt w:val="lowerLetter"/>
      <w:start w:val="8"/>
    </w:lvl>
  </w:abstractNum>
  <w:abstractNum w:abstractNumId="288">
    <w:nsid w:val="1626FB8C"/>
    <w:multiLevelType w:val="hybridMultilevel"/>
    <w:lvl w:ilvl="0">
      <w:lvlJc w:val="left"/>
      <w:lvlText w:val="%1."/>
      <w:numFmt w:val="lowerRoman"/>
      <w:start w:val="1"/>
    </w:lvl>
  </w:abstractNum>
  <w:abstractNum w:abstractNumId="289">
    <w:nsid w:val="3957756A"/>
    <w:multiLevelType w:val="hybridMultilevel"/>
    <w:lvl w:ilvl="0">
      <w:lvlJc w:val="left"/>
      <w:lvlText w:val="%1."/>
      <w:numFmt w:val="lowerLetter"/>
      <w:start w:val="10"/>
    </w:lvl>
  </w:abstractNum>
  <w:abstractNum w:abstractNumId="290">
    <w:nsid w:val="3E6DA1C7"/>
    <w:multiLevelType w:val="hybridMultilevel"/>
    <w:lvl w:ilvl="0">
      <w:lvlJc w:val="left"/>
      <w:lvlText w:val="%1."/>
      <w:numFmt w:val="lowerLetter"/>
      <w:start w:val="11"/>
    </w:lvl>
  </w:abstractNum>
  <w:abstractNum w:abstractNumId="291">
    <w:nsid w:val="65CA235B"/>
    <w:multiLevelType w:val="hybridMultilevel"/>
    <w:lvl w:ilvl="0">
      <w:lvlJc w:val="left"/>
      <w:lvlText w:val="%1"/>
      <w:numFmt w:val="upperLetter"/>
      <w:start w:val="1"/>
    </w:lvl>
    <w:lvl w:ilvl="1">
      <w:lvlJc w:val="left"/>
      <w:lvlText w:val="%2."/>
      <w:numFmt w:val="upperLetter"/>
      <w:start w:val="1"/>
    </w:lvl>
  </w:abstractNum>
  <w:abstractNum w:abstractNumId="292">
    <w:nsid w:val="51CB0DA4"/>
    <w:multiLevelType w:val="hybridMultilevel"/>
    <w:lvl w:ilvl="0">
      <w:lvlJc w:val="left"/>
      <w:lvlText w:val="%1."/>
      <w:numFmt w:val="upperLetter"/>
      <w:start w:val="7"/>
    </w:lvl>
    <w:lvl w:ilvl="1">
      <w:lvlJc w:val="left"/>
      <w:lvlText w:val="%2"/>
      <w:numFmt w:val="upperLetter"/>
      <w:start w:val="1"/>
    </w:lvl>
  </w:abstractNum>
  <w:abstractNum w:abstractNumId="293">
    <w:nsid w:val="7B9B743C"/>
    <w:multiLevelType w:val="hybridMultilevel"/>
    <w:lvl w:ilvl="0">
      <w:lvlJc w:val="left"/>
      <w:lvlText w:val="%1."/>
      <w:numFmt w:val="upperLetter"/>
      <w:start w:val="8"/>
    </w:lvl>
  </w:abstractNum>
  <w:abstractNum w:abstractNumId="294">
    <w:nsid w:val="13E21002"/>
    <w:multiLevelType w:val="hybridMultilevel"/>
    <w:lvl w:ilvl="0">
      <w:lvlJc w:val="left"/>
      <w:lvlText w:val="(%1)"/>
      <w:numFmt w:val="lowerLetter"/>
      <w:start w:val="1"/>
    </w:lvl>
  </w:abstractNum>
  <w:abstractNum w:abstractNumId="295">
    <w:nsid w:val="257D63F4"/>
    <w:multiLevelType w:val="hybridMultilevel"/>
    <w:lvl w:ilvl="0">
      <w:lvlJc w:val="left"/>
      <w:lvlText w:val="(%1)"/>
      <w:numFmt w:val="lowerLetter"/>
      <w:start w:val="2"/>
    </w:lvl>
  </w:abstractNum>
  <w:abstractNum w:abstractNumId="296">
    <w:nsid w:val="70EC11B2"/>
    <w:multiLevelType w:val="hybridMultilevel"/>
    <w:lvl w:ilvl="0">
      <w:lvlJc w:val="left"/>
      <w:lvlText w:val="(%1)"/>
      <w:numFmt w:val="lowerLetter"/>
      <w:start w:val="2"/>
    </w:lvl>
  </w:abstractNum>
  <w:abstractNum w:abstractNumId="297">
    <w:nsid w:val="2EDA00ED"/>
    <w:multiLevelType w:val="hybridMultilevel"/>
    <w:lvl w:ilvl="0">
      <w:lvlJc w:val="left"/>
      <w:lvlText w:val="(%1)"/>
      <w:numFmt w:val="lowerLetter"/>
      <w:start w:val="2"/>
    </w:lvl>
  </w:abstractNum>
  <w:abstractNum w:abstractNumId="298">
    <w:nsid w:val="73209072"/>
    <w:multiLevelType w:val="hybridMultilevel"/>
    <w:lvl w:ilvl="0">
      <w:lvlJc w:val="left"/>
      <w:lvlText w:val="(%1)"/>
      <w:numFmt w:val="lowerLetter"/>
      <w:start w:val="3"/>
    </w:lvl>
  </w:abstractNum>
  <w:abstractNum w:abstractNumId="299">
    <w:nsid w:val="5FB29816"/>
    <w:multiLevelType w:val="hybridMultilevel"/>
    <w:lvl w:ilvl="0">
      <w:lvlJc w:val="left"/>
      <w:lvlText w:val="(%1)"/>
      <w:numFmt w:val="lowerLetter"/>
      <w:start w:val="1"/>
    </w:lvl>
  </w:abstractNum>
  <w:abstractNum w:abstractNumId="300">
    <w:nsid w:val="3CE732EC"/>
    <w:multiLevelType w:val="hybridMultilevel"/>
    <w:lvl w:ilvl="0">
      <w:lvlJc w:val="left"/>
      <w:lvlText w:val="(%1)"/>
      <w:numFmt w:val="lowerLetter"/>
      <w:start w:val="3"/>
    </w:lvl>
  </w:abstractNum>
  <w:abstractNum w:abstractNumId="301">
    <w:nsid w:val="22F13DF3"/>
    <w:multiLevelType w:val="hybridMultilevel"/>
    <w:lvl w:ilvl="0">
      <w:lvlJc w:val="left"/>
      <w:lvlText w:val="(%1)"/>
      <w:numFmt w:val="decimal"/>
      <w:start w:val="1"/>
    </w:lvl>
  </w:abstractNum>
  <w:abstractNum w:abstractNumId="302">
    <w:nsid w:val="792B8401"/>
    <w:multiLevelType w:val="hybridMultilevel"/>
    <w:lvl w:ilvl="0">
      <w:lvlJc w:val="left"/>
      <w:lvlText w:val="(%1)"/>
      <w:numFmt w:val="lowerRoman"/>
      <w:start w:val="1"/>
    </w:lvl>
  </w:abstractNum>
  <w:abstractNum w:abstractNumId="303">
    <w:nsid w:val="FA85F4D"/>
    <w:multiLevelType w:val="hybridMultilevel"/>
    <w:lvl w:ilvl="0">
      <w:lvlJc w:val="left"/>
      <w:lvlText w:val="(%1)"/>
      <w:numFmt w:val="upperLetter"/>
      <w:start w:val="2"/>
    </w:lvl>
  </w:abstractNum>
  <w:abstractNum w:abstractNumId="304">
    <w:nsid w:val="6ECE91F0"/>
    <w:multiLevelType w:val="hybridMultilevel"/>
    <w:lvl w:ilvl="0">
      <w:lvlJc w:val="left"/>
      <w:lvlText w:val="(%1)"/>
      <w:numFmt w:val="decimal"/>
      <w:start w:val="4"/>
    </w:lvl>
  </w:abstractNum>
  <w:abstractNum w:abstractNumId="305">
    <w:nsid w:val="4FC4D600"/>
    <w:multiLevelType w:val="hybridMultilevel"/>
    <w:lvl w:ilvl="0">
      <w:lvlJc w:val="left"/>
      <w:lvlText w:val="(%1)"/>
      <w:numFmt w:val="decimal"/>
      <w:start w:val="1"/>
    </w:lvl>
  </w:abstractNum>
  <w:abstractNum w:abstractNumId="306">
    <w:nsid w:val="5BFD4210"/>
    <w:multiLevelType w:val="hybridMultilevel"/>
    <w:lvl w:ilvl="0">
      <w:lvlJc w:val="left"/>
      <w:lvlText w:val="(%1)"/>
      <w:numFmt w:val="decimal"/>
      <w:start w:val="1"/>
    </w:lvl>
  </w:abstractNum>
  <w:abstractNum w:abstractNumId="307">
    <w:nsid w:val="76574F8B"/>
    <w:multiLevelType w:val="hybridMultilevel"/>
    <w:lvl w:ilvl="0">
      <w:lvlJc w:val="left"/>
      <w:lvlText w:val="(%1)"/>
      <w:numFmt w:val="decimal"/>
      <w:start w:val="7"/>
    </w:lvl>
  </w:abstractNum>
  <w:abstractNum w:abstractNumId="308">
    <w:nsid w:val="178F7B67"/>
    <w:multiLevelType w:val="hybridMultilevel"/>
    <w:lvl w:ilvl="0">
      <w:lvlJc w:val="left"/>
      <w:lvlText w:val="(%1)"/>
      <w:numFmt w:val="decimal"/>
      <w:start w:val="1"/>
    </w:lvl>
  </w:abstractNum>
  <w:abstractNum w:abstractNumId="309">
    <w:nsid w:val="2421DFCF"/>
    <w:multiLevelType w:val="hybridMultilevel"/>
    <w:lvl w:ilvl="0">
      <w:lvlJc w:val="left"/>
      <w:lvlText w:val="(%1)"/>
      <w:numFmt w:val="decimal"/>
      <w:start w:val="2"/>
    </w:lvl>
  </w:abstractNum>
  <w:abstractNum w:abstractNumId="310">
    <w:nsid w:val="1565AC99"/>
    <w:multiLevelType w:val="hybridMultilevel"/>
    <w:lvl w:ilvl="0">
      <w:lvlJc w:val="left"/>
      <w:lvlText w:val="(%1)"/>
      <w:numFmt w:val="decimal"/>
      <w:start w:val="3"/>
    </w:lvl>
  </w:abstractNum>
  <w:abstractNum w:abstractNumId="311">
    <w:nsid w:val="19FB2650"/>
    <w:multiLevelType w:val="hybridMultilevel"/>
    <w:lvl w:ilvl="0">
      <w:lvlJc w:val="left"/>
      <w:lvlText w:val="(%1)"/>
      <w:numFmt w:val="decimal"/>
      <w:start w:val="4"/>
    </w:lvl>
  </w:abstractNum>
  <w:abstractNum w:abstractNumId="312">
    <w:nsid w:val="5024DE5B"/>
    <w:multiLevelType w:val="hybridMultilevel"/>
    <w:lvl w:ilvl="0">
      <w:lvlJc w:val="left"/>
      <w:lvlText w:val="(%1)"/>
      <w:numFmt w:val="decimal"/>
      <w:start w:val="6"/>
    </w:lvl>
  </w:abstractNum>
  <w:abstractNum w:abstractNumId="313">
    <w:nsid w:val="168EFE17"/>
    <w:multiLevelType w:val="hybridMultilevel"/>
    <w:lvl w:ilvl="0">
      <w:lvlJc w:val="left"/>
      <w:lvlText w:val="(%1)"/>
      <w:numFmt w:val="decimal"/>
      <w:start w:val="8"/>
    </w:lvl>
  </w:abstractNum>
  <w:abstractNum w:abstractNumId="314">
    <w:nsid w:val="1036B29F"/>
    <w:multiLevelType w:val="hybridMultilevel"/>
    <w:lvl w:ilvl="0">
      <w:lvlJc w:val="left"/>
      <w:lvlText w:val="(%1)"/>
      <w:numFmt w:val="decimal"/>
      <w:start w:val="1"/>
    </w:lvl>
  </w:abstractNum>
  <w:abstractNum w:abstractNumId="315">
    <w:nsid w:val="1D206B8E"/>
    <w:multiLevelType w:val="hybridMultilevel"/>
    <w:lvl w:ilvl="0">
      <w:lvlJc w:val="left"/>
      <w:lvlText w:val="(%1)"/>
      <w:numFmt w:val="decimal"/>
      <w:start w:val="5"/>
    </w:lvl>
  </w:abstractNum>
  <w:abstractNum w:abstractNumId="316">
    <w:nsid w:val="7934D3D4"/>
    <w:multiLevelType w:val="hybridMultilevel"/>
    <w:lvl w:ilvl="0">
      <w:lvlJc w:val="left"/>
      <w:lvlText w:val="%1"/>
      <w:numFmt w:val="upperLetter"/>
      <w:start w:val="1"/>
    </w:lvl>
    <w:lvl w:ilvl="1">
      <w:lvlJc w:val="left"/>
      <w:lvlText w:val="(%2)"/>
      <w:numFmt w:val="decimal"/>
      <w:start w:val="11"/>
    </w:lvl>
  </w:abstractNum>
  <w:abstractNum w:abstractNumId="317">
    <w:nsid w:val="1C65E98"/>
    <w:multiLevelType w:val="hybridMultilevel"/>
    <w:lvl w:ilvl="0">
      <w:lvlJc w:val="left"/>
      <w:lvlText w:val="(%1)"/>
      <w:numFmt w:val="upperLetter"/>
      <w:start w:val="1"/>
    </w:lvl>
    <w:lvl w:ilvl="1">
      <w:lvlJc w:val="left"/>
      <w:lvlText w:val="(%2)"/>
      <w:numFmt w:val="decimal"/>
      <w:start w:val="14"/>
    </w:lvl>
  </w:abstractNum>
  <w:abstractNum w:abstractNumId="318">
    <w:nsid w:val="1495E50A"/>
    <w:multiLevelType w:val="hybridMultilevel"/>
    <w:lvl w:ilvl="0">
      <w:lvlJc w:val="left"/>
      <w:lvlText w:val="(%1)"/>
      <w:numFmt w:val="decimal"/>
      <w:start w:val="15"/>
    </w:lvl>
  </w:abstractNum>
  <w:abstractNum w:abstractNumId="319">
    <w:nsid w:val="F5BCF61"/>
    <w:multiLevelType w:val="hybridMultilevel"/>
    <w:lvl w:ilvl="0">
      <w:lvlJc w:val="left"/>
      <w:lvlText w:val="(%1)"/>
      <w:numFmt w:val="decimal"/>
      <w:start w:val="20"/>
    </w:lvl>
  </w:abstractNum>
  <w:abstractNum w:abstractNumId="320">
    <w:nsid w:val="3B1DD403"/>
    <w:multiLevelType w:val="hybridMultilevel"/>
    <w:lvl w:ilvl="0">
      <w:lvlJc w:val="left"/>
      <w:lvlText w:val="(%1)"/>
      <w:numFmt w:val="decimal"/>
      <w:start w:val="27"/>
    </w:lvl>
  </w:abstractNum>
  <w:abstractNum w:abstractNumId="321">
    <w:nsid w:val="530386D1"/>
    <w:multiLevelType w:val="hybridMultilevel"/>
    <w:lvl w:ilvl="0">
      <w:lvlJc w:val="left"/>
      <w:lvlText w:val="(%1)"/>
      <w:numFmt w:val="lowerRoman"/>
      <w:start w:val="1"/>
    </w:lvl>
  </w:abstractNum>
  <w:abstractNum w:abstractNumId="322">
    <w:nsid w:val="7525F2BC"/>
    <w:multiLevelType w:val="hybridMultilevel"/>
    <w:lvl w:ilvl="0">
      <w:lvlJc w:val="left"/>
      <w:lvlText w:val="(%1)"/>
      <w:numFmt w:val="lowerRoman"/>
      <w:start w:val="2"/>
    </w:lvl>
  </w:abstractNum>
  <w:abstractNum w:abstractNumId="323">
    <w:nsid w:val="CE8E1A7"/>
    <w:multiLevelType w:val="hybridMultilevel"/>
    <w:lvl w:ilvl="0">
      <w:lvlJc w:val="left"/>
      <w:lvlText w:val="(%1)"/>
      <w:numFmt w:val="lowerRoman"/>
      <w:start w:val="1"/>
    </w:lvl>
  </w:abstractNum>
  <w:abstractNum w:abstractNumId="324">
    <w:nsid w:val="4E9EFB0D"/>
    <w:multiLevelType w:val="hybridMultilevel"/>
    <w:lvl w:ilvl="0">
      <w:lvlJc w:val="left"/>
      <w:lvlText w:val="(%1)"/>
      <w:numFmt w:val="decimal"/>
      <w:start w:val="1"/>
    </w:lvl>
  </w:abstractNum>
  <w:abstractNum w:abstractNumId="325">
    <w:nsid w:val="90802BE"/>
    <w:multiLevelType w:val="hybridMultilevel"/>
    <w:lvl w:ilvl="0">
      <w:lvlJc w:val="left"/>
      <w:lvlText w:val="(%1)"/>
      <w:numFmt w:val="decimal"/>
      <w:start w:val="1"/>
    </w:lvl>
  </w:abstractNum>
  <w:abstractNum w:abstractNumId="326">
    <w:nsid w:val="3266459B"/>
    <w:multiLevelType w:val="hybridMultilevel"/>
    <w:lvl w:ilvl="0">
      <w:lvlJc w:val="left"/>
      <w:lvlText w:val="(%1)"/>
      <w:numFmt w:val="decimal"/>
      <w:start w:val="2"/>
    </w:lvl>
  </w:abstractNum>
  <w:abstractNum w:abstractNumId="327">
    <w:nsid w:val="3F8B0CBF"/>
    <w:multiLevelType w:val="hybridMultilevel"/>
    <w:lvl w:ilvl="0">
      <w:lvlJc w:val="left"/>
      <w:lvlText w:val="(%1)"/>
      <w:numFmt w:val="decimal"/>
      <w:start w:val="1"/>
    </w:lvl>
  </w:abstractNum>
  <w:abstractNum w:abstractNumId="328">
    <w:nsid w:val="37E203AB"/>
    <w:multiLevelType w:val="hybridMultilevel"/>
    <w:lvl w:ilvl="0">
      <w:lvlJc w:val="left"/>
      <w:lvlText w:val="(%1)"/>
      <w:numFmt w:val="decimal"/>
      <w:start w:val="2"/>
    </w:lvl>
  </w:abstractNum>
  <w:abstractNum w:abstractNumId="329">
    <w:nsid w:val="2586D60E"/>
    <w:multiLevelType w:val="hybridMultilevel"/>
    <w:lvl w:ilvl="0">
      <w:lvlJc w:val="left"/>
      <w:lvlText w:val="(%1)"/>
      <w:numFmt w:val="decimal"/>
      <w:start w:val="1"/>
    </w:lvl>
  </w:abstractNum>
  <w:abstractNum w:abstractNumId="330">
    <w:nsid w:val="1F3DA4D5"/>
    <w:multiLevelType w:val="hybridMultilevel"/>
    <w:lvl w:ilvl="0">
      <w:lvlJc w:val="left"/>
      <w:lvlText w:val="(%1)"/>
      <w:numFmt w:val="decimal"/>
      <w:start w:val="2"/>
    </w:lvl>
  </w:abstractNum>
  <w:abstractNum w:abstractNumId="331">
    <w:nsid w:val="74C93698"/>
    <w:multiLevelType w:val="hybridMultilevel"/>
    <w:lvl w:ilvl="0">
      <w:lvlJc w:val="left"/>
      <w:lvlText w:val="(%1)"/>
      <w:numFmt w:val="decimal"/>
      <w:start w:val="1"/>
    </w:lvl>
  </w:abstractNum>
  <w:abstractNum w:abstractNumId="332">
    <w:nsid w:val="48781401"/>
    <w:multiLevelType w:val="hybridMultilevel"/>
    <w:lvl w:ilvl="0">
      <w:lvlJc w:val="left"/>
      <w:lvlText w:val="(%1)"/>
      <w:numFmt w:val="decimal"/>
      <w:start w:val="1"/>
    </w:lvl>
  </w:abstractNum>
  <w:abstractNum w:abstractNumId="333">
    <w:nsid w:val="186928D6"/>
    <w:multiLevelType w:val="hybridMultilevel"/>
    <w:lvl w:ilvl="0">
      <w:lvlJc w:val="left"/>
      <w:lvlText w:val="%1"/>
      <w:numFmt w:val="upperLetter"/>
      <w:start w:val="1"/>
    </w:lvl>
    <w:lvl w:ilvl="1">
      <w:lvlJc w:val="left"/>
      <w:lvlText w:val="(%2)"/>
      <w:numFmt w:val="decimal"/>
      <w:start w:val="2"/>
    </w:lvl>
  </w:abstractNum>
  <w:abstractNum w:abstractNumId="334">
    <w:nsid w:val="47195E5"/>
    <w:multiLevelType w:val="hybridMultilevel"/>
    <w:lvl w:ilvl="0">
      <w:lvlJc w:val="left"/>
      <w:lvlText w:val="(%1)"/>
      <w:numFmt w:val="upperLetter"/>
      <w:start w:val="5"/>
    </w:lvl>
    <w:lvl w:ilvl="1">
      <w:lvlJc w:val="left"/>
      <w:lvlText w:val="%2"/>
      <w:numFmt w:val="decimal"/>
      <w:start w:val="1"/>
    </w:lvl>
  </w:abstractNum>
  <w:abstractNum w:abstractNumId="335">
    <w:nsid w:val="3746A5F2"/>
    <w:multiLevelType w:val="hybridMultilevel"/>
    <w:lvl w:ilvl="0">
      <w:lvlJc w:val="left"/>
      <w:lvlText w:val="(%1)"/>
      <w:numFmt w:val="decimal"/>
      <w:start w:val="1"/>
    </w:lvl>
  </w:abstractNum>
  <w:abstractNum w:abstractNumId="336">
    <w:nsid w:val="682DFED6"/>
    <w:multiLevelType w:val="hybridMultilevel"/>
    <w:lvl w:ilvl="0">
      <w:lvlJc w:val="left"/>
      <w:lvlText w:val="(%1)"/>
      <w:numFmt w:val="lowerRoman"/>
      <w:start w:val="2"/>
    </w:lvl>
  </w:abstractNum>
  <w:abstractNum w:abstractNumId="337">
    <w:nsid w:val="606ED7F6"/>
    <w:multiLevelType w:val="hybridMultilevel"/>
    <w:lvl w:ilvl="0">
      <w:lvlJc w:val="left"/>
      <w:lvlText w:val="(%1)"/>
      <w:numFmt w:val="decimal"/>
      <w:start w:val="1"/>
    </w:lvl>
  </w:abstractNum>
  <w:abstractNum w:abstractNumId="338">
    <w:nsid w:val="2D9DF57D"/>
    <w:multiLevelType w:val="hybridMultilevel"/>
    <w:lvl w:ilvl="0">
      <w:lvlJc w:val="left"/>
      <w:lvlText w:val="(%1)"/>
      <w:numFmt w:val="decimal"/>
      <w:start w:val="4"/>
    </w:lvl>
  </w:abstractNum>
  <w:abstractNum w:abstractNumId="339">
    <w:nsid w:val="7FBD7A3E"/>
    <w:multiLevelType w:val="hybridMultilevel"/>
    <w:lvl w:ilvl="0">
      <w:lvlJc w:val="left"/>
      <w:lvlText w:val="(%1)"/>
      <w:numFmt w:val="decimal"/>
      <w:start w:val="1"/>
    </w:lvl>
  </w:abstractNum>
  <w:abstractNum w:abstractNumId="340">
    <w:nsid w:val="490B7C5"/>
    <w:multiLevelType w:val="hybridMultilevel"/>
    <w:lvl w:ilvl="0">
      <w:lvlJc w:val="left"/>
      <w:lvlText w:val="(%1)"/>
      <w:numFmt w:val="decimal"/>
      <w:start w:val="4"/>
    </w:lvl>
  </w:abstractNum>
  <w:abstractNum w:abstractNumId="341">
    <w:nsid w:val="4303A216"/>
    <w:multiLevelType w:val="hybridMultilevel"/>
    <w:lvl w:ilvl="0">
      <w:lvlJc w:val="left"/>
      <w:lvlText w:val="(%1)"/>
      <w:numFmt w:val="decimal"/>
      <w:start w:val="5"/>
    </w:lvl>
  </w:abstractNum>
  <w:abstractNum w:abstractNumId="342">
    <w:nsid w:val="19B8A08E"/>
    <w:multiLevelType w:val="hybridMultilevel"/>
    <w:lvl w:ilvl="0">
      <w:lvlJc w:val="left"/>
      <w:lvlText w:val="%1."/>
      <w:numFmt w:val="decimal"/>
      <w:start w:val="1"/>
    </w:lvl>
    <w:lvl w:ilvl="1">
      <w:lvlJc w:val="left"/>
      <w:lvlText w:val="(%2)"/>
      <w:numFmt w:val="lowerLetter"/>
      <w:start w:val="1"/>
    </w:lvl>
  </w:abstractNum>
  <w:abstractNum w:abstractNumId="343">
    <w:nsid w:val="54B59621"/>
    <w:multiLevelType w:val="hybridMultilevel"/>
    <w:lvl w:ilvl="0">
      <w:lvlJc w:val="left"/>
      <w:lvlText w:val="%1."/>
      <w:numFmt w:val="decimal"/>
      <w:start w:val="1"/>
    </w:lvl>
    <w:lvl w:ilvl="1">
      <w:lvlJc w:val="left"/>
      <w:lvlText w:val="(%2)"/>
      <w:numFmt w:val="lowerLetter"/>
      <w:start w:val="1"/>
    </w:lvl>
  </w:abstractNum>
  <w:abstractNum w:abstractNumId="344">
    <w:nsid w:val="5992A02E"/>
    <w:multiLevelType w:val="hybridMultilevel"/>
    <w:lvl w:ilvl="0">
      <w:lvlJc w:val="left"/>
      <w:lvlText w:val="%1."/>
      <w:numFmt w:val="decimal"/>
      <w:start w:val="1"/>
    </w:lvl>
    <w:lvl w:ilvl="1">
      <w:lvlJc w:val="left"/>
      <w:lvlText w:val="(%2)"/>
      <w:numFmt w:val="lowerLetter"/>
      <w:start w:val="1"/>
    </w:lvl>
  </w:abstractNum>
  <w:abstractNum w:abstractNumId="345">
    <w:nsid w:val="29EF53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21" Type="http://schemas.openxmlformats.org/officeDocument/2006/relationships/image" Target="media/image198.png"/><Relationship Id="rId235" Type="http://schemas.openxmlformats.org/officeDocument/2006/relationships/image" Target="media/image199.png"/><Relationship Id="rId251" Type="http://schemas.openxmlformats.org/officeDocument/2006/relationships/image" Target="media/image200.png"/><Relationship Id="rId272" Type="http://schemas.openxmlformats.org/officeDocument/2006/relationships/image" Target="media/image201.png"/><Relationship Id="rId289" Type="http://schemas.openxmlformats.org/officeDocument/2006/relationships/image" Target="media/image202.png"/><Relationship Id="rId305" Type="http://schemas.openxmlformats.org/officeDocument/2006/relationships/image" Target="media/image203.png"/><Relationship Id="rId306" Type="http://schemas.openxmlformats.org/officeDocument/2006/relationships/image" Target="media/image204.png"/><Relationship Id="rId307" Type="http://schemas.openxmlformats.org/officeDocument/2006/relationships/image" Target="media/image205.png"/><Relationship Id="rId308" Type="http://schemas.openxmlformats.org/officeDocument/2006/relationships/image" Target="media/image206.png"/><Relationship Id="rId309" Type="http://schemas.openxmlformats.org/officeDocument/2006/relationships/image" Target="media/image207.png"/><Relationship Id="rId310" Type="http://schemas.openxmlformats.org/officeDocument/2006/relationships/image" Target="media/image208.png"/><Relationship Id="rId311" Type="http://schemas.openxmlformats.org/officeDocument/2006/relationships/image" Target="media/image209.png"/><Relationship Id="rId312" Type="http://schemas.openxmlformats.org/officeDocument/2006/relationships/image" Target="media/image210.png"/><Relationship Id="rId313" Type="http://schemas.openxmlformats.org/officeDocument/2006/relationships/image" Target="media/image211.png"/><Relationship Id="rId314" Type="http://schemas.openxmlformats.org/officeDocument/2006/relationships/image" Target="media/image212.png"/><Relationship Id="rId315" Type="http://schemas.openxmlformats.org/officeDocument/2006/relationships/image" Target="media/image213.png"/><Relationship Id="rId316" Type="http://schemas.openxmlformats.org/officeDocument/2006/relationships/image" Target="media/image214.png"/><Relationship Id="rId317" Type="http://schemas.openxmlformats.org/officeDocument/2006/relationships/image" Target="media/image215.png"/><Relationship Id="rId318" Type="http://schemas.openxmlformats.org/officeDocument/2006/relationships/image" Target="media/image216.png"/><Relationship Id="rId319" Type="http://schemas.openxmlformats.org/officeDocument/2006/relationships/image" Target="media/image217.png"/><Relationship Id="rId205" Type="http://schemas.openxmlformats.org/officeDocument/2006/relationships/hyperlink" Target="http://www.sec.gov/Archives/edgar/data/1567683/000156768318000008/yieldincex210201710-k.htm" TargetMode="External"/><Relationship Id="rId206" Type="http://schemas.openxmlformats.org/officeDocument/2006/relationships/hyperlink" Target="http://www.sec.gov/Archives/edgar/data/1637757/000110465919071001/tm1924691d1_ex2-1.htm" TargetMode="External"/><Relationship Id="rId207" Type="http://schemas.openxmlformats.org/officeDocument/2006/relationships/hyperlink" Target="https://www.sec.gov/Archives/edgar/data/1637757/000110465920127624/tm2036456d2_ex2-1.htm" TargetMode="External"/><Relationship Id="rId208" Type="http://schemas.openxmlformats.org/officeDocument/2006/relationships/hyperlink" Target="http://www.sec.gov/Archives/edgar/data/1637708/000104746915003411/a2224163zex-3_01a.htm" TargetMode="External"/><Relationship Id="rId209" Type="http://schemas.openxmlformats.org/officeDocument/2006/relationships/hyperlink" Target="http://www.sec.gov/Archives/edgar/data/1637708/000104746915003411/a2224163zex-3_01b.htm" TargetMode="External"/><Relationship Id="rId210" Type="http://schemas.openxmlformats.org/officeDocument/2006/relationships/hyperlink" Target="http://www.sec.gov/Archives/edgar/data/1637757/000163775719000002/clearwayllcex33201810-k.htm" TargetMode="External"/><Relationship Id="rId211" Type="http://schemas.openxmlformats.org/officeDocument/2006/relationships/hyperlink" Target="http://www.sec.gov/Archives/edgar/data/1637708/000104746915003411/a2224163zex-3_03a.htm" TargetMode="External"/><Relationship Id="rId212" Type="http://schemas.openxmlformats.org/officeDocument/2006/relationships/hyperlink" Target="http://www.sec.gov/Archives/edgar/data/1637708/000104746915003411/a2224163zex-3_03b.htm" TargetMode="External"/><Relationship Id="rId213" Type="http://schemas.openxmlformats.org/officeDocument/2006/relationships/hyperlink" Target="http://www.sec.gov/Archives/edgar/data/1567683/000110465918055334/a18-24111_1ex10d6.htm" TargetMode="External"/><Relationship Id="rId214" Type="http://schemas.openxmlformats.org/officeDocument/2006/relationships/hyperlink" Target="http://www.sec.gov/Archives/edgar/data/1567683/000110465914056777/a14-18411_1ex4d1.htm" TargetMode="External"/><Relationship Id="rId215" Type="http://schemas.openxmlformats.org/officeDocument/2006/relationships/hyperlink" Target="http://www.sec.gov/Archives/edgar/data/1637757/000110465918060027/a18-36222_2ex4d3.htm#Exhibit4_3_105106" TargetMode="External"/><Relationship Id="rId216" Type="http://schemas.openxmlformats.org/officeDocument/2006/relationships/hyperlink" Target="http://www.sec.gov/Archives/edgar/data/1567683/000110465914080390/a14-24401_1ex4d1.htm" TargetMode="External"/><Relationship Id="rId217" Type="http://schemas.openxmlformats.org/officeDocument/2006/relationships/hyperlink" Target="http://www.sec.gov/Archives/edgar/data/1567683/000110465915015282/a15-5420_1ex4d1.htm" TargetMode="External"/><Relationship Id="rId218" Type="http://schemas.openxmlformats.org/officeDocument/2006/relationships/hyperlink" Target="http://www.sec.gov/Archives/edgar/data/1637708/000104746915003411/a2224163zex-4_07.htm" TargetMode="External"/><Relationship Id="rId219" Type="http://schemas.openxmlformats.org/officeDocument/2006/relationships/hyperlink" Target="http://www.sec.gov/Archives/edgar/data/1567683/000110465915036232/a15-11016_2ex4d1.htm" TargetMode="External"/><Relationship Id="rId220" Type="http://schemas.openxmlformats.org/officeDocument/2006/relationships/hyperlink" Target="http://www.sec.gov/Archives/edgar/data/1567683/000110465915048473/a15-14936_1ex4d1.htm" TargetMode="External"/><Relationship Id="rId222" Type="http://schemas.openxmlformats.org/officeDocument/2006/relationships/hyperlink" Target="http://www.sec.gov/Archives/edgar/data/1637757/000110465916140474/a16-16967_2ex4d1.htm" TargetMode="External"/><Relationship Id="rId223" Type="http://schemas.openxmlformats.org/officeDocument/2006/relationships/hyperlink" Target="http://www.sec.gov/Archives/edgar/data/1637757/000110465916140474/a16-16967_2ex4d3.htm" TargetMode="External"/><Relationship Id="rId224" Type="http://schemas.openxmlformats.org/officeDocument/2006/relationships/hyperlink" Target="http://www.sec.gov/Archives/edgar/data/1637757/000110465918005466/a18-5088_1ex4d1.htm#Exhibit4_1_091658" TargetMode="External"/><Relationship Id="rId225" Type="http://schemas.openxmlformats.org/officeDocument/2006/relationships/hyperlink" Target="http://www.sec.gov/Archives/edgar/data/1637757/000110465918039603/a18-15263_1ex4d1.htm" TargetMode="External"/><Relationship Id="rId226" Type="http://schemas.openxmlformats.org/officeDocument/2006/relationships/hyperlink" Target="http://www.sec.gov/Archives/edgar/data/1637757/000110465918005466/a18-5088_1ex4d2.htm#Exhibit4_2_091723" TargetMode="External"/><Relationship Id="rId227" Type="http://schemas.openxmlformats.org/officeDocument/2006/relationships/hyperlink" Target="http://www.sec.gov/Archives/edgar/data/1637757/000110465918039603/a18-15263_1ex4d2.htm" TargetMode="External"/><Relationship Id="rId228" Type="http://schemas.openxmlformats.org/officeDocument/2006/relationships/hyperlink" Target="http://www.sec.gov/Archives/edgar/data/1637757/000163775718000016/yieldincex442018q2.htm" TargetMode="External"/><Relationship Id="rId229" Type="http://schemas.openxmlformats.org/officeDocument/2006/relationships/hyperlink" Target="http://www.sec.gov/Archives/edgar/data/1567683/000110465918055585/a18-27020_1ex4d1.htm#Exhibit4_1_065610" TargetMode="External"/><Relationship Id="rId230" Type="http://schemas.openxmlformats.org/officeDocument/2006/relationships/hyperlink" Target="http://www.sec.gov/Archives/edgar/data/1567683/000110465918055585/a18-27020_1ex4d2.htm#Exhibit4_2_070017" TargetMode="External"/><Relationship Id="rId231" Type="http://schemas.openxmlformats.org/officeDocument/2006/relationships/hyperlink" Target="http://www.sec.gov/Archives/edgar/data/1637757/000110465918060027/a18-36222_2ex4d1.htm" TargetMode="External"/><Relationship Id="rId232" Type="http://schemas.openxmlformats.org/officeDocument/2006/relationships/hyperlink" Target="http://www.sec.gov/Archives/edgar/data/1637757/000110465918065129/a18-38187_1ex4d1.htm" TargetMode="External"/><Relationship Id="rId233" Type="http://schemas.openxmlformats.org/officeDocument/2006/relationships/hyperlink" Target="http://www.sec.gov/Archives/edgar/data/1637757/000110465918065129/a18-38187_1ex4d2.htm#Exhibit4_2_085140" TargetMode="External"/><Relationship Id="rId234" Type="http://schemas.openxmlformats.org/officeDocument/2006/relationships/hyperlink" Target="http://www.sec.gov/Archives/edgar/data/1637757/000110465918065129/a18-38187_1ex4d3.htm" TargetMode="External"/><Relationship Id="rId236" Type="http://schemas.openxmlformats.org/officeDocument/2006/relationships/hyperlink" Target="http://www.sec.gov/Archives/edgar/data/1637757/000110465918072577/a18-41418_1ex4d1.htm" TargetMode="External"/><Relationship Id="rId237" Type="http://schemas.openxmlformats.org/officeDocument/2006/relationships/hyperlink" Target="http://www.sec.gov/Archives/edgar/data/1637757/000110465918072577/a18-41418_1ex4d2.htm" TargetMode="External"/><Relationship Id="rId238" Type="http://schemas.openxmlformats.org/officeDocument/2006/relationships/hyperlink" Target="http://www.sec.gov/Archives/edgar/data/1637757/000110465918072577/a18-41418_1ex4d3.htm" TargetMode="External"/><Relationship Id="rId239" Type="http://schemas.openxmlformats.org/officeDocument/2006/relationships/hyperlink" Target="http://www.sec.gov/Archives/edgar/data/1637757/000141057819001210/tv529120_ex4-1.htm" TargetMode="External"/><Relationship Id="rId240" Type="http://schemas.openxmlformats.org/officeDocument/2006/relationships/hyperlink" Target="http://www.sec.gov/Archives/edgar/data/1637757/000141057819001210/tv529120_ex4-2.htm" TargetMode="External"/><Relationship Id="rId241" Type="http://schemas.openxmlformats.org/officeDocument/2006/relationships/hyperlink" Target="http://www.sec.gov/Archives/edgar/data/1637757/000141057819001210/tv529120_ex4-3.htm" TargetMode="External"/><Relationship Id="rId242" Type="http://schemas.openxmlformats.org/officeDocument/2006/relationships/hyperlink" Target="http://www.sec.gov/Archives/edgar/data/1637757/000110465919066642/tm1923650d1_ex4-1.htm" TargetMode="External"/><Relationship Id="rId243" Type="http://schemas.openxmlformats.org/officeDocument/2006/relationships/hyperlink" Target="http://www.sec.gov/Archives/edgar/data/1637757/000110465919066642/tm1923650d1_ex4-2.htm" TargetMode="External"/><Relationship Id="rId244" Type="http://schemas.openxmlformats.org/officeDocument/2006/relationships/hyperlink" Target="http://www.sec.gov/Archives/edgar/data/1637757/000110465919066642/tm1923650d1_ex4-3.htm" TargetMode="External"/><Relationship Id="rId245" Type="http://schemas.openxmlformats.org/officeDocument/2006/relationships/hyperlink" Target="http://www.sec.gov/Archives/edgar/data/1637757/000110465919072222/tm1925067d1_ex4-1.htm" TargetMode="External"/><Relationship Id="rId246" Type="http://schemas.openxmlformats.org/officeDocument/2006/relationships/hyperlink" Target="http://www.sec.gov/Archives/edgar/data/1567683/000110465920002258/tm201233d1_ex4-1.htm" TargetMode="External"/><Relationship Id="rId247" Type="http://schemas.openxmlformats.org/officeDocument/2006/relationships/hyperlink" Target="http://www.sec.gov/Archives/edgar/data/1567683/000110465920002258/tm201233d1_ex4-2.htm" TargetMode="External"/><Relationship Id="rId248" Type="http://schemas.openxmlformats.org/officeDocument/2006/relationships/hyperlink" Target="http://www.sec.gov/Archives/edgar/data/1567683/000110465920002258/tm201233d1_ex4-3.htm" TargetMode="External"/><Relationship Id="rId249" Type="http://schemas.openxmlformats.org/officeDocument/2006/relationships/hyperlink" Target="http://www.sec.gov/Archives/edgar/data/1567683/000110465920028560/tm2011093d1_ex4-1.htm" TargetMode="External"/><Relationship Id="rId250" Type="http://schemas.openxmlformats.org/officeDocument/2006/relationships/hyperlink" Target="http://www.sec.gov/Archives/edgar/data/1567683/000110465920028560/tm2011093d1_ex4-2.htm" TargetMode="External"/><Relationship Id="rId252" Type="http://schemas.openxmlformats.org/officeDocument/2006/relationships/hyperlink" Target="http://www.sec.gov/Archives/edgar/data/1567683/000110465920028560/tm2011093d1_ex4-3.htm" TargetMode="External"/><Relationship Id="rId253" Type="http://schemas.openxmlformats.org/officeDocument/2006/relationships/hyperlink" Target="https://www.sec.gov/Archives/edgar/data/1637757/000110465920085307/tm2025128d1_ex4-1.htm" TargetMode="External"/><Relationship Id="rId254" Type="http://schemas.openxmlformats.org/officeDocument/2006/relationships/hyperlink" Target="http://www.sec.gov/Archives/edgar/data/1637757/000110465920085307/tm2025128d1_ex4-2.htm" TargetMode="External"/><Relationship Id="rId255" Type="http://schemas.openxmlformats.org/officeDocument/2006/relationships/hyperlink" Target="http://www.sec.gov/Archives/edgar/data/1637757/000110465920085307/tm2025128d1_ex4-3.htm" TargetMode="External"/><Relationship Id="rId256" Type="http://schemas.openxmlformats.org/officeDocument/2006/relationships/hyperlink" Target="http://www.sec.gov/Archives/edgar/data/1567683/000110465920097221/tm2025854d5_ex4-1.htm" TargetMode="External"/><Relationship Id="rId257" Type="http://schemas.openxmlformats.org/officeDocument/2006/relationships/hyperlink" Target="http://www.sec.gov/Archives/edgar/data/1567683/000110465920097221/tm2025854d5_ex4-2.htm" TargetMode="External"/><Relationship Id="rId258" Type="http://schemas.openxmlformats.org/officeDocument/2006/relationships/hyperlink" Target="http://www.sec.gov/Archives/edgar/data/1567683/000110465920097221/tm2025854d5_ex4-3.htm" TargetMode="External"/><Relationship Id="rId259" Type="http://schemas.openxmlformats.org/officeDocument/2006/relationships/hyperlink" Target="https://www.sec.gov/Archives/edgar/data/1637757/000110465920127378/tm2036456d1_ex4-1.htm" TargetMode="External"/><Relationship Id="rId260" Type="http://schemas.openxmlformats.org/officeDocument/2006/relationships/hyperlink" Target="https://www.sec.gov/Archives/edgar/data/1637757/000110465920127378/tm2036456d1_ex4-2.htm" TargetMode="External"/><Relationship Id="rId261" Type="http://schemas.openxmlformats.org/officeDocument/2006/relationships/hyperlink" Target="https://www.sec.gov/Archives/edgar/data/1637757/000110465920127378/tm2036456d1_ex4-3.htm" TargetMode="External"/><Relationship Id="rId262" Type="http://schemas.openxmlformats.org/officeDocument/2006/relationships/hyperlink" Target="https://www.sec.gov/Archives/edgar/data/1637757/000110465920132415/tm2037504d1_ex4-1.htm" TargetMode="External"/><Relationship Id="rId263" Type="http://schemas.openxmlformats.org/officeDocument/2006/relationships/hyperlink" Target="https://www.sec.gov/Archives/edgar/data/1637757/000110465920132415/tm2037504d1_ex4-2.htm" TargetMode="External"/><Relationship Id="rId264" Type="http://schemas.openxmlformats.org/officeDocument/2006/relationships/hyperlink" Target="https://www.sec.gov/Archives/edgar/data/1637757/000110465920132415/tm2037504d1_ex4-3.htm" TargetMode="External"/><Relationship Id="rId265" Type="http://schemas.openxmlformats.org/officeDocument/2006/relationships/hyperlink" Target="https://www.sec.gov/Archives/edgar/data/1637757/000110465920140150/tm2039386d1_ex4-1.htm" TargetMode="External"/><Relationship Id="rId266" Type="http://schemas.openxmlformats.org/officeDocument/2006/relationships/hyperlink" Target="https://www.sec.gov/Archives/edgar/data/1637757/000110465920140150/tm2039386d1_ex4-2.htm" TargetMode="External"/><Relationship Id="rId267" Type="http://schemas.openxmlformats.org/officeDocument/2006/relationships/hyperlink" Target="https://www.sec.gov/Archives/edgar/data/1637757/000110465920140150/tm2039386d1_ex4-3.htm" TargetMode="External"/><Relationship Id="rId268" Type="http://schemas.openxmlformats.org/officeDocument/2006/relationships/hyperlink" Target="https://www.sec.gov/Archives/edgar/data/1637757/000110465921012977/tm215222d2_ex4-1.htm" TargetMode="External"/><Relationship Id="rId269" Type="http://schemas.openxmlformats.org/officeDocument/2006/relationships/hyperlink" Target="https://www.sec.gov/Archives/edgar/data/1637757/000110465921012977/tm215222d2_ex4-2.htm" TargetMode="External"/><Relationship Id="rId270" Type="http://schemas.openxmlformats.org/officeDocument/2006/relationships/hyperlink" Target="https://www.sec.gov/Archives/edgar/data/1637757/000110465921012977/tm215222d2_ex4-3.htm" TargetMode="External"/><Relationship Id="rId271" Type="http://schemas.openxmlformats.org/officeDocument/2006/relationships/hyperlink" Target="http://www.sec.gov/Archives/edgar/data/1567683/000110465918055334/a18-24111_1ex10d5.htm#EXHIBIT10_5_051412" TargetMode="External"/><Relationship Id="rId273" Type="http://schemas.openxmlformats.org/officeDocument/2006/relationships/hyperlink" Target="http://www.sec.gov/Archives/edgar/data/1567683/000110465918055334/a18-24111_1ex10d3.htm#Exhibit10_3_095433" TargetMode="External"/><Relationship Id="rId274" Type="http://schemas.openxmlformats.org/officeDocument/2006/relationships/hyperlink" Target="http://www.sec.gov/Archives/edgar/data/1567683/000110465919008742/a19-4739_1ex10d1.htm#Exhibit99_1_092711" TargetMode="External"/><Relationship Id="rId275" Type="http://schemas.openxmlformats.org/officeDocument/2006/relationships/hyperlink" Target="http://www.sec.gov/Archives/edgar/data/1637757/000163775719000012/clearwayincex1012019q2.htm" TargetMode="External"/><Relationship Id="rId276" Type="http://schemas.openxmlformats.org/officeDocument/2006/relationships/hyperlink" Target="http://www.sec.gov/Archives/edgar/data/1637757/000110465919071001/tm1924691d1_ex10-1.htm" TargetMode="External"/><Relationship Id="rId277" Type="http://schemas.openxmlformats.org/officeDocument/2006/relationships/hyperlink" Target="http://www.sec.gov/Archives/edgar/data/1567683/000110465918055334/a18-24111_1ex10d1.htm#Exhibit10_1_072506" TargetMode="External"/><Relationship Id="rId278" Type="http://schemas.openxmlformats.org/officeDocument/2006/relationships/hyperlink" Target="http://www.sec.gov/Archives/edgar/data/1567683/000110465918055334/a18-24111_1ex10d2.htm" TargetMode="External"/><Relationship Id="rId279" Type="http://schemas.openxmlformats.org/officeDocument/2006/relationships/hyperlink" Target="http://www.sec.gov/Archives/edgar/data/1567683/000110465918055334/a18-24111_1ex10d9.htm#EXHIBIT10_9_053225" TargetMode="External"/><Relationship Id="rId280" Type="http://schemas.openxmlformats.org/officeDocument/2006/relationships/hyperlink" Target="http://www.sec.gov/Archives/edgar/data/1567683/000110465914031308/a14-11252_1ex10d1.htm" TargetMode="External"/><Relationship Id="rId281" Type="http://schemas.openxmlformats.org/officeDocument/2006/relationships/hyperlink" Target="http://www.sec.gov/Archives/edgar/data/1567683/000156768315000022/yieldincex1092015q2opllcam.htm" TargetMode="External"/><Relationship Id="rId282" Type="http://schemas.openxmlformats.org/officeDocument/2006/relationships/hyperlink" Target="http://www.sec.gov/Archives/edgar/data/1637757/000110465918008197/a18-5571_1ex10d1.htm#Exhibit10_1_093100" TargetMode="External"/><Relationship Id="rId283" Type="http://schemas.openxmlformats.org/officeDocument/2006/relationships/hyperlink" Target="http://www.sec.gov/Archives/edgar/data/1637757/000163775718000013/a101llc.htm" TargetMode="External"/><Relationship Id="rId284" Type="http://schemas.openxmlformats.org/officeDocument/2006/relationships/hyperlink" Target="http://www.sec.gov/Archives/edgar/data/1637757/000110465918071713/a18-41172_1ex10d1.htm" TargetMode="External"/><Relationship Id="rId285" Type="http://schemas.openxmlformats.org/officeDocument/2006/relationships/hyperlink" Target="http://www.sec.gov/Archives/edgar/data/1637757/000110465919075303/tm1926823d1_ex10-1.htm" TargetMode="External"/><Relationship Id="rId286" Type="http://schemas.openxmlformats.org/officeDocument/2006/relationships/hyperlink" Target="http://www.sec.gov/Archives/edgar/data/1567683/000156768315000022/yieldincex1012015q2rpv.htm" TargetMode="External"/><Relationship Id="rId287" Type="http://schemas.openxmlformats.org/officeDocument/2006/relationships/hyperlink" Target="http://www.sec.gov/Archives/edgar/data/1567683/000156768315000022/yieldincex1022015q2dgpv.htm" TargetMode="External"/><Relationship Id="rId288" Type="http://schemas.openxmlformats.org/officeDocument/2006/relationships/hyperlink" Target="http://www.sec.gov/Archives/edgar/data/1567683/000156768316000043/yieldincex1012016q1.htm" TargetMode="External"/><Relationship Id="rId290" Type="http://schemas.openxmlformats.org/officeDocument/2006/relationships/hyperlink" Target="http://www.sec.gov/Archives/edgar/data/1567683/000156768316000043/yieldincex1022016q1.htm" TargetMode="External"/><Relationship Id="rId291" Type="http://schemas.openxmlformats.org/officeDocument/2006/relationships/hyperlink" Target="http://www.sec.gov/Archives/edgar/data/1567683/000156768316000043/yieldincex1032016q1.htm" TargetMode="External"/><Relationship Id="rId292" Type="http://schemas.openxmlformats.org/officeDocument/2006/relationships/hyperlink" Target="http://www.sec.gov/Archives/edgar/data/1567683/000156768316000055/yieldincex1012016q2-rpvame.htm" TargetMode="External"/><Relationship Id="rId293" Type="http://schemas.openxmlformats.org/officeDocument/2006/relationships/hyperlink" Target="http://www.sec.gov/Archives/edgar/data/1567683/000110465916138081/a16-16348_2ex10d1.htm" TargetMode="External"/><Relationship Id="rId294" Type="http://schemas.openxmlformats.org/officeDocument/2006/relationships/hyperlink" Target="http://www.sec.gov/Archives/edgar/data/1567683/000156768318000008/yieldincex1028201710-k.htm" TargetMode="External"/><Relationship Id="rId295" Type="http://schemas.openxmlformats.org/officeDocument/2006/relationships/hyperlink" Target="http://www.sec.gov/Archives/edgar/data/1567683/000156768319000014/clearwayincex1030201810-k.htm" TargetMode="External"/><Relationship Id="rId296" Type="http://schemas.openxmlformats.org/officeDocument/2006/relationships/hyperlink" Target="http://www.sec.gov/Archives/edgar/data/1567683/000110465915038447/a15-11446_1ex10d1.htm" TargetMode="External"/><Relationship Id="rId297" Type="http://schemas.openxmlformats.org/officeDocument/2006/relationships/hyperlink" Target="http://www.sec.gov/Archives/edgar/data/1567683/000156768320000008/clearwayincex102620191.htm" TargetMode="External"/><Relationship Id="rId298" Type="http://schemas.openxmlformats.org/officeDocument/2006/relationships/hyperlink" Target="http://www.sec.gov/Archives/edgar/data/1637757/000110465920048786/tm2016404d1_ex10-1.htm" TargetMode="External"/><Relationship Id="rId299" Type="http://schemas.openxmlformats.org/officeDocument/2006/relationships/hyperlink" Target="http://www.sec.gov/Archives/edgar/data/1637757/000110465920048786/tm2016404d1_ex10-2.htm" TargetMode="External"/><Relationship Id="rId300" Type="http://schemas.openxmlformats.org/officeDocument/2006/relationships/hyperlink" Target="http://www.sec.gov/Archives/edgar/data/1637757/000110465920048786/tm2016404d1_ex10-3.htm" TargetMode="External"/><Relationship Id="rId301" Type="http://schemas.openxmlformats.org/officeDocument/2006/relationships/hyperlink" Target="https://www.sec.gov/Archives/edgar/data/1637757/000163775720000020/fourthamendmenttorofoa.htm" TargetMode="External"/><Relationship Id="rId302" Type="http://schemas.openxmlformats.org/officeDocument/2006/relationships/hyperlink" Target="https://www.sec.gov/Archives/edgar/data/1637757/000110465920138637/tm2039056d1_ex10-1.htm" TargetMode="External"/><Relationship Id="rId303" Type="http://schemas.openxmlformats.org/officeDocument/2006/relationships/hyperlink" Target="https://www.sec.gov/Archives/edgar/data/1637757/000110465920138637/tm2039056d1_ex10-2.htm" TargetMode="External"/><Relationship Id="rId304" Type="http://schemas.openxmlformats.org/officeDocument/2006/relationships/hyperlink" Target="https://www.sec.gov/Archives/edgar/data/1637757/000110465920138637/tm2039056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2021-03-01T10:05:41Z</dcterms:created>
  <dcterms:modified xsi:type="dcterms:W3CDTF">2021-03-01T10:05:41Z</dcterms:modified>
</cp:coreProperties>
</file>