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24"/>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64"/>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64"/>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November 6, 2018</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64"/>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5"/>
          </w:cols>
          <w:pgMar w:left="275" w:top="10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75"/>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85" w:space="720"/>
            <w:col w:w="2680" w:space="720"/>
            <w:col w:w="3080"/>
          </w:cols>
          <w:pgMar w:left="275" w:top="1067" w:right="339" w:bottom="1440" w:gutter="0" w:footer="0" w:header="0"/>
          <w:type w:val="continuous"/>
        </w:sectPr>
      </w:pPr>
    </w:p>
    <w:p>
      <w:pPr>
        <w:spacing w:after="0" w:line="397" w:lineRule="exact"/>
        <w:rPr>
          <w:sz w:val="24"/>
          <w:szCs w:val="24"/>
          <w:color w:val="auto"/>
        </w:rPr>
      </w:pPr>
    </w:p>
    <w:p>
      <w:pPr>
        <w:ind w:left="3325"/>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ind w:left="3545"/>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line="207" w:lineRule="exact"/>
        <w:rPr>
          <w:sz w:val="20"/>
          <w:szCs w:val="20"/>
          <w:color w:val="auto"/>
        </w:rPr>
      </w:pPr>
      <w:r>
        <w:rPr>
          <w:rFonts w:ascii="Arial" w:cs="Arial" w:eastAsia="Arial" w:hAnsi="Arial"/>
          <w:sz w:val="18"/>
          <w:szCs w:val="18"/>
          <w:b w:val="1"/>
          <w:bCs w:val="1"/>
          <w:color w:val="auto"/>
        </w:rPr>
        <w:t>(609) 608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1525</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5" w:right="5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85"/>
        <w:spacing w:after="0"/>
        <w:tabs>
          <w:tab w:leader="none" w:pos="7365"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5"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5"/>
          </w:cols>
          <w:pgMar w:left="275" w:top="1067"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November 6, 2018, Clearway Energy, Inc. issued a press release announcing its financial results for the quarter ended September 30, 2018. A copy of the press release is furnished as Exhibit 99.1 to this report on Form 8-K and is hereby incorporated by reference.</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6, 2018</w:t>
              </w:r>
            </w:hyperlink>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580" w:right="5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Kevin P. Malcarney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General Counsel and 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4411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41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Third Quarter 2018 Financial Results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Initiates 2019 Financial Guidance</w:t>
      </w:r>
    </w:p>
    <w:p>
      <w:pPr>
        <w:spacing w:after="0" w:line="25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Announced new sponsorship with Global Infrastructure Partners with the closing of the NRG Transaction</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Maintaining 2018 financial guidance</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Initiating 2019 guidance while targeting 5-8% annualized dividend per share growth</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Raised $675 million of new corporate level capital to support committed growth investments and balance sheet management</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Repurchased $352 million of convertible notes through Fundamental Change Tender Offer</w:t>
      </w:r>
    </w:p>
    <w:p>
      <w:pPr>
        <w:spacing w:after="0" w:line="63"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the Right of First Offer (ROFO) Agreement, received an offer from NRG Energy, Inc. to acquire NRG's remaining interest in the Agua Caliente solar project; closing expected in the first quarter of 2019</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Increasing quarterly dividend by 3.4%, achieving 15% year-over-year dividend per share growth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6, 2018 </w:t>
      </w:r>
      <w:r>
        <w:rPr>
          <w:rFonts w:ascii="Arial" w:cs="Arial" w:eastAsia="Arial" w:hAnsi="Arial"/>
          <w:sz w:val="18"/>
          <w:szCs w:val="18"/>
          <w:color w:val="auto"/>
        </w:rPr>
        <w:t>— Clearway Energy, Inc. (NYSE: CWEN, CWEN.A) today reported third quarter 2018 financial results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of $49 million, Adjusted EBITDA of $290 million, Cash from Operating Activities of $215 million, and Cash Available for Distribution (CAFD) of $156 million.</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“Following the introduction of Global Infrastructure Partners as the Company’s new sponsor, Clearway Energy successfully raised $675 million in new corporate level capital which will support the growth of our business and enable us to continue to manage our balance sheet to our target credit ratings.” said Christopher Sotos, Clearway Energy, Inc.’s President and Chief Executive Officer. “We are also pleased to report that the Company realized strong results in the third quarter as renewable energy conditions, primarily at Alta, were above expectations. Looking forward to next year, we remain focused on the closing of key transactions such as Carlsbad and Agua Caliente while also building upon our partnership with Clearway Group to support our long-term objective of delivering 5-8% annual dividend per share growth.”</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3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9/30/18</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9/30/17</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9/30/18</w:t>
            </w:r>
          </w:p>
        </w:tc>
        <w:tc>
          <w:tcPr>
            <w:tcW w:w="120" w:type="dxa"/>
            <w:vAlign w:val="bottom"/>
          </w:tcPr>
          <w:p>
            <w:pPr>
              <w:spacing w:after="0"/>
              <w:rPr>
                <w:sz w:val="23"/>
                <w:szCs w:val="23"/>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9/30/17</w:t>
            </w: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340" w:type="dxa"/>
            <w:vAlign w:val="bottom"/>
          </w:tcPr>
          <w:p>
            <w:pPr>
              <w:spacing w:after="0" w:line="20" w:lineRule="exact"/>
              <w:rPr>
                <w:sz w:val="1"/>
                <w:szCs w:val="1"/>
                <w:color w:val="auto"/>
              </w:rPr>
            </w:pPr>
          </w:p>
        </w:tc>
        <w:tc>
          <w:tcPr>
            <w:tcW w:w="4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4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Nine Months Ended</w:t>
            </w:r>
          </w:p>
        </w:tc>
        <w:tc>
          <w:tcPr>
            <w:tcW w:w="38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9/30/18</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9/30/17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9/30/18</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9/30/17</w:t>
            </w:r>
          </w:p>
        </w:tc>
        <w:tc>
          <w:tcPr>
            <w:tcW w:w="38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221</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194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173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524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476</w:t>
            </w:r>
          </w:p>
        </w:tc>
      </w:tr>
      <w:tr>
        <w:trPr>
          <w:trHeight w:val="27"/>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w:t>
            </w: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783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730</w:t>
            </w:r>
          </w:p>
        </w:tc>
      </w:tr>
      <w:tr>
        <w:trPr>
          <w:trHeight w:val="20"/>
        </w:trPr>
        <w:tc>
          <w:tcPr>
            <w:tcW w:w="340" w:type="dxa"/>
            <w:vAlign w:val="bottom"/>
          </w:tcPr>
          <w:p>
            <w:pPr>
              <w:spacing w:after="0" w:line="20" w:lineRule="exact"/>
              <w:rPr>
                <w:sz w:val="1"/>
                <w:szCs w:val="1"/>
                <w:color w:val="auto"/>
              </w:rPr>
            </w:pPr>
          </w:p>
        </w:tc>
        <w:tc>
          <w:tcPr>
            <w:tcW w:w="4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20"/>
                <w:szCs w:val="20"/>
                <w:color w:val="auto"/>
              </w:rPr>
            </w:pPr>
          </w:p>
        </w:tc>
      </w:tr>
      <w:tr>
        <w:trPr>
          <w:trHeight w:val="270"/>
        </w:trPr>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9/30/18</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9/30/17</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9/30/18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9/30/17</w:t>
            </w:r>
          </w:p>
        </w:tc>
        <w:tc>
          <w:tcPr>
            <w:tcW w:w="400" w:type="dxa"/>
            <w:vAlign w:val="bottom"/>
          </w:tcPr>
          <w:p>
            <w:pPr>
              <w:spacing w:after="0"/>
              <w:rPr>
                <w:sz w:val="23"/>
                <w:szCs w:val="23"/>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373</w:t>
            </w:r>
          </w:p>
        </w:tc>
      </w:tr>
      <w:tr>
        <w:trPr>
          <w:trHeight w:val="243"/>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250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209</w:t>
            </w:r>
          </w:p>
        </w:tc>
      </w:tr>
      <w:tr>
        <w:trPr>
          <w:trHeight w:val="27"/>
        </w:trPr>
        <w:tc>
          <w:tcPr>
            <w:tcW w:w="4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third quarter of 2018, the Company reported Net Income of $49 million, Adjusted EBITDA of $290 million, Cash from Operating Activities of $215 million, and CAFD of $156 million. Third quarter Adjusted EBITDA results were higher than 2017 primarily due to performance at the Renewables and Thermal segments partially offset by higher expenses at Corporate due to the addition of corporate employees. This included higher wind production relative to the third quarter of 2017, growth in the distributed solar partnerships, and the additions of Buckthorn Solar and the UPMC thermal facility. CAFD results were higher than 2017 primarily due to the growth in EBITDA, lower principal amortization at Thermal due to the refinancing of the Series C notes, and growth from the November 2017 Drop Down Assets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0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3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1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9/30/18</w:t>
            </w:r>
          </w:p>
        </w:tc>
        <w:tc>
          <w:tcPr>
            <w:tcW w:w="120" w:type="dxa"/>
            <w:vAlign w:val="bottom"/>
          </w:tcPr>
          <w:p>
            <w:pPr>
              <w:spacing w:after="0"/>
              <w:rPr>
                <w:sz w:val="23"/>
                <w:szCs w:val="23"/>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9/30/17</w:t>
            </w:r>
          </w:p>
        </w:tc>
        <w:tc>
          <w:tcPr>
            <w:tcW w:w="120" w:type="dxa"/>
            <w:vAlign w:val="bottom"/>
          </w:tcPr>
          <w:p>
            <w:pPr>
              <w:spacing w:after="0"/>
              <w:rPr>
                <w:sz w:val="23"/>
                <w:szCs w:val="23"/>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9/30/18</w:t>
            </w:r>
          </w:p>
        </w:tc>
        <w:tc>
          <w:tcPr>
            <w:tcW w:w="120" w:type="dxa"/>
            <w:vAlign w:val="bottom"/>
          </w:tcPr>
          <w:p>
            <w:pPr>
              <w:spacing w:after="0"/>
              <w:rPr>
                <w:sz w:val="23"/>
                <w:szCs w:val="23"/>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9/30/17</w:t>
            </w:r>
          </w:p>
        </w:tc>
      </w:tr>
      <w:tr>
        <w:trPr>
          <w:trHeight w:val="27"/>
        </w:trPr>
        <w:tc>
          <w:tcPr>
            <w:tcW w:w="1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16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43"/>
        </w:trPr>
        <w:tc>
          <w:tcPr>
            <w:tcW w:w="16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5,725</w:t>
            </w:r>
          </w:p>
        </w:tc>
        <w:tc>
          <w:tcPr>
            <w:tcW w:w="120" w:type="dxa"/>
            <w:vAlign w:val="bottom"/>
          </w:tcPr>
          <w:p>
            <w:pPr>
              <w:spacing w:after="0"/>
              <w:rPr>
                <w:sz w:val="21"/>
                <w:szCs w:val="21"/>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5,354</w:t>
            </w:r>
          </w:p>
        </w:tc>
      </w:tr>
      <w:tr>
        <w:trPr>
          <w:trHeight w:val="27"/>
        </w:trPr>
        <w:tc>
          <w:tcPr>
            <w:tcW w:w="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1,477</w:t>
            </w:r>
          </w:p>
        </w:tc>
      </w:tr>
      <w:tr>
        <w:trPr>
          <w:trHeight w:val="20"/>
        </w:trPr>
        <w:tc>
          <w:tcPr>
            <w:tcW w:w="1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third quarter of 2018, availability at the Conventional segment was lower than the third quarter of 2017 due to forced outages at both Walnut Creek and El Segundo.</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Additionally, Generation in the Renewables segment was above median expectations and 15% higher than the third quarter of 2017, primarily due to higher wind resources in California. These conditions abated in the month of October, with production below median expectations during the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3"/>
          <w:szCs w:val="13"/>
          <w:color w:val="auto"/>
        </w:rPr>
        <w:t xml:space="preserve"> November 2017 Drop Down Assets: a 38 MW portfolio of distributed and small utility-scale solar assets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106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9/30/18</w:t>
            </w:r>
          </w:p>
        </w:tc>
        <w:tc>
          <w:tcPr>
            <w:tcW w:w="120" w:type="dxa"/>
            <w:vAlign w:val="bottom"/>
          </w:tcPr>
          <w:p>
            <w:pPr>
              <w:spacing w:after="0"/>
              <w:rPr>
                <w:sz w:val="24"/>
                <w:szCs w:val="24"/>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6/30/18</w:t>
            </w:r>
          </w:p>
        </w:tc>
        <w:tc>
          <w:tcPr>
            <w:tcW w:w="12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12/31/17</w:t>
            </w:r>
          </w:p>
        </w:tc>
      </w:tr>
      <w:tr>
        <w:trPr>
          <w:trHeight w:val="27"/>
        </w:trPr>
        <w:tc>
          <w:tcPr>
            <w:tcW w:w="10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106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Clearway Energy, Inc. and Clearway Energy LLC</w:t>
            </w: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0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6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106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Cash:</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6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Accounts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060" w:type="dxa"/>
            <w:vAlign w:val="bottom"/>
          </w:tcPr>
          <w:p>
            <w:pPr>
              <w:spacing w:after="0"/>
              <w:rPr>
                <w:sz w:val="21"/>
                <w:szCs w:val="21"/>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Reserve Accounts</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10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106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Cash</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43"/>
        </w:trPr>
        <w:tc>
          <w:tcPr>
            <w:tcW w:w="106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Revolver Availability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10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1060" w:type="dxa"/>
            <w:vAlign w:val="bottom"/>
          </w:tcPr>
          <w:p>
            <w:pPr>
              <w:spacing w:after="0"/>
              <w:rPr>
                <w:sz w:val="22"/>
                <w:szCs w:val="22"/>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r>
      <w:tr>
        <w:trPr>
          <w:trHeight w:val="20"/>
        </w:trPr>
        <w:tc>
          <w:tcPr>
            <w:tcW w:w="106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liquidity as of September 30, 2018, was $814 million, an increase of $132 million from December 31, 2017. This increase was primarily driven by an expansion in availability under the revolving credit facility of $59 million, as well as an increase in total cash of $73 million primarily resulting from the $75 million equity offering completed in September 2018.</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October, and as further described below, the Company issued $600 million of 2025 Senior Notes. A portion of these proceeds was used to fund the repurchase of $352 million of the 2019 and 2020 Convertible Notes tendered as part of the Fundamental Change Tender Offer. Also, in October, the Company terminated certain letters of credit outstanding under its corporate revolving credit facility relating to project PPAs in exchange for a one-time cash payment. Due primarily to this transaction the Company’s availability under the revolving credit facility was $450 million as of October 31, 2018. Lastly, on October 31, 2018, the Company terminated the Bridge Credit Agreement previously assumed from GIP on August 31, 2018 in connection with the NRG Transaction.</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the existing $150 million ATM program, of which $38 million remained available as of November 6, 2018, availability under the revolving credit facility, and, subject to market conditions, new corporate financings.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Carlsbad Energy Center Acquisition</w:t>
      </w:r>
    </w:p>
    <w:p>
      <w:pPr>
        <w:spacing w:after="0" w:line="36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On February 6, 2018, the Company signed a binding agreement with NRG Energy, Inc. to acquire the under construction 527 MW Carlsbad Energy Center for a cash consideration of $365 million plus the assumption of non-recourse debt of $601 million at completion of the project. The cash consideration for the project has been subject to certain transaction adjustments, including the Company's stock price prior to funding. As contemplated in the agreement between the parties, the VWAP Adjustment Amount, which was triggered by the Company's September equity offering, adjusted the cash consideration to acquire the project to an estimated $380 million</w:t>
      </w:r>
      <w:r>
        <w:rPr>
          <w:rFonts w:ascii="Arial" w:cs="Arial" w:eastAsia="Arial" w:hAnsi="Arial"/>
          <w:sz w:val="22"/>
          <w:szCs w:val="22"/>
          <w:color w:val="auto"/>
          <w:vertAlign w:val="superscript"/>
        </w:rPr>
        <w:t>2</w:t>
      </w:r>
      <w:r>
        <w:rPr>
          <w:rFonts w:ascii="Arial" w:cs="Arial" w:eastAsia="Arial" w:hAnsi="Arial"/>
          <w:sz w:val="16"/>
          <w:szCs w:val="16"/>
          <w:color w:val="auto"/>
        </w:rPr>
        <w:t>. There will be no subsequent changes in purchase price due to the VWAP Adjustment Amount. The transaction is now expected to close in January 2019 and is expected to contribute CAFD on an average annual basis of approximately $40 million</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prior to corporate financing.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Hawaii Solar Drop Down Acquisition</w:t>
      </w:r>
    </w:p>
    <w:p>
      <w:pPr>
        <w:spacing w:after="0" w:line="3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August 31, 2018, the Company signed a binding agreement to purchase 80 MW of utility-scale solar projects located in Kawailoa and Oahu, Hawaii, from Clearway Group for a cash consideration of $28 million plus the assumption of non-recourse debt of $169 million. The purchase price for the Hawaii Solar projects will be funded with existing liquidity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3"/>
          <w:szCs w:val="13"/>
          <w:color w:val="auto"/>
        </w:rPr>
        <w:t>Subject to terms and conditions at the closing of the Carlsbad Transaction</w:t>
      </w:r>
    </w:p>
    <w:p>
      <w:pPr>
        <w:spacing w:after="0" w:line="25"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13"/>
          <w:szCs w:val="13"/>
          <w:color w:val="auto"/>
        </w:rPr>
        <w:t>3 CAFD average over the 5-year period from 2019-2023</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right="220"/>
        <w:spacing w:after="0" w:line="216" w:lineRule="auto"/>
        <w:rPr>
          <w:sz w:val="20"/>
          <w:szCs w:val="20"/>
          <w:color w:val="auto"/>
        </w:rPr>
      </w:pPr>
      <w:r>
        <w:rPr>
          <w:rFonts w:ascii="Arial" w:cs="Arial" w:eastAsia="Arial" w:hAnsi="Arial"/>
          <w:sz w:val="18"/>
          <w:szCs w:val="18"/>
          <w:color w:val="auto"/>
        </w:rPr>
        <w:t>expected to contribute CAFD on an average annual basis of approximately $2.6 million beginning in 2020</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prior to corporate financing. The closing of this transaction is subject to customary closing conditions and is expected to be completed in summer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Signed Repowering Partnership Agreement with Clearway Group</w:t>
      </w:r>
    </w:p>
    <w:p>
      <w:pPr>
        <w:spacing w:after="0" w:line="3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September 11, 2018, the Company announced a repowering partnership with Clearway Group for 283 MW of wind assets (Wildorado and Elbow Creek). To facilitate this new partnership, the Company also agreed to buy out the existing TE Holdco tax equity partner for $19 million, subject to purchase price adjustments, during the first quarter of 2019. The Company expects to provide further updates with respect to this buyout and the Repowering Partnership in the second quarter of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Agua Caliente Drop Down Offer from NRG Energy, Inc.</w:t>
      </w:r>
    </w:p>
    <w:p>
      <w:pPr>
        <w:spacing w:after="0" w:line="26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November 1, 2018, NRG offered the Company the opportunity to acquire Agua Caliente Borrower 1, LLC, which owns a 35% interest in Agua Caliente, a 290 MW utility-scale solar project located in Dateland, Arizona. Pursuant to the terms of the Consent and Indemnity Agreement entered into by the Company and NRG, the Company expects to acquire this asset for a cash consideration of between $115-$120 million and assumed non-recourse debt of approximately $360 million</w:t>
      </w:r>
      <w:r>
        <w:rPr>
          <w:rFonts w:ascii="Arial" w:cs="Arial" w:eastAsia="Arial" w:hAnsi="Arial"/>
          <w:sz w:val="24"/>
          <w:szCs w:val="24"/>
          <w:color w:val="auto"/>
          <w:vertAlign w:val="superscript"/>
        </w:rPr>
        <w:t>5</w:t>
      </w:r>
      <w:r>
        <w:rPr>
          <w:rFonts w:ascii="Arial" w:cs="Arial" w:eastAsia="Arial" w:hAnsi="Arial"/>
          <w:sz w:val="17"/>
          <w:szCs w:val="17"/>
          <w:color w:val="auto"/>
        </w:rPr>
        <w:t>. The purchase price will be funded with existing liquidity and is expected to contribute CAFD on an average annual basis of approximately $12 million beginning in 2019</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prior to corporate financing. The closing of this transaction is subject to entering into a binding agreement with customary closing conditions and is expected to be completed in the first quarter of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Signed Agreement with Mylan Pharmaceuticals</w:t>
      </w:r>
    </w:p>
    <w:p>
      <w:pPr>
        <w:spacing w:after="0" w:line="36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November 1, 2018, the Company entered into an Energy Services Agreement with Mylan LLC to supply chilled water, hot water and electricity through a dedicated combined heat and power facility to be constructed at Mylan’s Caguas, Puerto Rico facility. The Company anticipates the project will require $11 million in capital and commence commercial operations in the second quarter of 2019. Once operational, the project is expected to deliver approximately $1.3 million of average annual CAFD</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on an unlevered basis prior to corporate financing.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October 1, 2018, Clearway Energy Operating LLC issued $600 million of senior unsecured notes, or the 2025 Senior Notes. The 2025 Senior Notes bear interest at 5.75% and mature on October 15, 2025. Interest on the notes is payable semi-annually on April 15 and October 15 of each year, and interest payments will commence on April 15, 2019. The 2025 Senior Notes are senior unsecured obligations of Clearway Energy Operating LLC and are guaranteed by Clearway Energy LLC, and by certain wholly owned current and future subsidiaries of Clearway Energy Operating LLC. The Company used a portion of the net proceeds from this offering to fund the tender offer repurchases noted below. The Company also intends to use the proceeds to fund growth investments, including the partial funding of the Carlsbad project acquisition, or for general corporate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Stock Issuance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27, 2018, Clearway Energy, Inc. issued 3,916,449 shares of Class C common stock at $19.15 per share for net proceeds of $75 million. The Company intends to use these proceeds to fund growth investments, including the partial funding of the Carlsbad project acquisition, or for general corporate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Fundamental Change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4 CAFD average over the 5-year period from 2020-2024</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5 Anticipated balances at closing of approximately $86 million Agua Borrower 1 Holdco debt and $274 million pro-rate share of project level debt</w:t>
      </w:r>
    </w:p>
    <w:p>
      <w:pPr>
        <w:spacing w:after="0"/>
        <w:rPr>
          <w:sz w:val="20"/>
          <w:szCs w:val="20"/>
          <w:color w:val="auto"/>
        </w:rPr>
      </w:pPr>
      <w:r>
        <w:rPr>
          <w:rFonts w:ascii="Arial" w:cs="Arial" w:eastAsia="Arial" w:hAnsi="Arial"/>
          <w:sz w:val="13"/>
          <w:szCs w:val="13"/>
          <w:color w:val="auto"/>
        </w:rPr>
        <w:t>6 CAFD average over the 5-year period from 2019-2023</w:t>
      </w:r>
    </w:p>
    <w:p>
      <w:pPr>
        <w:spacing w:after="0"/>
        <w:rPr>
          <w:sz w:val="20"/>
          <w:szCs w:val="20"/>
          <w:color w:val="auto"/>
        </w:rPr>
      </w:pPr>
      <w:r>
        <w:rPr>
          <w:rFonts w:ascii="Arial" w:cs="Arial" w:eastAsia="Arial" w:hAnsi="Arial"/>
          <w:sz w:val="25"/>
          <w:szCs w:val="25"/>
          <w:color w:val="auto"/>
          <w:vertAlign w:val="superscript"/>
        </w:rPr>
        <w:t>7</w:t>
      </w:r>
      <w:r>
        <w:rPr>
          <w:rFonts w:ascii="Arial" w:cs="Arial" w:eastAsia="Arial" w:hAnsi="Arial"/>
          <w:sz w:val="13"/>
          <w:szCs w:val="13"/>
          <w:color w:val="auto"/>
        </w:rPr>
        <w:t xml:space="preserve"> CAFD average over the 5-year period from 2019-2023</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8" w:right="239" w:bottom="1440" w:gutter="0" w:footer="0" w:header="0"/>
        </w:sectPr>
      </w:pPr>
    </w:p>
    <w:bookmarkStart w:id="7" w:name="page8"/>
    <w:bookmarkEnd w:id="7"/>
    <w:p>
      <w:pPr>
        <w:ind w:right="40"/>
        <w:spacing w:after="0" w:line="293" w:lineRule="auto"/>
        <w:rPr>
          <w:sz w:val="20"/>
          <w:szCs w:val="20"/>
          <w:color w:val="auto"/>
        </w:rPr>
      </w:pPr>
      <w:r>
        <w:rPr>
          <w:rFonts w:ascii="Arial" w:cs="Arial" w:eastAsia="Arial" w:hAnsi="Arial"/>
          <w:sz w:val="16"/>
          <w:szCs w:val="16"/>
          <w:color w:val="auto"/>
        </w:rPr>
        <w:t>On September 10, 2018, pursuant to the indentures for the 2019 Convertible Notes and the 2020 Convertible Notes,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$220 million aggregate principal amount of the 2019 Convertible Notes remain outstanding and $45 million aggregate principal amount of the 2020 Convertible Notes remain outstanding.</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Update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Clearway Energy, Inc.’s Board of Directors declared a quarterly dividend on Class A and Class C common stock of $0.331 per share (approximately $1.32 per share annualized) payable on December 17, 2018, to stockholders of record as of December 3, 2018. This equates to a 3.4% increase over the prior quarter and a 15% year-over-year increase.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Clearway Energy, Inc.’s quarterly operating results are impacted by seasonal factors, as well as variability in renewable energy resources. The majority of Clearway Energy, Inc.’s revenues are generated from the months of May through September, as contracted pricing and renewable resources are at their highest levels in the Company’s core markets. Factors driving the fluctuation in Net Income, Adjusted EBITDA, Cash from Operating Activities, and CAFD include the following:</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 on a quarterly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and 2019 Financial Guidance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Clearway Energy, Inc. is maintaining 2018 full year financial guidance of Adjusted EBITDA guidance of $985 million and Cash Available for Distribution of $285 million.</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is also initiating 2019 financial guidance Cash Available for Distribution of $295 million. This financial guidance factors in the impact of the financing updates described in this press release, the contribution of committed growth investments based on the current expected closing timelines and the assumed refinancing of the 2020 convertible notes which tendered in October 2018. Financial guidance for 2019 also excludes any impact from the recently offered drop down of Agua Caliente Borrower 1, LLC from NRG Energy,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Financial guidance for both 2018 and 2019 continues to be based on median renewable energy production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 is targeting dividend per share growth of 5-8% annually on each of its Class A and Class C common stock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6, 2018,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84" w:right="23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(GIP), an independent infrastructure fund manager that invests in infrastructure and businesses in both OECD and select emerging market countries, through GIP’s portfolio company, Clearway Energy Group.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the benefits of the new relationship with Global Infrastructure Partners III (GIP) and GIP’s expertise, the Company’s future relationship and arrangements with GIP and Clearway Energy Group, as well as our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0" w:lineRule="exact"/>
        <w:rPr>
          <w:sz w:val="20"/>
          <w:szCs w:val="20"/>
          <w:color w:val="auto"/>
        </w:rPr>
      </w:pPr>
    </w:p>
    <w:p>
      <w:pPr>
        <w:spacing w:after="0" w:line="2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our ability to access capital markets, cyber terrorism and inadequate cybersecurity, the ability to engage in successful acquisitions activity, potential risks to the company as a result of NRG’s sale of its ownership interest in the Company, including unanticipated liabilities in connection with the sale or the reaction of customer, partners or lenders to the transaction, unanticipated outages at our generation facilities, adverse results in current and future litigation, failure to identify, execute or successfully implement acquisitions (including receipt of third party consents and regulatory approvals), our ability to enter into new contracts as existing contracts expire, our ability to acquire assets from NRG Energy, Inc., GIP III Zephyr Acquisition Partners, L.P., Clearway Energy Group or third parties, our ability to close drop down transactions, and our ability to maintain and grow our quarterly dividends. Furthermore, any dividends are subject to available capital, market conditions, and compliance with associated laws and regulations.</w:t>
      </w:r>
    </w:p>
    <w:p>
      <w:pPr>
        <w:spacing w:after="0" w:line="200" w:lineRule="exact"/>
        <w:rPr>
          <w:sz w:val="20"/>
          <w:szCs w:val="20"/>
          <w:color w:val="auto"/>
        </w:rPr>
      </w:pPr>
    </w:p>
    <w:p>
      <w:pPr>
        <w:spacing w:after="0" w:line="29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Clearway Energy, Inc. undertakes no obligation to update or revise any forward-looking statements, whether as a result of new information, future events or otherwise. The Adjusted EBITDA and Cash Available for Distribution are estimates as of today’s date, November 6, 2018, and are based on assumptions believed to be reasonable as of this date. Clearway Energy expressly disclaims any current intention to update such guidance.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with the Securities and Exchange Commission at www.sec.gov. In addition, Clearway Energy makes available free of charge at www.clearwayenergy.com, copies of materials it files with, or furnishes to, the SEC.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420"/>
          </w:cols>
          <w:pgMar w:left="240" w:top="368" w:right="239" w:bottom="1440" w:gutter="0" w:footer="0" w:header="0"/>
        </w:sectPr>
      </w:pPr>
    </w:p>
    <w:p>
      <w:pPr>
        <w:spacing w:after="0" w:line="207" w:lineRule="exact"/>
        <w:rPr>
          <w:sz w:val="20"/>
          <w:szCs w:val="20"/>
          <w:color w:val="auto"/>
        </w:rPr>
      </w:pPr>
    </w:p>
    <w:p>
      <w:pPr>
        <w:ind w:left="660"/>
        <w:spacing w:after="0" w:line="303" w:lineRule="auto"/>
        <w:rPr>
          <w:sz w:val="20"/>
          <w:szCs w:val="20"/>
          <w:color w:val="auto"/>
        </w:rPr>
      </w:pPr>
      <w:r>
        <w:rPr>
          <w:rFonts w:ascii="Arial" w:cs="Arial" w:eastAsia="Arial" w:hAnsi="Arial"/>
          <w:sz w:val="16"/>
          <w:szCs w:val="16"/>
          <w:b w:val="1"/>
          <w:bCs w:val="1"/>
          <w:color w:val="auto"/>
        </w:rPr>
        <w:t xml:space="preserve">Investors: Media: </w:t>
      </w:r>
      <w:r>
        <w:rPr>
          <w:rFonts w:ascii="Arial" w:cs="Arial" w:eastAsia="Arial" w:hAnsi="Arial"/>
          <w:sz w:val="16"/>
          <w:szCs w:val="16"/>
          <w:color w:val="auto"/>
        </w:rPr>
        <w:t>Akil Marsh Ray Long akil.marsh@clearwayenergy.com 609-608-1500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media@clearwayenergy.com</w:t>
      </w:r>
    </w:p>
    <w:p>
      <w:pPr>
        <w:spacing w:after="0" w:line="508" w:lineRule="exact"/>
        <w:rPr>
          <w:sz w:val="20"/>
          <w:szCs w:val="20"/>
          <w:color w:val="auto"/>
        </w:rPr>
      </w:pPr>
    </w:p>
    <w:p>
      <w:pPr>
        <w:sectPr>
          <w:pgSz w:w="11900" w:h="16838" w:orient="portrait"/>
          <w:cols w:equalWidth="0" w:num="2">
            <w:col w:w="3060" w:space="360"/>
            <w:col w:w="8000"/>
          </w:cols>
          <w:pgMar w:left="240" w:top="36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2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778</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Development costs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33"/>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(loss) income of Drop Down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 Excluding Pre-acquisition Net Income of Drop Down Assets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Net Income Attributable to Clearway Energy,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r>
      <w:tr>
        <w:trPr>
          <w:trHeight w:val="166"/>
        </w:trPr>
        <w:tc>
          <w:tcPr>
            <w:tcW w:w="606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7"/>
                <w:szCs w:val="17"/>
                <w:b w:val="1"/>
                <w:bCs w:val="1"/>
                <w:color w:val="auto"/>
                <w:w w:val="95"/>
              </w:rPr>
              <w:t>Earnings Per Share Attributable to Clearway Energy, Inc. Class A and Class C</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3"/>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30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w w:val="97"/>
              </w:rPr>
              <w:t>Earnings per Weighted Average Class A and Class C Common Share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Earnings per Weighted Average Class A Common Share - Diluted</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Earnings per Weighted Average Class C Common Share - Diluted</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Dividends Per Class A Common Share</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Dividends Per Class C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0.927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0.81</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97"/>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16"/>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 net of tax</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Unrealized gain on derivatives, net of income tax expense of $1, $0, $4 and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(loss) income of Drop Down Assets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Income Attributable to Clearway Energy,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4" w:right="239" w:bottom="1440" w:gutter="0" w:footer="0" w:header="0"/>
        </w:sectPr>
      </w:pPr>
    </w:p>
    <w:bookmarkStart w:id="11" w:name="page12"/>
    <w:bookmarkEnd w:id="11"/>
    <w:p>
      <w:pPr>
        <w:jc w:val="center"/>
        <w:ind w:right="48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36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3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0940"/>
          </w:cols>
          <w:pgMar w:left="720" w:top="364" w:right="239" w:bottom="1440" w:gutter="0" w:footer="0" w:header="0"/>
        </w:sectPr>
      </w:pPr>
    </w:p>
    <w:p>
      <w:pPr>
        <w:ind w:left="16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6654800" cy="909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909320"/>
                    </a:xfrm>
                    <a:prstGeom prst="rect">
                      <a:avLst/>
                    </a:prstGeom>
                    <a:noFill/>
                  </pic:spPr>
                </pic:pic>
              </a:graphicData>
            </a:graphic>
          </wp:anchor>
        </w:drawing>
      </w:r>
    </w:p>
    <w:p>
      <w:pPr>
        <w:spacing w:after="0" w:line="215" w:lineRule="exact"/>
        <w:rPr>
          <w:sz w:val="20"/>
          <w:szCs w:val="20"/>
          <w:color w:val="auto"/>
        </w:rPr>
      </w:pPr>
    </w:p>
    <w:p>
      <w:pPr>
        <w:ind w:left="160" w:right="560"/>
        <w:spacing w:after="0" w:line="270"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 193,137,143 shares issued and outstanding (Class A 34,586,250, Class B 42,738,750, Class C 73,073,393, Class D 42,738,750) at September 30, 2018 and 184,780,837 shares issued and outstanding (Class A 34,586,250, Class B 42,738,750, Class C 64,717,087, Class D 42,738,750) at December 31, 2017</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Retained earnings (accumulated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1,935</w:t>
            </w:r>
          </w:p>
        </w:tc>
        <w:tc>
          <w:tcPr>
            <w:tcW w:w="112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13</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(14)</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440</w:t>
            </w: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17145</wp:posOffset>
            </wp:positionV>
            <wp:extent cx="2195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7480" w:space="720"/>
            <w:col w:w="2740"/>
          </w:cols>
          <w:pgMar w:left="72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70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r>
      <w:tr>
        <w:trPr>
          <w:trHeight w:val="20"/>
        </w:trPr>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720" w:top="364" w:right="239" w:bottom="1440" w:gutter="0" w:footer="0" w:header="0"/>
          <w:type w:val="continuous"/>
        </w:sectPr>
      </w:pPr>
    </w:p>
    <w:p>
      <w:pPr>
        <w:spacing w:after="0" w:line="30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940"/>
          </w:cols>
          <w:pgMar w:left="720" w:top="364" w:right="239" w:bottom="1440" w:gutter="0" w:footer="0" w:header="0"/>
          <w:type w:val="continuous"/>
        </w:sectPr>
      </w:pPr>
    </w:p>
    <w:bookmarkStart w:id="12" w:name="page13"/>
    <w:bookmarkEnd w:id="12"/>
    <w:p>
      <w:pPr>
        <w:jc w:val="center"/>
        <w:ind w:right="40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0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50"/>
        </w:trPr>
        <w:tc>
          <w:tcPr>
            <w:tcW w:w="8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Impairment losses</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deferred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Derivative interest income</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disposal of asset components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0"/>
        </w:trPr>
        <w:tc>
          <w:tcPr>
            <w:tcW w:w="8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640" w:top="364" w:right="239" w:bottom="1440" w:gutter="0" w:footer="0" w:header="0"/>
        </w:sectPr>
      </w:pPr>
    </w:p>
    <w:p>
      <w:pPr>
        <w:spacing w:after="0" w:line="30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020"/>
          </w:cols>
          <w:pgMar w:left="640" w:top="36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 xml:space="preserve">Appendix Table A-1: </w:t>
      </w:r>
      <w:r>
        <w:rPr>
          <w:rFonts w:ascii="Arial" w:cs="Arial" w:eastAsia="Arial" w:hAnsi="Arial"/>
          <w:sz w:val="18"/>
          <w:szCs w:val="18"/>
          <w:b w:val="1"/>
          <w:bCs w:val="1"/>
          <w:color w:val="auto"/>
        </w:rPr>
        <w:t>Three Months Ended September 30, 2018</w:t>
      </w:r>
      <w:r>
        <w:rPr>
          <w:rFonts w:ascii="Arial" w:cs="Arial" w:eastAsia="Arial" w:hAnsi="Arial"/>
          <w:sz w:val="20"/>
          <w:szCs w:val="20"/>
          <w:b w:val="1"/>
          <w:bCs w:val="1"/>
          <w:color w:val="auto"/>
        </w:rPr>
        <w:t>,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59"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Pr>
          <w:p>
            <w:pPr>
              <w:jc w:val="right"/>
              <w:ind w:right="12"/>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6"/>
                <w:szCs w:val="16"/>
                <w:color w:val="auto"/>
              </w:rPr>
              <w:t>49</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20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290</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Appendix Table A-2: </w:t>
      </w:r>
      <w:r>
        <w:rPr>
          <w:rFonts w:ascii="Arial" w:cs="Arial" w:eastAsia="Arial" w:hAnsi="Arial"/>
          <w:sz w:val="18"/>
          <w:szCs w:val="18"/>
          <w:b w:val="1"/>
          <w:bCs w:val="1"/>
          <w:color w:val="auto"/>
        </w:rPr>
        <w:t>Three Months Ended September 30, 2017</w:t>
      </w:r>
      <w:r>
        <w:rPr>
          <w:rFonts w:ascii="Arial" w:cs="Arial" w:eastAsia="Arial" w:hAnsi="Arial"/>
          <w:sz w:val="20"/>
          <w:szCs w:val="20"/>
          <w:b w:val="1"/>
          <w:bCs w:val="1"/>
          <w:color w:val="auto"/>
        </w:rPr>
        <w:t>,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Pr>
          <w:p>
            <w:pPr>
              <w:jc w:val="right"/>
              <w:ind w:right="1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6"/>
                <w:szCs w:val="16"/>
                <w:color w:val="auto"/>
              </w:rPr>
              <w:t>31</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Impairment Losses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173</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18</w:t>
            </w: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270</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 xml:space="preserve">Appendix Table A-3: </w:t>
      </w:r>
      <w:r>
        <w:rPr>
          <w:rFonts w:ascii="Arial" w:cs="Arial" w:eastAsia="Arial" w:hAnsi="Arial"/>
          <w:sz w:val="18"/>
          <w:szCs w:val="18"/>
          <w:b w:val="1"/>
          <w:bCs w:val="1"/>
          <w:color w:val="auto"/>
        </w:rPr>
        <w:t>Nine Months Ended September 30, 2018</w:t>
      </w:r>
      <w:r>
        <w:rPr>
          <w:rFonts w:ascii="Arial" w:cs="Arial" w:eastAsia="Arial" w:hAnsi="Arial"/>
          <w:sz w:val="20"/>
          <w:szCs w:val="20"/>
          <w:b w:val="1"/>
          <w:bCs w:val="1"/>
          <w:color w:val="auto"/>
        </w:rPr>
        <w:t>,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145</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783</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Appendix Table A-4: </w:t>
      </w:r>
      <w:r>
        <w:rPr>
          <w:rFonts w:ascii="Arial" w:cs="Arial" w:eastAsia="Arial" w:hAnsi="Arial"/>
          <w:sz w:val="18"/>
          <w:szCs w:val="18"/>
          <w:b w:val="1"/>
          <w:bCs w:val="1"/>
          <w:color w:val="auto"/>
        </w:rPr>
        <w:t>Nine Months Ended September 30, 2017</w:t>
      </w:r>
      <w:r>
        <w:rPr>
          <w:rFonts w:ascii="Arial" w:cs="Arial" w:eastAsia="Arial" w:hAnsi="Arial"/>
          <w:sz w:val="20"/>
          <w:szCs w:val="20"/>
          <w:b w:val="1"/>
          <w:bCs w:val="1"/>
          <w:color w:val="auto"/>
        </w:rPr>
        <w:t>,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73</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730</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9"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78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2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9/30/18</w:t>
            </w:r>
          </w:p>
        </w:tc>
        <w:tc>
          <w:tcPr>
            <w:tcW w:w="120" w:type="dxa"/>
            <w:vAlign w:val="bottom"/>
          </w:tcPr>
          <w:p>
            <w:pPr>
              <w:spacing w:after="0"/>
              <w:rPr>
                <w:sz w:val="23"/>
                <w:szCs w:val="23"/>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9/30/17</w:t>
            </w:r>
          </w:p>
        </w:tc>
        <w:tc>
          <w:tcPr>
            <w:tcW w:w="10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9/30/18</w:t>
            </w:r>
          </w:p>
        </w:tc>
        <w:tc>
          <w:tcPr>
            <w:tcW w:w="120" w:type="dxa"/>
            <w:vAlign w:val="bottom"/>
          </w:tcPr>
          <w:p>
            <w:pPr>
              <w:spacing w:after="0"/>
              <w:rPr>
                <w:sz w:val="23"/>
                <w:szCs w:val="23"/>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9/30/17</w:t>
            </w:r>
          </w:p>
        </w:tc>
      </w:tr>
      <w:tr>
        <w:trPr>
          <w:trHeight w:val="27"/>
        </w:trPr>
        <w:tc>
          <w:tcPr>
            <w:tcW w:w="5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r>
      <w:tr>
        <w:trPr>
          <w:trHeight w:val="237"/>
        </w:trPr>
        <w:tc>
          <w:tcPr>
            <w:tcW w:w="5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5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42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542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r>
      <w:tr>
        <w:trPr>
          <w:trHeight w:val="27"/>
        </w:trPr>
        <w:tc>
          <w:tcPr>
            <w:tcW w:w="5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420" w:type="dxa"/>
            <w:vAlign w:val="bottom"/>
          </w:tcPr>
          <w:p>
            <w:pPr>
              <w:ind w:left="140"/>
              <w:spacing w:after="0"/>
              <w:rPr>
                <w:sz w:val="20"/>
                <w:szCs w:val="20"/>
                <w:color w:val="auto"/>
              </w:rPr>
            </w:pPr>
            <w:r>
              <w:rPr>
                <w:rFonts w:ascii="Arial" w:cs="Arial" w:eastAsia="Arial" w:hAnsi="Arial"/>
                <w:sz w:val="18"/>
                <w:szCs w:val="18"/>
                <w:color w:val="auto"/>
              </w:rPr>
              <w:t>Development Expenses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420" w:type="dxa"/>
            <w:vAlign w:val="bottom"/>
          </w:tcPr>
          <w:p>
            <w:pPr>
              <w:ind w:left="160"/>
              <w:spacing w:after="0" w:line="270" w:lineRule="exact"/>
              <w:rPr>
                <w:sz w:val="20"/>
                <w:szCs w:val="20"/>
                <w:color w:val="auto"/>
              </w:rPr>
            </w:pPr>
            <w:r>
              <w:rPr>
                <w:rFonts w:ascii="Arial" w:cs="Arial" w:eastAsia="Arial" w:hAnsi="Arial"/>
                <w:sz w:val="18"/>
                <w:szCs w:val="18"/>
                <w:color w:val="auto"/>
              </w:rPr>
              <w:t>Net contributions from/(to) non-controlling interest</w:t>
            </w:r>
            <w:r>
              <w:rPr>
                <w:rFonts w:ascii="Arial" w:cs="Arial" w:eastAsia="Arial" w:hAnsi="Arial"/>
                <w:sz w:val="25"/>
                <w:szCs w:val="25"/>
                <w:color w:val="auto"/>
                <w:vertAlign w:val="superscript"/>
              </w:rPr>
              <w:t>8</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4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420" w:type="dxa"/>
            <w:vAlign w:val="bottom"/>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10</w:t>
            </w: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5420" w:type="dxa"/>
            <w:vAlign w:val="bottom"/>
            <w:tcBorders>
              <w:bottom w:val="single" w:sz="8" w:color="auto"/>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11</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Cash Available for Distribution (Recast)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214</w:t>
            </w:r>
          </w:p>
        </w:tc>
      </w:tr>
      <w:tr>
        <w:trPr>
          <w:trHeight w:val="27"/>
        </w:trPr>
        <w:tc>
          <w:tcPr>
            <w:tcW w:w="5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shd w:val="clear" w:color="auto" w:fill="CCEEFF"/>
          </w:tcPr>
          <w:p>
            <w:pPr>
              <w:ind w:left="160"/>
              <w:spacing w:after="0" w:line="264" w:lineRule="exact"/>
              <w:rPr>
                <w:sz w:val="20"/>
                <w:szCs w:val="20"/>
                <w:color w:val="auto"/>
              </w:rPr>
            </w:pPr>
            <w:r>
              <w:rPr>
                <w:rFonts w:ascii="Arial" w:cs="Arial" w:eastAsia="Arial" w:hAnsi="Arial"/>
                <w:sz w:val="18"/>
                <w:szCs w:val="18"/>
                <w:color w:val="auto"/>
                <w:w w:val="99"/>
              </w:rPr>
              <w:t>Adjustment to reflect CWEN's CAFD pre Drop Down acquisition</w:t>
            </w:r>
            <w:r>
              <w:rPr>
                <w:rFonts w:ascii="Arial" w:cs="Arial" w:eastAsia="Arial" w:hAnsi="Arial"/>
                <w:sz w:val="25"/>
                <w:szCs w:val="25"/>
                <w:color w:val="auto"/>
                <w:w w:val="99"/>
                <w:vertAlign w:val="superscript"/>
              </w:rPr>
              <w:t>12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r>
      <w:tr>
        <w:trPr>
          <w:trHeight w:val="27"/>
        </w:trPr>
        <w:tc>
          <w:tcPr>
            <w:tcW w:w="5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5"/>
          <w:szCs w:val="25"/>
          <w:color w:val="auto"/>
          <w:vertAlign w:val="superscript"/>
        </w:rPr>
      </w:pPr>
      <w:r>
        <w:rPr>
          <w:rFonts w:ascii="Arial" w:cs="Arial" w:eastAsia="Arial" w:hAnsi="Arial"/>
          <w:sz w:val="13"/>
          <w:szCs w:val="13"/>
          <w:color w:val="auto"/>
        </w:rPr>
        <w:t>Excludes $99 million of contributions in 2018 related to funding of Buckthorn Solar tax equity partnership</w:t>
      </w:r>
    </w:p>
    <w:p>
      <w:pPr>
        <w:ind w:left="120" w:hanging="112"/>
        <w:spacing w:after="0" w:line="191" w:lineRule="auto"/>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3"/>
          <w:szCs w:val="13"/>
          <w:color w:val="auto"/>
        </w:rPr>
        <w:t>Net of allocated insurance proceeds</w:t>
      </w:r>
    </w:p>
    <w:p>
      <w:pPr>
        <w:spacing w:after="0" w:line="78" w:lineRule="exact"/>
        <w:rPr>
          <w:sz w:val="20"/>
          <w:szCs w:val="20"/>
          <w:color w:val="auto"/>
        </w:rPr>
      </w:pPr>
    </w:p>
    <w:p>
      <w:pPr>
        <w:ind w:right="180" w:firstLine="8"/>
        <w:spacing w:after="0"/>
        <w:tabs>
          <w:tab w:leader="none" w:pos="171" w:val="left"/>
        </w:tabs>
        <w:numPr>
          <w:ilvl w:val="0"/>
          <w:numId w:val="7"/>
        </w:numPr>
        <w:rPr>
          <w:rFonts w:ascii="Arial" w:cs="Arial" w:eastAsia="Arial" w:hAnsi="Arial"/>
          <w:sz w:val="21"/>
          <w:szCs w:val="21"/>
          <w:color w:val="auto"/>
          <w:vertAlign w:val="superscript"/>
        </w:rPr>
      </w:pPr>
      <w:r>
        <w:rPr>
          <w:rFonts w:ascii="Arial" w:cs="Arial" w:eastAsia="Arial" w:hAnsi="Arial"/>
          <w:sz w:val="11"/>
          <w:szCs w:val="11"/>
          <w:color w:val="auto"/>
        </w:rPr>
        <w:t>Excludes $30 million in Q3 2017 for SPP discretionary debt retirements made by NRG as reflected in the financial statements due to common control; Excludes $62 million in 2018 for Buckthorn Solar debt term conversion;</w:t>
      </w:r>
    </w:p>
    <w:p>
      <w:pPr>
        <w:spacing w:after="0" w:line="126" w:lineRule="exact"/>
        <w:rPr>
          <w:rFonts w:ascii="Arial" w:cs="Arial" w:eastAsia="Arial" w:hAnsi="Arial"/>
          <w:sz w:val="21"/>
          <w:szCs w:val="21"/>
          <w:color w:val="auto"/>
          <w:vertAlign w:val="superscript"/>
        </w:rPr>
      </w:pPr>
    </w:p>
    <w:p>
      <w:pPr>
        <w:ind w:left="180" w:hanging="172"/>
        <w:spacing w:after="0" w:line="208" w:lineRule="auto"/>
        <w:tabs>
          <w:tab w:leader="none" w:pos="180" w:val="left"/>
        </w:tabs>
        <w:numPr>
          <w:ilvl w:val="0"/>
          <w:numId w:val="7"/>
        </w:numPr>
        <w:rPr>
          <w:rFonts w:ascii="Arial" w:cs="Arial" w:eastAsia="Arial" w:hAnsi="Arial"/>
          <w:sz w:val="23"/>
          <w:szCs w:val="23"/>
          <w:color w:val="auto"/>
          <w:vertAlign w:val="superscript"/>
        </w:rPr>
      </w:pPr>
      <w:r>
        <w:rPr>
          <w:rFonts w:ascii="Arial" w:cs="Arial" w:eastAsia="Arial" w:hAnsi="Arial"/>
          <w:sz w:val="12"/>
          <w:szCs w:val="12"/>
          <w:color w:val="auto"/>
        </w:rPr>
        <w:t>Cash receipts from notes receivable: reimbursement of network upgrades</w:t>
      </w:r>
    </w:p>
    <w:p>
      <w:pPr>
        <w:spacing w:after="0" w:line="77" w:lineRule="exact"/>
        <w:rPr>
          <w:rFonts w:ascii="Arial" w:cs="Arial" w:eastAsia="Arial" w:hAnsi="Arial"/>
          <w:sz w:val="23"/>
          <w:szCs w:val="23"/>
          <w:color w:val="auto"/>
          <w:vertAlign w:val="superscript"/>
        </w:rPr>
      </w:pPr>
    </w:p>
    <w:p>
      <w:pPr>
        <w:ind w:left="180" w:hanging="172"/>
        <w:spacing w:after="0" w:line="186" w:lineRule="auto"/>
        <w:tabs>
          <w:tab w:leader="none" w:pos="180" w:val="left"/>
        </w:tabs>
        <w:numPr>
          <w:ilvl w:val="0"/>
          <w:numId w:val="7"/>
        </w:numPr>
        <w:rPr>
          <w:rFonts w:ascii="Arial" w:cs="Arial" w:eastAsia="Arial" w:hAnsi="Arial"/>
          <w:sz w:val="17"/>
          <w:szCs w:val="17"/>
          <w:color w:val="auto"/>
          <w:vertAlign w:val="superscript"/>
        </w:rPr>
      </w:pPr>
      <w:r>
        <w:rPr>
          <w:rFonts w:ascii="Arial" w:cs="Arial" w:eastAsia="Arial" w:hAnsi="Arial"/>
          <w:sz w:val="10"/>
          <w:szCs w:val="10"/>
          <w:color w:val="auto"/>
        </w:rPr>
        <w:t>Adjustments to reflect drop down assets prior to ownership by Clearway Energy</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16" w:right="239" w:bottom="1440" w:gutter="0" w:footer="0" w:header="0"/>
        </w:sectPr>
      </w:pPr>
    </w:p>
    <w:bookmarkStart w:id="16" w:name="page17"/>
    <w:bookmarkEnd w:id="16"/>
    <w:p>
      <w:pPr>
        <w:ind w:right="220"/>
        <w:spacing w:after="0" w:line="267" w:lineRule="auto"/>
        <w:rPr>
          <w:sz w:val="20"/>
          <w:szCs w:val="20"/>
          <w:color w:val="auto"/>
        </w:rPr>
      </w:pPr>
      <w:r>
        <w:rPr>
          <w:rFonts w:ascii="Arial" w:cs="Arial" w:eastAsia="Arial" w:hAnsi="Arial"/>
          <w:sz w:val="20"/>
          <w:szCs w:val="20"/>
          <w:b w:val="1"/>
          <w:bCs w:val="1"/>
          <w:color w:val="auto"/>
        </w:rPr>
        <w:t xml:space="preserve">Appendix Table A-6: </w:t>
      </w:r>
      <w:r>
        <w:rPr>
          <w:rFonts w:ascii="Arial" w:cs="Arial" w:eastAsia="Arial" w:hAnsi="Arial"/>
          <w:sz w:val="18"/>
          <w:szCs w:val="18"/>
          <w:b w:val="1"/>
          <w:bCs w:val="1"/>
          <w:color w:val="auto"/>
        </w:rPr>
        <w:t>Nine Months Ended September 30, 2018</w:t>
      </w:r>
      <w:r>
        <w:rPr>
          <w:rFonts w:ascii="Arial" w:cs="Arial" w:eastAsia="Arial" w:hAnsi="Arial"/>
          <w:sz w:val="20"/>
          <w:szCs w:val="20"/>
          <w:b w:val="1"/>
          <w:bCs w:val="1"/>
          <w:color w:val="auto"/>
        </w:rPr>
        <w:t xml:space="preserve">, Sources and Uses of Liquidity </w:t>
      </w:r>
      <w:r>
        <w:rPr>
          <w:rFonts w:ascii="Arial" w:cs="Arial" w:eastAsia="Arial" w:hAnsi="Arial"/>
          <w:sz w:val="20"/>
          <w:szCs w:val="20"/>
          <w:color w:val="auto"/>
        </w:rPr>
        <w:t>The following table summarizes the sources and uses of liquidity in 2018:</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7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Sources:</w:t>
      </w:r>
    </w:p>
    <w:p>
      <w:pPr>
        <w:spacing w:after="0" w:line="9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long-term debt</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Net contributions from noncontrolling interests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Return of investment from unconsolidated affiliates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96485" cy="197485"/>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37465</wp:posOffset>
            </wp:positionV>
            <wp:extent cx="48964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long-term debt</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111"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Payments for the Drop Down Assets</w:t>
      </w:r>
    </w:p>
    <w:p>
      <w:pPr>
        <w:spacing w:after="0" w:line="6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96485" cy="205740"/>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37465</wp:posOffset>
            </wp:positionV>
            <wp:extent cx="40474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474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60"/>
        <w:spacing w:after="0"/>
        <w:rPr>
          <w:sz w:val="20"/>
          <w:szCs w:val="20"/>
          <w:color w:val="auto"/>
        </w:rPr>
      </w:pPr>
      <w:r>
        <w:rPr>
          <w:rFonts w:ascii="Arial" w:cs="Arial" w:eastAsia="Arial" w:hAnsi="Arial"/>
          <w:sz w:val="16"/>
          <w:szCs w:val="16"/>
          <w:b w:val="1"/>
          <w:bCs w:val="1"/>
          <w:color w:val="auto"/>
        </w:rPr>
        <w:t>Nine Months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9/30/18</w:t>
      </w:r>
    </w:p>
    <w:p>
      <w:pPr>
        <w:spacing w:after="0" w:line="369"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396</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227</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151</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93</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35</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22</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(385)</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(174)</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(126)</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(90)</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(62)</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(16)</w:t>
      </w:r>
    </w:p>
    <w:p>
      <w:pPr>
        <w:spacing w:after="0" w:line="393"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37465</wp:posOffset>
            </wp:positionV>
            <wp:extent cx="7804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041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960"/>
          </w:cols>
          <w:pgMar w:left="240" w:top="589" w:right="239" w:bottom="1440" w:gutter="0" w:footer="0" w:header="0"/>
        </w:sectPr>
      </w:pPr>
    </w:p>
    <w:p>
      <w:pPr>
        <w:spacing w:after="0" w:line="376"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589"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Appendix Table A-7: Adjusted EBITDA and Cash Available for Distribution Guidance</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2935" cy="18034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34290</wp:posOffset>
            </wp:positionV>
            <wp:extent cx="40563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6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Depreciation, Amortization, and 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Integration related costs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Adjustment to reflect CWEN share of Adjusted EBITDA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2935" cy="18034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34290</wp:posOffset>
            </wp:positionV>
            <wp:extent cx="4056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6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Changes in prepaid and accrued liabilities for tolling agreements</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Adjustment to reflect Walnut Creek investment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Pro-rata Adjusted EBITDA from unconsolidated affiliates</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Cash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2935" cy="18034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34290</wp:posOffset>
            </wp:positionV>
            <wp:extent cx="4056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6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contributions from non-controlling interest</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0293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Principal amortization of indebtedness</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Cash receipts from notes receivable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Full Year  2019 Full Year</w:t>
      </w:r>
    </w:p>
    <w:p>
      <w:pPr>
        <w:spacing w:after="0" w:line="35" w:lineRule="exact"/>
        <w:rPr>
          <w:sz w:val="20"/>
          <w:szCs w:val="20"/>
          <w:color w:val="auto"/>
        </w:rPr>
      </w:pPr>
    </w:p>
    <w:p>
      <w:pPr>
        <w:ind w:left="200"/>
        <w:spacing w:after="0"/>
        <w:tabs>
          <w:tab w:leader="none" w:pos="1360" w:val="left"/>
        </w:tabs>
        <w:rPr>
          <w:sz w:val="20"/>
          <w:szCs w:val="20"/>
          <w:color w:val="auto"/>
        </w:rPr>
      </w:pPr>
      <w:r>
        <w:rPr>
          <w:rFonts w:ascii="Arial" w:cs="Arial" w:eastAsia="Arial" w:hAnsi="Arial"/>
          <w:sz w:val="18"/>
          <w:szCs w:val="18"/>
          <w:b w:val="1"/>
          <w:bCs w:val="1"/>
          <w:color w:val="auto"/>
        </w:rPr>
        <w:t>Guidance</w:t>
      </w:r>
      <w:r>
        <w:rPr>
          <w:sz w:val="20"/>
          <w:szCs w:val="20"/>
          <w:color w:val="auto"/>
        </w:rPr>
        <w:tab/>
      </w:r>
      <w:r>
        <w:rPr>
          <w:rFonts w:ascii="Arial" w:cs="Arial" w:eastAsia="Arial" w:hAnsi="Arial"/>
          <w:sz w:val="18"/>
          <w:szCs w:val="18"/>
          <w:b w:val="1"/>
          <w:bCs w:val="1"/>
          <w:color w:val="auto"/>
        </w:rPr>
        <w:t>Guidance</w:t>
      </w:r>
      <w:r>
        <w:rPr>
          <w:rFonts w:ascii="Arial" w:cs="Arial" w:eastAsia="Arial" w:hAnsi="Arial"/>
          <w:sz w:val="25"/>
          <w:szCs w:val="25"/>
          <w:color w:val="auto"/>
          <w:vertAlign w:val="superscript"/>
        </w:rPr>
        <w:t>13</w:t>
      </w:r>
    </w:p>
    <w:p>
      <w:pPr>
        <w:spacing w:after="0" w:line="18" w:lineRule="exact"/>
        <w:rPr>
          <w:sz w:val="20"/>
          <w:szCs w:val="20"/>
          <w:color w:val="auto"/>
        </w:rPr>
      </w:pPr>
    </w:p>
    <w:p>
      <w:pPr>
        <w:ind w:left="860"/>
        <w:spacing w:after="0"/>
        <w:tabs>
          <w:tab w:leader="none" w:pos="2080" w:val="left"/>
        </w:tabs>
        <w:rPr>
          <w:sz w:val="20"/>
          <w:szCs w:val="20"/>
          <w:color w:val="auto"/>
        </w:rPr>
      </w:pPr>
      <w:r>
        <w:rPr>
          <w:rFonts w:ascii="Arial" w:cs="Arial" w:eastAsia="Arial" w:hAnsi="Arial"/>
          <w:sz w:val="16"/>
          <w:szCs w:val="16"/>
          <w:b w:val="1"/>
          <w:bCs w:val="1"/>
          <w:color w:val="auto"/>
        </w:rPr>
        <w:t>130</w:t>
      </w:r>
      <w:r>
        <w:rPr>
          <w:sz w:val="20"/>
          <w:szCs w:val="20"/>
          <w:color w:val="auto"/>
        </w:rPr>
        <w:tab/>
      </w:r>
      <w:r>
        <w:rPr>
          <w:rFonts w:ascii="Arial" w:cs="Arial" w:eastAsia="Arial" w:hAnsi="Arial"/>
          <w:sz w:val="16"/>
          <w:szCs w:val="16"/>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26035</wp:posOffset>
            </wp:positionV>
            <wp:extent cx="15779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66" w:lineRule="exact"/>
        <w:rPr>
          <w:sz w:val="20"/>
          <w:szCs w:val="20"/>
          <w:color w:val="auto"/>
        </w:rPr>
      </w:pPr>
    </w:p>
    <w:p>
      <w:pPr>
        <w:ind w:left="940"/>
        <w:spacing w:after="0"/>
        <w:tabs>
          <w:tab w:leader="none" w:pos="21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30</w:t>
      </w:r>
    </w:p>
    <w:p>
      <w:pPr>
        <w:spacing w:after="0" w:line="86" w:lineRule="exact"/>
        <w:rPr>
          <w:sz w:val="20"/>
          <w:szCs w:val="20"/>
          <w:color w:val="auto"/>
        </w:rPr>
      </w:pPr>
    </w:p>
    <w:p>
      <w:pPr>
        <w:ind w:left="860"/>
        <w:spacing w:after="0"/>
        <w:tabs>
          <w:tab w:leader="none" w:pos="2080" w:val="left"/>
        </w:tabs>
        <w:rPr>
          <w:sz w:val="20"/>
          <w:szCs w:val="20"/>
          <w:color w:val="auto"/>
        </w:rPr>
      </w:pPr>
      <w:r>
        <w:rPr>
          <w:rFonts w:ascii="Arial" w:cs="Arial" w:eastAsia="Arial" w:hAnsi="Arial"/>
          <w:sz w:val="16"/>
          <w:szCs w:val="16"/>
          <w:color w:val="auto"/>
        </w:rPr>
        <w:t>320</w:t>
      </w:r>
      <w:r>
        <w:rPr>
          <w:sz w:val="20"/>
          <w:szCs w:val="20"/>
          <w:color w:val="auto"/>
        </w:rPr>
        <w:tab/>
      </w:r>
      <w:r>
        <w:rPr>
          <w:rFonts w:ascii="Arial" w:cs="Arial" w:eastAsia="Arial" w:hAnsi="Arial"/>
          <w:sz w:val="16"/>
          <w:szCs w:val="16"/>
          <w:color w:val="auto"/>
        </w:rPr>
        <w:t>355</w:t>
      </w:r>
    </w:p>
    <w:p>
      <w:pPr>
        <w:spacing w:after="0" w:line="86" w:lineRule="exact"/>
        <w:rPr>
          <w:sz w:val="20"/>
          <w:szCs w:val="20"/>
          <w:color w:val="auto"/>
        </w:rPr>
      </w:pPr>
    </w:p>
    <w:p>
      <w:pPr>
        <w:ind w:left="860"/>
        <w:spacing w:after="0"/>
        <w:tabs>
          <w:tab w:leader="none" w:pos="2080" w:val="left"/>
        </w:tabs>
        <w:rPr>
          <w:sz w:val="20"/>
          <w:szCs w:val="20"/>
          <w:color w:val="auto"/>
        </w:rPr>
      </w:pPr>
      <w:r>
        <w:rPr>
          <w:rFonts w:ascii="Arial" w:cs="Arial" w:eastAsia="Arial" w:hAnsi="Arial"/>
          <w:sz w:val="16"/>
          <w:szCs w:val="16"/>
          <w:color w:val="auto"/>
        </w:rPr>
        <w:t>420</w:t>
      </w:r>
      <w:r>
        <w:rPr>
          <w:sz w:val="20"/>
          <w:szCs w:val="20"/>
          <w:color w:val="auto"/>
        </w:rPr>
        <w:tab/>
      </w:r>
      <w:r>
        <w:rPr>
          <w:rFonts w:ascii="Arial" w:cs="Arial" w:eastAsia="Arial" w:hAnsi="Arial"/>
          <w:sz w:val="16"/>
          <w:szCs w:val="16"/>
          <w:color w:val="auto"/>
        </w:rPr>
        <w:t>455</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5</w:t>
      </w:r>
    </w:p>
    <w:p>
      <w:pPr>
        <w:spacing w:after="0" w:line="86" w:lineRule="exact"/>
        <w:rPr>
          <w:sz w:val="20"/>
          <w:szCs w:val="20"/>
          <w:color w:val="auto"/>
        </w:rPr>
      </w:pPr>
    </w:p>
    <w:p>
      <w:pPr>
        <w:ind w:left="940"/>
        <w:spacing w:after="0"/>
        <w:tabs>
          <w:tab w:leader="none" w:pos="2160" w:val="left"/>
        </w:tabs>
        <w:rPr>
          <w:sz w:val="20"/>
          <w:szCs w:val="20"/>
          <w:color w:val="auto"/>
        </w:rPr>
      </w:pPr>
      <w:r>
        <w:rPr>
          <w:rFonts w:ascii="Arial" w:cs="Arial" w:eastAsia="Arial" w:hAnsi="Arial"/>
          <w:sz w:val="16"/>
          <w:szCs w:val="16"/>
          <w:color w:val="auto"/>
        </w:rPr>
        <w:t>90</w:t>
      </w:r>
      <w:r>
        <w:rPr>
          <w:sz w:val="20"/>
          <w:szCs w:val="20"/>
          <w:color w:val="auto"/>
        </w:rPr>
        <w:tab/>
      </w:r>
      <w:r>
        <w:rPr>
          <w:rFonts w:ascii="Arial" w:cs="Arial" w:eastAsia="Arial" w:hAnsi="Arial"/>
          <w:sz w:val="16"/>
          <w:szCs w:val="16"/>
          <w:color w:val="auto"/>
        </w:rPr>
        <w:t>85</w:t>
      </w:r>
    </w:p>
    <w:p>
      <w:pPr>
        <w:spacing w:after="0" w:line="96"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6"/>
          <w:szCs w:val="16"/>
          <w:b w:val="1"/>
          <w:bCs w:val="1"/>
          <w:color w:val="auto"/>
        </w:rPr>
        <w:t>985</w:t>
      </w:r>
      <w:r>
        <w:rPr>
          <w:sz w:val="20"/>
          <w:szCs w:val="20"/>
          <w:color w:val="auto"/>
        </w:rPr>
        <w:tab/>
      </w:r>
      <w:r>
        <w:rPr>
          <w:rFonts w:ascii="Arial" w:cs="Arial" w:eastAsia="Arial" w:hAnsi="Arial"/>
          <w:sz w:val="16"/>
          <w:szCs w:val="16"/>
          <w:b w:val="1"/>
          <w:bCs w:val="1"/>
          <w:color w:val="auto"/>
        </w:rPr>
        <w:t>1,090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37465</wp:posOffset>
            </wp:positionV>
            <wp:extent cx="15779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4" w:lineRule="exact"/>
        <w:rPr>
          <w:sz w:val="20"/>
          <w:szCs w:val="20"/>
          <w:color w:val="auto"/>
        </w:rPr>
      </w:pPr>
    </w:p>
    <w:p>
      <w:pPr>
        <w:ind w:left="2040" w:hanging="1236"/>
        <w:spacing w:after="0"/>
        <w:tabs>
          <w:tab w:leader="none" w:pos="2040" w:val="left"/>
        </w:tabs>
        <w:numPr>
          <w:ilvl w:val="0"/>
          <w:numId w:val="9"/>
        </w:numPr>
        <w:rPr>
          <w:rFonts w:ascii="Arial" w:cs="Arial" w:eastAsia="Arial" w:hAnsi="Arial"/>
          <w:sz w:val="15"/>
          <w:szCs w:val="15"/>
          <w:color w:val="auto"/>
        </w:rPr>
      </w:pPr>
      <w:r>
        <w:rPr>
          <w:rFonts w:ascii="Arial" w:cs="Arial" w:eastAsia="Arial" w:hAnsi="Arial"/>
          <w:sz w:val="15"/>
          <w:szCs w:val="15"/>
          <w:color w:val="auto"/>
        </w:rPr>
        <w:t>(340)</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—(3)</w:t>
      </w:r>
    </w:p>
    <w:p>
      <w:pPr>
        <w:spacing w:after="0" w:line="86" w:lineRule="exact"/>
        <w:rPr>
          <w:sz w:val="20"/>
          <w:szCs w:val="20"/>
          <w:color w:val="auto"/>
        </w:rPr>
      </w:pPr>
    </w:p>
    <w:p>
      <w:pPr>
        <w:ind w:left="2200" w:hanging="1234"/>
        <w:spacing w:after="0"/>
        <w:tabs>
          <w:tab w:leader="none" w:pos="22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(1)</w:t>
      </w:r>
    </w:p>
    <w:p>
      <w:pPr>
        <w:spacing w:after="0" w:line="86" w:lineRule="exact"/>
        <w:rPr>
          <w:sz w:val="20"/>
          <w:szCs w:val="20"/>
          <w:color w:val="auto"/>
        </w:rPr>
      </w:pPr>
    </w:p>
    <w:p>
      <w:pPr>
        <w:ind w:left="2040" w:hanging="1230"/>
        <w:spacing w:after="0"/>
        <w:tabs>
          <w:tab w:leader="none" w:pos="2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(215)</w:t>
      </w:r>
    </w:p>
    <w:p>
      <w:pPr>
        <w:spacing w:after="0" w:line="98" w:lineRule="exact"/>
        <w:rPr>
          <w:sz w:val="20"/>
          <w:szCs w:val="20"/>
          <w:color w:val="auto"/>
        </w:rPr>
      </w:pPr>
    </w:p>
    <w:p>
      <w:pPr>
        <w:ind w:left="860"/>
        <w:spacing w:after="0"/>
        <w:tabs>
          <w:tab w:leader="none" w:pos="208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130</w:t>
      </w:r>
    </w:p>
    <w:p>
      <w:pPr>
        <w:spacing w:after="0" w:line="96" w:lineRule="exact"/>
        <w:rPr>
          <w:sz w:val="20"/>
          <w:szCs w:val="20"/>
          <w:color w:val="auto"/>
        </w:rPr>
      </w:pPr>
    </w:p>
    <w:p>
      <w:pPr>
        <w:ind w:left="860"/>
        <w:spacing w:after="0"/>
        <w:tabs>
          <w:tab w:leader="none" w:pos="2080" w:val="left"/>
        </w:tabs>
        <w:rPr>
          <w:sz w:val="20"/>
          <w:szCs w:val="20"/>
          <w:color w:val="auto"/>
        </w:rPr>
      </w:pPr>
      <w:r>
        <w:rPr>
          <w:rFonts w:ascii="Arial" w:cs="Arial" w:eastAsia="Arial" w:hAnsi="Arial"/>
          <w:sz w:val="16"/>
          <w:szCs w:val="16"/>
          <w:b w:val="1"/>
          <w:bCs w:val="1"/>
          <w:color w:val="auto"/>
        </w:rPr>
        <w:t>604</w:t>
      </w:r>
      <w:r>
        <w:rPr>
          <w:sz w:val="20"/>
          <w:szCs w:val="20"/>
          <w:color w:val="auto"/>
        </w:rPr>
        <w:tab/>
      </w:r>
      <w:r>
        <w:rPr>
          <w:rFonts w:ascii="Arial" w:cs="Arial" w:eastAsia="Arial" w:hAnsi="Arial"/>
          <w:sz w:val="16"/>
          <w:szCs w:val="16"/>
          <w:b w:val="1"/>
          <w:bCs w:val="1"/>
          <w:color w:val="auto"/>
        </w:rPr>
        <w:t>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37465</wp:posOffset>
            </wp:positionV>
            <wp:extent cx="15779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4</w:t>
      </w:r>
    </w:p>
    <w:p>
      <w:pPr>
        <w:spacing w:after="0" w:line="86" w:lineRule="exact"/>
        <w:rPr>
          <w:sz w:val="20"/>
          <w:szCs w:val="20"/>
          <w:color w:val="auto"/>
        </w:rPr>
      </w:pPr>
    </w:p>
    <w:p>
      <w:pPr>
        <w:ind w:left="2200" w:hanging="1180"/>
        <w:spacing w:after="0"/>
        <w:tabs>
          <w:tab w:leader="none" w:pos="2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w:t>
      </w:r>
    </w:p>
    <w:p>
      <w:pPr>
        <w:spacing w:after="0" w:line="86" w:lineRule="exact"/>
        <w:rPr>
          <w:sz w:val="20"/>
          <w:szCs w:val="20"/>
          <w:color w:val="auto"/>
        </w:rPr>
      </w:pPr>
    </w:p>
    <w:p>
      <w:pPr>
        <w:ind w:left="2120" w:hanging="1235"/>
        <w:spacing w:after="0"/>
        <w:tabs>
          <w:tab w:leader="none" w:pos="2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(33)</w:t>
      </w:r>
    </w:p>
    <w:p>
      <w:pPr>
        <w:spacing w:after="0" w:line="98" w:lineRule="exact"/>
        <w:rPr>
          <w:sz w:val="20"/>
          <w:szCs w:val="20"/>
          <w:color w:val="auto"/>
        </w:rPr>
      </w:pPr>
    </w:p>
    <w:p>
      <w:pPr>
        <w:ind w:left="2040" w:hanging="1236"/>
        <w:spacing w:after="0"/>
        <w:tabs>
          <w:tab w:leader="none" w:pos="20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(333)</w:t>
      </w:r>
    </w:p>
    <w:p>
      <w:pPr>
        <w:spacing w:after="0" w:line="97"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6"/>
          <w:szCs w:val="16"/>
          <w:color w:val="auto"/>
        </w:rPr>
        <w:t>13—</w:t>
      </w:r>
    </w:p>
    <w:p>
      <w:pPr>
        <w:spacing w:after="0" w:line="34" w:lineRule="exact"/>
        <w:rPr>
          <w:sz w:val="20"/>
          <w:szCs w:val="20"/>
          <w:color w:val="auto"/>
        </w:rPr>
      </w:pPr>
    </w:p>
    <w:p>
      <w:pPr>
        <w:sectPr>
          <w:pgSz w:w="11900" w:h="16838" w:orient="portrait"/>
          <w:cols w:equalWidth="0" w:num="2">
            <w:col w:w="7500" w:space="280"/>
            <w:col w:w="3640"/>
          </w:cols>
          <w:pgMar w:left="240" w:top="360" w:right="239" w:bottom="1440" w:gutter="0" w:footer="0" w:header="0"/>
        </w:sectPr>
      </w:pPr>
    </w:p>
    <w:tbl>
      <w:tblPr>
        <w:tblLayout w:type="fixed"/>
        <w:tblInd w:w="1220" w:type="dxa"/>
        <w:tblCellMar>
          <w:top w:w="0" w:type="dxa"/>
          <w:left w:w="0" w:type="dxa"/>
          <w:bottom w:w="0" w:type="dxa"/>
          <w:right w:w="0" w:type="dxa"/>
        </w:tblCellMar>
      </w:tblPr>
      <w:tr>
        <w:trPr>
          <w:trHeight w:val="284"/>
        </w:trPr>
        <w:tc>
          <w:tcPr>
            <w:tcW w:w="6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Available for Distribution</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6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285</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295</w:t>
            </w:r>
          </w:p>
        </w:tc>
      </w:tr>
      <w:tr>
        <w:trPr>
          <w:trHeight w:val="237"/>
        </w:trPr>
        <w:tc>
          <w:tcPr>
            <w:tcW w:w="64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Add Back: Principal amortization of indebtedness</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300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27"/>
        </w:trPr>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Cash from Operations</w:t>
            </w:r>
          </w:p>
        </w:tc>
        <w:tc>
          <w:tcPr>
            <w:tcW w:w="16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585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6465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8"/>
        <w:spacing w:after="0" w:line="255" w:lineRule="auto"/>
        <w:tabs>
          <w:tab w:leader="none" w:pos="171" w:val="left"/>
        </w:tabs>
        <w:numPr>
          <w:ilvl w:val="0"/>
          <w:numId w:val="16"/>
        </w:numPr>
        <w:rPr>
          <w:rFonts w:ascii="Arial" w:cs="Arial" w:eastAsia="Arial" w:hAnsi="Arial"/>
          <w:sz w:val="21"/>
          <w:szCs w:val="21"/>
          <w:color w:val="auto"/>
          <w:vertAlign w:val="superscript"/>
        </w:rPr>
      </w:pPr>
      <w:r>
        <w:rPr>
          <w:rFonts w:ascii="Arial" w:cs="Arial" w:eastAsia="Arial" w:hAnsi="Arial"/>
          <w:sz w:val="11"/>
          <w:szCs w:val="11"/>
          <w:color w:val="auto"/>
        </w:rPr>
        <w:t>2019 Guidance factors in the impact of the financing updates described in this press release, the contribution of committed growth investments based on the current expected closing timelines and the assumed refinancing of the 2020 convertible notes which tendered in October 2018. Financial guidance for 2019 also excludes any impact from the recently offered drop down of Agua Caliente Borrower 1, LLC from NRG Energy, Inc.</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6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Appendix Table A-8: Adjusted EBITDA and Cash Available for Distribution Drop Downs</w:t>
      </w:r>
    </w:p>
    <w:p>
      <w:pPr>
        <w:sectPr>
          <w:pgSz w:w="11900" w:h="16838" w:orient="portrait"/>
          <w:cols w:equalWidth="0" w:num="1">
            <w:col w:w="11420"/>
          </w:cols>
          <w:pgMar w:left="240" w:top="5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in millions)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Carlsbad Drop</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Hawaii Solar - 5</w:t>
            </w:r>
          </w:p>
        </w:tc>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9"/>
              </w:rPr>
              <w:t>Agua Caliente 35% -</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Mylan - 5 Year</w:t>
            </w:r>
          </w:p>
        </w:tc>
        <w:tc>
          <w:tcPr>
            <w:tcW w:w="0" w:type="dxa"/>
            <w:vAlign w:val="bottom"/>
          </w:tcPr>
          <w:p>
            <w:pPr>
              <w:spacing w:after="0"/>
              <w:rPr>
                <w:sz w:val="1"/>
                <w:szCs w:val="1"/>
                <w:color w:val="auto"/>
              </w:rPr>
            </w:pPr>
          </w:p>
        </w:tc>
      </w:tr>
      <w:tr>
        <w:trPr>
          <w:trHeight w:val="108"/>
        </w:trPr>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Down - 5 Year</w:t>
            </w:r>
          </w:p>
        </w:tc>
        <w:tc>
          <w:tcPr>
            <w:tcW w:w="158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60" w:type="dxa"/>
            <w:vAlign w:val="bottom"/>
            <w:vMerge w:val="continue"/>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Year Average from</w:t>
            </w:r>
          </w:p>
        </w:tc>
        <w:tc>
          <w:tcPr>
            <w:tcW w:w="3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1"/>
              </w:rPr>
              <w:t>5 Year Average from Average from 2019-</w:t>
            </w:r>
          </w:p>
        </w:tc>
        <w:tc>
          <w:tcPr>
            <w:tcW w:w="0" w:type="dxa"/>
            <w:vAlign w:val="bottom"/>
          </w:tcPr>
          <w:p>
            <w:pPr>
              <w:spacing w:after="0"/>
              <w:rPr>
                <w:sz w:val="1"/>
                <w:szCs w:val="1"/>
                <w:color w:val="auto"/>
              </w:rPr>
            </w:pP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Average from 2019-</w:t>
            </w:r>
          </w:p>
        </w:tc>
        <w:tc>
          <w:tcPr>
            <w:tcW w:w="1580" w:type="dxa"/>
            <w:vAlign w:val="bottom"/>
            <w:vMerge w:val="continue"/>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2023</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2020-2024</w:t>
            </w:r>
          </w:p>
        </w:tc>
        <w:tc>
          <w:tcPr>
            <w:tcW w:w="1780" w:type="dxa"/>
            <w:vAlign w:val="bottom"/>
          </w:tcPr>
          <w:p>
            <w:pPr>
              <w:jc w:val="right"/>
              <w:ind w:right="452"/>
              <w:spacing w:after="0"/>
              <w:rPr>
                <w:sz w:val="20"/>
                <w:szCs w:val="20"/>
                <w:color w:val="auto"/>
              </w:rPr>
            </w:pPr>
            <w:r>
              <w:rPr>
                <w:rFonts w:ascii="Arial" w:cs="Arial" w:eastAsia="Arial" w:hAnsi="Arial"/>
                <w:sz w:val="18"/>
                <w:szCs w:val="18"/>
                <w:b w:val="1"/>
                <w:bCs w:val="1"/>
                <w:color w:val="auto"/>
              </w:rPr>
              <w:t>2019-2023</w:t>
            </w:r>
          </w:p>
        </w:tc>
        <w:tc>
          <w:tcPr>
            <w:tcW w:w="1460" w:type="dxa"/>
            <w:vAlign w:val="bottom"/>
          </w:tcPr>
          <w:p>
            <w:pPr>
              <w:jc w:val="right"/>
              <w:ind w:right="493"/>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54"/>
        </w:trPr>
        <w:tc>
          <w:tcPr>
            <w:tcW w:w="156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560" w:type="dxa"/>
            <w:vAlign w:val="bottom"/>
          </w:tcPr>
          <w:p>
            <w:pPr>
              <w:jc w:val="right"/>
              <w:ind w:right="32"/>
              <w:spacing w:after="0"/>
              <w:rPr>
                <w:sz w:val="20"/>
                <w:szCs w:val="20"/>
                <w:color w:val="auto"/>
              </w:rPr>
            </w:pPr>
            <w:r>
              <w:rPr>
                <w:rFonts w:ascii="Arial" w:cs="Arial" w:eastAsia="Arial" w:hAnsi="Arial"/>
                <w:sz w:val="16"/>
                <w:szCs w:val="16"/>
                <w:b w:val="1"/>
                <w:bCs w:val="1"/>
                <w:color w:val="auto"/>
              </w:rPr>
              <w:t>38</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1780" w:type="dxa"/>
            <w:vAlign w:val="bottom"/>
          </w:tcPr>
          <w:p>
            <w:pPr>
              <w:jc w:val="right"/>
              <w:ind w:right="92"/>
              <w:spacing w:after="0"/>
              <w:rPr>
                <w:sz w:val="20"/>
                <w:szCs w:val="20"/>
                <w:color w:val="auto"/>
              </w:rPr>
            </w:pPr>
            <w:r>
              <w:rPr>
                <w:rFonts w:ascii="Arial" w:cs="Arial" w:eastAsia="Arial" w:hAnsi="Arial"/>
                <w:sz w:val="16"/>
                <w:szCs w:val="16"/>
                <w:b w:val="1"/>
                <w:bCs w:val="1"/>
                <w:color w:val="auto"/>
              </w:rPr>
              <w:t>13</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-158750</wp:posOffset>
            </wp:positionV>
            <wp:extent cx="675767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57670" cy="18859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3900" w:space="720"/>
            <w:col w:w="6800"/>
          </w:cols>
          <w:pgMar w:left="240" w:top="589" w:right="239" w:bottom="1440" w:gutter="0" w:footer="0" w:header="0"/>
          <w:type w:val="continuous"/>
        </w:sectPr>
      </w:pPr>
    </w:p>
    <w:tbl>
      <w:tblPr>
        <w:tblLayout w:type="fixed"/>
        <w:tblInd w:w="400" w:type="dxa"/>
        <w:tblCellMar>
          <w:top w:w="0" w:type="dxa"/>
          <w:left w:w="0" w:type="dxa"/>
          <w:bottom w:w="0" w:type="dxa"/>
          <w:right w:w="0" w:type="dxa"/>
        </w:tblCellMar>
      </w:tblPr>
      <w:tr>
        <w:trPr>
          <w:trHeight w:val="230"/>
        </w:trPr>
        <w:tc>
          <w:tcPr>
            <w:tcW w:w="470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jc w:val="right"/>
              <w:ind w:right="619"/>
              <w:spacing w:after="0"/>
              <w:rPr>
                <w:sz w:val="20"/>
                <w:szCs w:val="20"/>
                <w:color w:val="auto"/>
              </w:rPr>
            </w:pPr>
            <w:r>
              <w:rPr>
                <w:rFonts w:ascii="Arial" w:cs="Arial" w:eastAsia="Arial" w:hAnsi="Arial"/>
                <w:sz w:val="16"/>
                <w:szCs w:val="16"/>
                <w:color w:val="auto"/>
              </w:rPr>
              <w:t>24</w:t>
            </w:r>
          </w:p>
        </w:tc>
        <w:tc>
          <w:tcPr>
            <w:tcW w:w="1680" w:type="dxa"/>
            <w:vAlign w:val="bottom"/>
          </w:tcPr>
          <w:p>
            <w:pPr>
              <w:jc w:val="right"/>
              <w:ind w:right="679"/>
              <w:spacing w:after="0"/>
              <w:rPr>
                <w:sz w:val="20"/>
                <w:szCs w:val="20"/>
                <w:color w:val="auto"/>
              </w:rPr>
            </w:pPr>
            <w:r>
              <w:rPr>
                <w:rFonts w:ascii="Arial" w:cs="Arial" w:eastAsia="Arial" w:hAnsi="Arial"/>
                <w:sz w:val="16"/>
                <w:szCs w:val="16"/>
                <w:color w:val="auto"/>
              </w:rPr>
              <w:t>7.4</w:t>
            </w:r>
          </w:p>
        </w:tc>
        <w:tc>
          <w:tcPr>
            <w:tcW w:w="1640" w:type="dxa"/>
            <w:vAlign w:val="bottom"/>
          </w:tcPr>
          <w:p>
            <w:pPr>
              <w:jc w:val="right"/>
              <w:ind w:right="639"/>
              <w:spacing w:after="0"/>
              <w:rPr>
                <w:sz w:val="20"/>
                <w:szCs w:val="20"/>
                <w:color w:val="auto"/>
              </w:rPr>
            </w:pPr>
            <w:r>
              <w:rPr>
                <w:rFonts w:ascii="Arial" w:cs="Arial" w:eastAsia="Arial" w:hAnsi="Arial"/>
                <w:sz w:val="16"/>
                <w:szCs w:val="16"/>
                <w:color w:val="auto"/>
              </w:rPr>
              <w:t>5</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6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28</w:t>
            </w:r>
          </w:p>
        </w:tc>
        <w:tc>
          <w:tcPr>
            <w:tcW w:w="16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10.2</w:t>
            </w:r>
          </w:p>
        </w:tc>
        <w:tc>
          <w:tcPr>
            <w:tcW w:w="1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29"/>
        </w:trPr>
        <w:tc>
          <w:tcPr>
            <w:tcW w:w="4700" w:type="dxa"/>
            <w:vAlign w:val="bottom"/>
          </w:tcPr>
          <w:p>
            <w:pPr>
              <w:ind w:left="300"/>
              <w:spacing w:after="0"/>
              <w:rPr>
                <w:sz w:val="20"/>
                <w:szCs w:val="20"/>
                <w:color w:val="auto"/>
              </w:rPr>
            </w:pPr>
            <w:r>
              <w:rPr>
                <w:rFonts w:ascii="Arial" w:cs="Arial" w:eastAsia="Arial" w:hAnsi="Arial"/>
                <w:sz w:val="18"/>
                <w:szCs w:val="18"/>
                <w:color w:val="auto"/>
              </w:rPr>
              <w:t>Adjustment to reflect CWEN share of Adjusted</w:t>
            </w: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60"/>
              <w:spacing w:after="0"/>
              <w:rPr>
                <w:sz w:val="20"/>
                <w:szCs w:val="20"/>
                <w:color w:val="auto"/>
              </w:rPr>
            </w:pPr>
            <w:r>
              <w:rPr>
                <w:rFonts w:ascii="Arial" w:cs="Arial" w:eastAsia="Arial" w:hAnsi="Arial"/>
                <w:sz w:val="18"/>
                <w:szCs w:val="18"/>
                <w:color w:val="auto"/>
              </w:rPr>
              <w:t>EBITDA in unconsolidated affiliates</w:t>
            </w:r>
          </w:p>
        </w:tc>
        <w:tc>
          <w:tcPr>
            <w:tcW w:w="16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39"/>
              <w:spacing w:after="0"/>
              <w:rPr>
                <w:sz w:val="20"/>
                <w:szCs w:val="20"/>
                <w:color w:val="auto"/>
              </w:rPr>
            </w:pPr>
            <w:r>
              <w:rPr>
                <w:rFonts w:ascii="Arial" w:cs="Arial" w:eastAsia="Arial" w:hAnsi="Arial"/>
                <w:sz w:val="16"/>
                <w:szCs w:val="16"/>
                <w:color w:val="auto"/>
              </w:rPr>
              <w:t>22</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90</w:t>
            </w:r>
          </w:p>
        </w:tc>
        <w:tc>
          <w:tcPr>
            <w:tcW w:w="16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24.8</w:t>
            </w:r>
          </w:p>
        </w:tc>
        <w:tc>
          <w:tcPr>
            <w:tcW w:w="1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40</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r>
      <w:tr>
        <w:trPr>
          <w:trHeight w:val="237"/>
        </w:trPr>
        <w:tc>
          <w:tcPr>
            <w:tcW w:w="4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6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(24)</w:t>
            </w:r>
          </w:p>
        </w:tc>
        <w:tc>
          <w:tcPr>
            <w:tcW w:w="168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(7.4)</w:t>
            </w:r>
          </w:p>
        </w:tc>
        <w:tc>
          <w:tcPr>
            <w:tcW w:w="164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(5)</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Pro-rata Adjusted EBITDA from unconsolidated</w:t>
            </w:r>
          </w:p>
        </w:tc>
        <w:tc>
          <w:tcPr>
            <w:tcW w:w="1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16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(40)</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Cash distributions from unconsolidated affiliates</w:t>
            </w:r>
          </w:p>
        </w:tc>
        <w:tc>
          <w:tcPr>
            <w:tcW w:w="16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39"/>
              <w:spacing w:after="0"/>
              <w:rPr>
                <w:sz w:val="20"/>
                <w:szCs w:val="20"/>
                <w:color w:val="auto"/>
              </w:rPr>
            </w:pPr>
            <w:r>
              <w:rPr>
                <w:rFonts w:ascii="Arial" w:cs="Arial" w:eastAsia="Arial" w:hAnsi="Arial"/>
                <w:sz w:val="16"/>
                <w:szCs w:val="16"/>
                <w:color w:val="auto"/>
              </w:rPr>
              <w:t>20</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w:t>
            </w:r>
          </w:p>
        </w:tc>
        <w:tc>
          <w:tcPr>
            <w:tcW w:w="1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2"/>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(6)</w:t>
            </w:r>
          </w:p>
        </w:tc>
        <w:tc>
          <w:tcPr>
            <w:tcW w:w="16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66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60</w:t>
            </w:r>
          </w:p>
        </w:tc>
        <w:tc>
          <w:tcPr>
            <w:tcW w:w="16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17.4</w:t>
            </w:r>
          </w:p>
        </w:tc>
        <w:tc>
          <w:tcPr>
            <w:tcW w:w="16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15</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w:t>
            </w:r>
          </w:p>
        </w:tc>
      </w:tr>
      <w:tr>
        <w:trPr>
          <w:trHeight w:val="27"/>
        </w:trPr>
        <w:tc>
          <w:tcPr>
            <w:tcW w:w="4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w:t>
            </w:r>
          </w:p>
        </w:tc>
        <w:tc>
          <w:tcPr>
            <w:tcW w:w="16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(9.7)</w:t>
            </w:r>
          </w:p>
        </w:tc>
        <w:tc>
          <w:tcPr>
            <w:tcW w:w="1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1660" w:type="dxa"/>
            <w:vAlign w:val="bottom"/>
          </w:tcPr>
          <w:p>
            <w:pPr>
              <w:jc w:val="right"/>
              <w:ind w:right="559"/>
              <w:spacing w:after="0"/>
              <w:rPr>
                <w:sz w:val="20"/>
                <w:szCs w:val="20"/>
                <w:color w:val="auto"/>
              </w:rPr>
            </w:pPr>
            <w:r>
              <w:rPr>
                <w:rFonts w:ascii="Arial" w:cs="Arial" w:eastAsia="Arial" w:hAnsi="Arial"/>
                <w:sz w:val="16"/>
                <w:szCs w:val="16"/>
                <w:color w:val="auto"/>
              </w:rPr>
              <w:t>(20)</w:t>
            </w:r>
          </w:p>
        </w:tc>
        <w:tc>
          <w:tcPr>
            <w:tcW w:w="1680" w:type="dxa"/>
            <w:vAlign w:val="bottom"/>
          </w:tcPr>
          <w:p>
            <w:pPr>
              <w:jc w:val="right"/>
              <w:ind w:right="639"/>
              <w:spacing w:after="0"/>
              <w:rPr>
                <w:sz w:val="20"/>
                <w:szCs w:val="20"/>
                <w:color w:val="auto"/>
              </w:rPr>
            </w:pPr>
            <w:r>
              <w:rPr>
                <w:rFonts w:ascii="Arial" w:cs="Arial" w:eastAsia="Arial" w:hAnsi="Arial"/>
                <w:sz w:val="16"/>
                <w:szCs w:val="16"/>
                <w:color w:val="auto"/>
              </w:rPr>
              <w:t>(5.1)</w:t>
            </w:r>
          </w:p>
        </w:tc>
        <w:tc>
          <w:tcPr>
            <w:tcW w:w="1640" w:type="dxa"/>
            <w:vAlign w:val="bottom"/>
          </w:tcPr>
          <w:p>
            <w:pPr>
              <w:jc w:val="right"/>
              <w:ind w:right="579"/>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16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40</w:t>
            </w:r>
          </w:p>
        </w:tc>
        <w:tc>
          <w:tcPr>
            <w:tcW w:w="16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2.6</w:t>
            </w:r>
          </w:p>
        </w:tc>
        <w:tc>
          <w:tcPr>
            <w:tcW w:w="1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8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2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6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9" w:right="239" w:bottom="1440" w:gutter="0" w:footer="0" w:header="0"/>
          <w:type w:val="continuous"/>
        </w:sectPr>
      </w:pPr>
    </w:p>
    <w:bookmarkStart w:id="19" w:name="page20"/>
    <w:bookmarkEnd w:id="19"/>
    <w:p>
      <w:pPr>
        <w:ind w:right="40"/>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8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5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4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Cash Available for Distribution (CAFD) is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cash available for distribution is a relevant supplemental measure of the Company’s ability to earn and distribute cash returns to investors.</w:t>
      </w:r>
    </w:p>
    <w:p>
      <w:pPr>
        <w:spacing w:after="0" w:line="2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Cash Available for Distribution is useful to investors in evaluating our operating performance because securities analysts and other interested parties use such calculations as a measure of our ability to make quarterly distributions. In addition, cash available for distribution is used by our management team for determining future acquisitions and managing our growth. The GAAP measure most directly comparable to cash available for distribution is cash provided by operating activities.</w:t>
      </w:r>
    </w:p>
    <w:p>
      <w:pPr>
        <w:spacing w:after="0" w:line="187"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However, cash available for distribution has limitations as an analytical tool because it does not include changes in operating assets and liabilities and excludes the effect of certain other cash flow items, all of which could have a material effect on our financial condition and results from operations. Cash available for distribution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cash available for distribution are not necessarily comparable to cash available for distribution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8"/>
      <w:numFmt w:val="bullet"/>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emdash "/>
      <w:numFmt w:val="bullet"/>
      <w:start w:val="1"/>
    </w:lvl>
  </w:abstractNum>
  <w:abstractNum w:abstractNumId="8">
    <w:nsid w:val="3352255A"/>
    <w:multiLevelType w:val="hybridMultilevel"/>
    <w:lvl w:ilvl="0">
      <w:lvlJc w:val="left"/>
      <w:lvlText w:val="(%1)"/>
      <w:numFmt w:val="decimal"/>
      <w:start w:val="293"/>
    </w:lvl>
  </w:abstractNum>
  <w:abstractNum w:abstractNumId="9">
    <w:nsid w:val="109CF92E"/>
    <w:multiLevelType w:val="hybridMultilevel"/>
    <w:lvl w:ilvl="0">
      <w:lvlJc w:val="left"/>
      <w:lvlText w:val="\emdash "/>
      <w:numFmt w:val="bullet"/>
      <w:start w:val="1"/>
    </w:lvl>
    <w:lvl w:ilvl="1">
      <w:lvlJc w:val="left"/>
      <w:lvlText w:val="(%2)"/>
      <w:numFmt w:val="decimal"/>
      <w:start w:val="2"/>
    </w:lvl>
  </w:abstractNum>
  <w:abstractNum w:abstractNumId="10">
    <w:nsid w:val="DED7263"/>
    <w:multiLevelType w:val="hybridMultilevel"/>
    <w:lvl w:ilvl="0">
      <w:lvlJc w:val="left"/>
      <w:lvlText w:val="(%1)"/>
      <w:numFmt w:val="decimal"/>
      <w:start w:val="211"/>
    </w:lvl>
  </w:abstractNum>
  <w:abstractNum w:abstractNumId="11">
    <w:nsid w:val="7FDCC233"/>
    <w:multiLevelType w:val="hybridMultilevel"/>
    <w:lvl w:ilvl="0">
      <w:lvlJc w:val="left"/>
      <w:lvlText w:val="\emdash "/>
      <w:numFmt w:val="bullet"/>
      <w:start w:val="1"/>
    </w:lvl>
  </w:abstractNum>
  <w:abstractNum w:abstractNumId="12">
    <w:nsid w:val="1BEFD79F"/>
    <w:multiLevelType w:val="hybridMultilevel"/>
    <w:lvl w:ilvl="0">
      <w:lvlJc w:val="left"/>
      <w:lvlText w:val="6"/>
      <w:numFmt w:val="bullet"/>
      <w:start w:val="1"/>
    </w:lvl>
  </w:abstractNum>
  <w:abstractNum w:abstractNumId="13">
    <w:nsid w:val="41A7C4C9"/>
    <w:multiLevelType w:val="hybridMultilevel"/>
    <w:lvl w:ilvl="0">
      <w:lvlJc w:val="left"/>
      <w:lvlText w:val="(%1)"/>
      <w:numFmt w:val="decimal"/>
      <w:start w:val="38"/>
    </w:lvl>
  </w:abstractNum>
  <w:abstractNum w:abstractNumId="14">
    <w:nsid w:val="6B68079A"/>
    <w:multiLevelType w:val="hybridMultilevel"/>
    <w:lvl w:ilvl="0">
      <w:lvlJc w:val="left"/>
      <w:lvlText w:val="(%1)"/>
      <w:numFmt w:val="decimal"/>
      <w:start w:val="300"/>
    </w:lvl>
  </w:abstractNum>
  <w:abstractNum w:abstractNumId="15">
    <w:nsid w:val="4E6AFB66"/>
    <w:multiLevelType w:val="hybridMultilevel"/>
    <w:lvl w:ilvl="0">
      <w:lvlJc w:val="left"/>
      <w:lvlText w:val="%1"/>
      <w:numFmt w:val="decimal"/>
      <w:start w:val="13"/>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2019-12-28T18:43:14Z</dcterms:created>
  <dcterms:modified xsi:type="dcterms:W3CDTF">2019-12-28T18:43:14Z</dcterms:modified>
</cp:coreProperties>
</file>