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SECURITIES AND EXCHANGE</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8"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18539 C 105 (Class A common stock)</w:t>
      </w:r>
    </w:p>
    <w:p>
      <w:pPr>
        <w:spacing w:after="0" w:line="31"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18539 C 204 (Class C common stock)</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Global Infrastructure Management, LLC</w:t>
      </w:r>
    </w:p>
    <w:p>
      <w:pPr>
        <w:spacing w:after="0" w:line="31"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Attention: Julie Ashworth</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1345 Avenue of the Americas, 30th Floor,</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(212) 315-8100</w:t>
      </w:r>
    </w:p>
    <w:p>
      <w:pPr>
        <w:spacing w:after="0" w:line="9"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b w:val="1"/>
          <w:bCs w:val="1"/>
          <w:color w:val="auto"/>
        </w:rPr>
        <w:t>June 28, 2024</w:t>
      </w:r>
    </w:p>
    <w:p>
      <w:pPr>
        <w:spacing w:after="0" w:line="40" w:lineRule="exact"/>
        <w:rPr>
          <w:sz w:val="24"/>
          <w:szCs w:val="24"/>
          <w:color w:val="auto"/>
        </w:rPr>
      </w:pPr>
    </w:p>
    <w:p>
      <w:pPr>
        <w:jc w:val="center"/>
        <w:ind w:right="576"/>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59" w:lineRule="exact"/>
        <w:rPr>
          <w:sz w:val="24"/>
          <w:szCs w:val="24"/>
          <w:color w:val="auto"/>
        </w:rPr>
      </w:pPr>
    </w:p>
    <w:p>
      <w:pPr>
        <w:ind w:left="4" w:right="660" w:hanging="4"/>
        <w:spacing w:after="0" w:line="282" w:lineRule="auto"/>
        <w:tabs>
          <w:tab w:leader="none" w:pos="1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594995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4"/>
          </w:cols>
          <w:pgMar w:left="976" w:top="779"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27"/>
        </w:trPr>
        <w:tc>
          <w:tcPr>
            <w:tcW w:w="40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1040" w:hanging="573"/>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Infrastructure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85"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90"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3175</wp:posOffset>
            </wp:positionV>
            <wp:extent cx="6129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-176530</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04" w:lineRule="exact"/>
        <w:rPr>
          <w:sz w:val="20"/>
          <w:szCs w:val="20"/>
          <w:color w:val="auto"/>
        </w:rPr>
      </w:pPr>
    </w:p>
    <w:p>
      <w:pPr>
        <w:ind w:left="1040" w:hanging="573"/>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27" w:lineRule="exact"/>
        <w:rPr>
          <w:sz w:val="20"/>
          <w:szCs w:val="20"/>
          <w:color w:val="auto"/>
        </w:rPr>
      </w:pPr>
    </w:p>
    <w:p>
      <w:pPr>
        <w:ind w:left="1040" w:hanging="573"/>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327" w:lineRule="exact"/>
        <w:rPr>
          <w:sz w:val="20"/>
          <w:szCs w:val="20"/>
          <w:color w:val="auto"/>
        </w:rPr>
      </w:pPr>
    </w:p>
    <w:p>
      <w:pPr>
        <w:ind w:left="1040" w:right="7580" w:hanging="573"/>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-22225</wp:posOffset>
            </wp:positionV>
            <wp:extent cx="6480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960" w:type="dxa"/>
            <w:vAlign w:val="bottom"/>
            <w:vMerge w:val="continue"/>
          </w:tcPr>
          <w:p>
            <w:pPr>
              <w:spacing w:after="0"/>
              <w:rPr>
                <w:sz w:val="15"/>
                <w:szCs w:val="15"/>
                <w:color w:val="auto"/>
              </w:rPr>
            </w:pPr>
          </w:p>
        </w:tc>
        <w:tc>
          <w:tcPr>
            <w:tcW w:w="8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960" w:type="dxa"/>
            <w:vAlign w:val="bottom"/>
          </w:tcPr>
          <w:p>
            <w:pPr>
              <w:spacing w:after="0"/>
              <w:rPr>
                <w:sz w:val="18"/>
                <w:szCs w:val="18"/>
                <w:color w:val="auto"/>
              </w:rPr>
            </w:pPr>
          </w:p>
        </w:tc>
        <w:tc>
          <w:tcPr>
            <w:tcW w:w="8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6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60" w:type="dxa"/>
            <w:vAlign w:val="bottom"/>
          </w:tcPr>
          <w:p>
            <w:pPr>
              <w:spacing w:after="0"/>
              <w:rPr>
                <w:sz w:val="7"/>
                <w:szCs w:val="7"/>
                <w:color w:val="auto"/>
              </w:rPr>
            </w:pPr>
          </w:p>
        </w:tc>
        <w:tc>
          <w:tcPr>
            <w:tcW w:w="8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vMerge w:val="continue"/>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hanging="55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42,021,902 shares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33.7%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-481965</wp:posOffset>
            </wp:positionV>
            <wp:extent cx="6489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-970915</wp:posOffset>
            </wp:positionV>
            <wp:extent cx="6489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-1322070</wp:posOffset>
            </wp:positionV>
            <wp:extent cx="6489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27"/>
        </w:trPr>
        <w:tc>
          <w:tcPr>
            <w:tcW w:w="40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1040" w:right="7820" w:hanging="573"/>
        <w:spacing w:after="0" w:line="312"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Global Infrastructure GP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-36195</wp:posOffset>
            </wp:positionV>
            <wp:extent cx="64808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41" w:lineRule="exact"/>
        <w:rPr>
          <w:sz w:val="20"/>
          <w:szCs w:val="20"/>
          <w:color w:val="auto"/>
        </w:rPr>
      </w:pPr>
    </w:p>
    <w:p>
      <w:pPr>
        <w:ind w:left="1040" w:hanging="573"/>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35" w:lineRule="exact"/>
        <w:rPr>
          <w:rFonts w:ascii="Times New Roman" w:cs="Times New Roman" w:eastAsia="Times New Roman" w:hAnsi="Times New Roman"/>
          <w:sz w:val="18"/>
          <w:szCs w:val="18"/>
          <w:color w:val="auto"/>
        </w:rPr>
      </w:pPr>
    </w:p>
    <w:p>
      <w:pPr>
        <w:ind w:left="1640" w:hanging="548"/>
        <w:spacing w:after="0" w:line="207" w:lineRule="exact"/>
        <w:tabs>
          <w:tab w:leader="none" w:pos="16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1640" w:hanging="548"/>
        <w:spacing w:after="0" w:line="207" w:lineRule="exact"/>
        <w:tabs>
          <w:tab w:leader="none" w:pos="164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31115</wp:posOffset>
            </wp:positionV>
            <wp:extent cx="6129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-148590</wp:posOffset>
            </wp:positionV>
            <wp:extent cx="6129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48" w:lineRule="exact"/>
        <w:rPr>
          <w:sz w:val="20"/>
          <w:szCs w:val="20"/>
          <w:color w:val="auto"/>
        </w:rPr>
      </w:pPr>
    </w:p>
    <w:p>
      <w:pPr>
        <w:ind w:left="1040" w:hanging="573"/>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27" w:lineRule="exact"/>
        <w:rPr>
          <w:sz w:val="20"/>
          <w:szCs w:val="20"/>
          <w:color w:val="auto"/>
        </w:rPr>
      </w:pPr>
    </w:p>
    <w:p>
      <w:pPr>
        <w:ind w:left="1040" w:hanging="573"/>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68" w:lineRule="exact"/>
        <w:rPr>
          <w:sz w:val="20"/>
          <w:szCs w:val="20"/>
          <w:color w:val="auto"/>
        </w:rPr>
      </w:pPr>
    </w:p>
    <w:p>
      <w:pPr>
        <w:ind w:left="1040" w:hanging="573"/>
        <w:spacing w:after="0" w:line="207" w:lineRule="exact"/>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43180</wp:posOffset>
            </wp:positionV>
            <wp:extent cx="64808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367" w:lineRule="exact"/>
        <w:rPr>
          <w:sz w:val="20"/>
          <w:szCs w:val="20"/>
          <w:color w:val="auto"/>
        </w:rPr>
      </w:pPr>
    </w:p>
    <w:p>
      <w:pPr>
        <w:ind w:left="1040" w:right="7580" w:hanging="573"/>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-22225</wp:posOffset>
            </wp:positionV>
            <wp:extent cx="64808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2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vMerge w:val="continue"/>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113"/>
        </w:trPr>
        <w:tc>
          <w:tcPr>
            <w:tcW w:w="130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960" w:type="dxa"/>
            <w:vAlign w:val="bottom"/>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6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60" w:type="dxa"/>
            <w:vAlign w:val="bottom"/>
          </w:tcPr>
          <w:p>
            <w:pPr>
              <w:spacing w:after="0"/>
              <w:rPr>
                <w:sz w:val="7"/>
                <w:szCs w:val="7"/>
                <w:color w:val="auto"/>
              </w:rPr>
            </w:pPr>
          </w:p>
        </w:tc>
        <w:tc>
          <w:tcPr>
            <w:tcW w:w="8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vMerge w:val="continue"/>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hanging="55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42,021,902 shares of Class C common stock</w:t>
      </w:r>
    </w:p>
    <w:p>
      <w:pPr>
        <w:spacing w:after="0" w:line="287" w:lineRule="exact"/>
        <w:rPr>
          <w:rFonts w:ascii="Times New Roman" w:cs="Times New Roman" w:eastAsia="Times New Roman" w:hAnsi="Times New Roman"/>
          <w:sz w:val="18"/>
          <w:szCs w:val="18"/>
          <w:color w:val="auto"/>
        </w:rPr>
      </w:pPr>
    </w:p>
    <w:p>
      <w:pPr>
        <w:ind w:left="1020" w:hanging="553"/>
        <w:spacing w:after="0" w:line="207" w:lineRule="exact"/>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87"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33.7%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-481965</wp:posOffset>
            </wp:positionV>
            <wp:extent cx="6489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-970915</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-1322070</wp:posOffset>
            </wp:positionV>
            <wp:extent cx="64890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27"/>
        </w:trPr>
        <w:tc>
          <w:tcPr>
            <w:tcW w:w="40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1040" w:hanging="5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III Zephyr Midco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85"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17"/>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90"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17"/>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3175</wp:posOffset>
            </wp:positionV>
            <wp:extent cx="61290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-176530</wp:posOffset>
            </wp:positionV>
            <wp:extent cx="61290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04" w:lineRule="exact"/>
        <w:rPr>
          <w:sz w:val="20"/>
          <w:szCs w:val="20"/>
          <w:color w:val="auto"/>
        </w:rPr>
      </w:pPr>
    </w:p>
    <w:p>
      <w:pPr>
        <w:ind w:left="1040" w:hanging="5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27" w:lineRule="exact"/>
        <w:rPr>
          <w:sz w:val="20"/>
          <w:szCs w:val="20"/>
          <w:color w:val="auto"/>
        </w:rPr>
      </w:pPr>
    </w:p>
    <w:p>
      <w:pPr>
        <w:ind w:left="1040" w:hanging="5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327" w:lineRule="exact"/>
        <w:rPr>
          <w:sz w:val="20"/>
          <w:szCs w:val="20"/>
          <w:color w:val="auto"/>
        </w:rPr>
      </w:pPr>
    </w:p>
    <w:p>
      <w:pPr>
        <w:ind w:left="1040" w:right="7580" w:hanging="573"/>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-22225</wp:posOffset>
            </wp:positionV>
            <wp:extent cx="6480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960" w:type="dxa"/>
            <w:vAlign w:val="bottom"/>
            <w:vMerge w:val="continue"/>
          </w:tcPr>
          <w:p>
            <w:pPr>
              <w:spacing w:after="0"/>
              <w:rPr>
                <w:sz w:val="15"/>
                <w:szCs w:val="15"/>
                <w:color w:val="auto"/>
              </w:rPr>
            </w:pPr>
          </w:p>
        </w:tc>
        <w:tc>
          <w:tcPr>
            <w:tcW w:w="8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960" w:type="dxa"/>
            <w:vAlign w:val="bottom"/>
          </w:tcPr>
          <w:p>
            <w:pPr>
              <w:spacing w:after="0"/>
              <w:rPr>
                <w:sz w:val="18"/>
                <w:szCs w:val="18"/>
                <w:color w:val="auto"/>
              </w:rPr>
            </w:pPr>
          </w:p>
        </w:tc>
        <w:tc>
          <w:tcPr>
            <w:tcW w:w="8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6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60" w:type="dxa"/>
            <w:vAlign w:val="bottom"/>
          </w:tcPr>
          <w:p>
            <w:pPr>
              <w:spacing w:after="0"/>
              <w:rPr>
                <w:sz w:val="7"/>
                <w:szCs w:val="7"/>
                <w:color w:val="auto"/>
              </w:rPr>
            </w:pPr>
          </w:p>
        </w:tc>
        <w:tc>
          <w:tcPr>
            <w:tcW w:w="8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vMerge w:val="continue"/>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hanging="55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42,021,902 shares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33.7%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-481965</wp:posOffset>
            </wp:positionV>
            <wp:extent cx="6489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-970915</wp:posOffset>
            </wp:positionV>
            <wp:extent cx="6489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-1322070</wp:posOffset>
            </wp:positionV>
            <wp:extent cx="6489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27"/>
        </w:trPr>
        <w:tc>
          <w:tcPr>
            <w:tcW w:w="40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1040" w:right="8140" w:hanging="573"/>
        <w:spacing w:after="0" w:line="312"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Zephyr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6350</wp:posOffset>
            </wp:positionV>
            <wp:extent cx="64808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9" w:lineRule="exact"/>
        <w:rPr>
          <w:sz w:val="20"/>
          <w:szCs w:val="20"/>
          <w:color w:val="auto"/>
        </w:rPr>
      </w:pPr>
    </w:p>
    <w:p>
      <w:pPr>
        <w:ind w:left="1040" w:hanging="573"/>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85"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2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90"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2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3175</wp:posOffset>
            </wp:positionV>
            <wp:extent cx="61290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-176530</wp:posOffset>
            </wp:positionV>
            <wp:extent cx="61290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04" w:lineRule="exact"/>
        <w:rPr>
          <w:sz w:val="20"/>
          <w:szCs w:val="20"/>
          <w:color w:val="auto"/>
        </w:rPr>
      </w:pPr>
    </w:p>
    <w:p>
      <w:pPr>
        <w:ind w:left="1040" w:hanging="5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27" w:lineRule="exact"/>
        <w:rPr>
          <w:sz w:val="20"/>
          <w:szCs w:val="20"/>
          <w:color w:val="auto"/>
        </w:rPr>
      </w:pPr>
    </w:p>
    <w:p>
      <w:pPr>
        <w:ind w:left="1040" w:hanging="5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327" w:lineRule="exact"/>
        <w:rPr>
          <w:sz w:val="20"/>
          <w:szCs w:val="20"/>
          <w:color w:val="auto"/>
        </w:rPr>
      </w:pPr>
    </w:p>
    <w:p>
      <w:pPr>
        <w:ind w:left="1040" w:right="7580" w:hanging="573"/>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-22225</wp:posOffset>
            </wp:positionV>
            <wp:extent cx="64808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960" w:type="dxa"/>
            <w:vAlign w:val="bottom"/>
            <w:vMerge w:val="continue"/>
          </w:tcPr>
          <w:p>
            <w:pPr>
              <w:spacing w:after="0"/>
              <w:rPr>
                <w:sz w:val="15"/>
                <w:szCs w:val="15"/>
                <w:color w:val="auto"/>
              </w:rPr>
            </w:pPr>
          </w:p>
        </w:tc>
        <w:tc>
          <w:tcPr>
            <w:tcW w:w="8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960" w:type="dxa"/>
            <w:vAlign w:val="bottom"/>
          </w:tcPr>
          <w:p>
            <w:pPr>
              <w:spacing w:after="0"/>
              <w:rPr>
                <w:sz w:val="18"/>
                <w:szCs w:val="18"/>
                <w:color w:val="auto"/>
              </w:rPr>
            </w:pPr>
          </w:p>
        </w:tc>
        <w:tc>
          <w:tcPr>
            <w:tcW w:w="8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6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60" w:type="dxa"/>
            <w:vAlign w:val="bottom"/>
          </w:tcPr>
          <w:p>
            <w:pPr>
              <w:spacing w:after="0"/>
              <w:rPr>
                <w:sz w:val="7"/>
                <w:szCs w:val="7"/>
                <w:color w:val="auto"/>
              </w:rPr>
            </w:pPr>
          </w:p>
        </w:tc>
        <w:tc>
          <w:tcPr>
            <w:tcW w:w="8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vMerge w:val="continue"/>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hanging="55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42,021,902 shares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33.7%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-481965</wp:posOffset>
            </wp:positionV>
            <wp:extent cx="64890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-970915</wp:posOffset>
            </wp:positionV>
            <wp:extent cx="6489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-1322070</wp:posOffset>
            </wp:positionV>
            <wp:extent cx="64890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27"/>
        </w:trPr>
        <w:tc>
          <w:tcPr>
            <w:tcW w:w="40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1040" w:hanging="5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III Zephyr Acquisition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85"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3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90"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3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3175</wp:posOffset>
            </wp:positionV>
            <wp:extent cx="6129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-176530</wp:posOffset>
            </wp:positionV>
            <wp:extent cx="6129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04" w:lineRule="exact"/>
        <w:rPr>
          <w:sz w:val="20"/>
          <w:szCs w:val="20"/>
          <w:color w:val="auto"/>
        </w:rPr>
      </w:pPr>
    </w:p>
    <w:p>
      <w:pPr>
        <w:ind w:left="1040" w:hanging="573"/>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27" w:lineRule="exact"/>
        <w:rPr>
          <w:sz w:val="20"/>
          <w:szCs w:val="20"/>
          <w:color w:val="auto"/>
        </w:rPr>
      </w:pPr>
    </w:p>
    <w:p>
      <w:pPr>
        <w:ind w:left="1040" w:hanging="5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327" w:lineRule="exact"/>
        <w:rPr>
          <w:sz w:val="20"/>
          <w:szCs w:val="20"/>
          <w:color w:val="auto"/>
        </w:rPr>
      </w:pPr>
    </w:p>
    <w:p>
      <w:pPr>
        <w:ind w:left="1040" w:right="7580" w:hanging="573"/>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-22225</wp:posOffset>
            </wp:positionV>
            <wp:extent cx="64808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960" w:type="dxa"/>
            <w:vAlign w:val="bottom"/>
            <w:vMerge w:val="continue"/>
          </w:tcPr>
          <w:p>
            <w:pPr>
              <w:spacing w:after="0"/>
              <w:rPr>
                <w:sz w:val="15"/>
                <w:szCs w:val="15"/>
                <w:color w:val="auto"/>
              </w:rPr>
            </w:pPr>
          </w:p>
        </w:tc>
        <w:tc>
          <w:tcPr>
            <w:tcW w:w="8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960" w:type="dxa"/>
            <w:vAlign w:val="bottom"/>
          </w:tcPr>
          <w:p>
            <w:pPr>
              <w:spacing w:after="0"/>
              <w:rPr>
                <w:sz w:val="18"/>
                <w:szCs w:val="18"/>
                <w:color w:val="auto"/>
              </w:rPr>
            </w:pPr>
          </w:p>
        </w:tc>
        <w:tc>
          <w:tcPr>
            <w:tcW w:w="8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6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60" w:type="dxa"/>
            <w:vAlign w:val="bottom"/>
          </w:tcPr>
          <w:p>
            <w:pPr>
              <w:spacing w:after="0"/>
              <w:rPr>
                <w:sz w:val="7"/>
                <w:szCs w:val="7"/>
                <w:color w:val="auto"/>
              </w:rPr>
            </w:pPr>
          </w:p>
        </w:tc>
        <w:tc>
          <w:tcPr>
            <w:tcW w:w="8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vMerge w:val="continue"/>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hanging="55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42,021,902 shares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33.7%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-481965</wp:posOffset>
            </wp:positionV>
            <wp:extent cx="6489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-970915</wp:posOffset>
            </wp:positionV>
            <wp:extent cx="6489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-1322070</wp:posOffset>
            </wp:positionV>
            <wp:extent cx="6489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0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27"/>
        </w:trPr>
        <w:tc>
          <w:tcPr>
            <w:tcW w:w="404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1040" w:right="8060" w:hanging="573"/>
        <w:spacing w:after="0" w:line="312" w:lineRule="auto"/>
        <w:tabs>
          <w:tab w:leader="none" w:pos="10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-36195</wp:posOffset>
            </wp:positionV>
            <wp:extent cx="64808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41" w:lineRule="exact"/>
        <w:rPr>
          <w:sz w:val="20"/>
          <w:szCs w:val="20"/>
          <w:color w:val="auto"/>
        </w:rPr>
      </w:pPr>
    </w:p>
    <w:p>
      <w:pPr>
        <w:ind w:left="1040" w:hanging="573"/>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85"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3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90" w:lineRule="exact"/>
        <w:rPr>
          <w:rFonts w:ascii="Times New Roman" w:cs="Times New Roman" w:eastAsia="Times New Roman" w:hAnsi="Times New Roman"/>
          <w:sz w:val="18"/>
          <w:szCs w:val="18"/>
          <w:color w:val="auto"/>
        </w:rPr>
      </w:pPr>
    </w:p>
    <w:p>
      <w:pPr>
        <w:ind w:left="1640" w:hanging="548"/>
        <w:spacing w:after="0"/>
        <w:tabs>
          <w:tab w:leader="none" w:pos="1640" w:val="left"/>
        </w:tabs>
        <w:numPr>
          <w:ilvl w:val="1"/>
          <w:numId w:val="3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3175</wp:posOffset>
            </wp:positionV>
            <wp:extent cx="61290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-176530</wp:posOffset>
            </wp:positionV>
            <wp:extent cx="61290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04" w:lineRule="exact"/>
        <w:rPr>
          <w:sz w:val="20"/>
          <w:szCs w:val="20"/>
          <w:color w:val="auto"/>
        </w:rPr>
      </w:pPr>
    </w:p>
    <w:p>
      <w:pPr>
        <w:ind w:left="1040" w:hanging="573"/>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27" w:lineRule="exact"/>
        <w:rPr>
          <w:sz w:val="20"/>
          <w:szCs w:val="20"/>
          <w:color w:val="auto"/>
        </w:rPr>
      </w:pPr>
    </w:p>
    <w:p>
      <w:pPr>
        <w:ind w:left="1040" w:hanging="573"/>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4808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8" w:lineRule="exact"/>
        <w:rPr>
          <w:sz w:val="20"/>
          <w:szCs w:val="20"/>
          <w:color w:val="auto"/>
        </w:rPr>
      </w:pPr>
    </w:p>
    <w:p>
      <w:pPr>
        <w:ind w:left="1040" w:hanging="573"/>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327" w:lineRule="exact"/>
        <w:rPr>
          <w:sz w:val="20"/>
          <w:szCs w:val="20"/>
          <w:color w:val="auto"/>
        </w:rPr>
      </w:pPr>
    </w:p>
    <w:p>
      <w:pPr>
        <w:ind w:left="1040" w:right="7580" w:hanging="573"/>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-22225</wp:posOffset>
            </wp:positionV>
            <wp:extent cx="64808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960" w:type="dxa"/>
            <w:vAlign w:val="bottom"/>
            <w:vMerge w:val="continue"/>
          </w:tcPr>
          <w:p>
            <w:pPr>
              <w:spacing w:after="0"/>
              <w:rPr>
                <w:sz w:val="15"/>
                <w:szCs w:val="15"/>
                <w:color w:val="auto"/>
              </w:rPr>
            </w:pPr>
          </w:p>
        </w:tc>
        <w:tc>
          <w:tcPr>
            <w:tcW w:w="8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Beneficially</w:t>
            </w:r>
          </w:p>
        </w:tc>
        <w:tc>
          <w:tcPr>
            <w:tcW w:w="960" w:type="dxa"/>
            <w:vAlign w:val="bottom"/>
          </w:tcPr>
          <w:p>
            <w:pPr>
              <w:spacing w:after="0"/>
              <w:rPr>
                <w:sz w:val="18"/>
                <w:szCs w:val="18"/>
                <w:color w:val="auto"/>
              </w:rPr>
            </w:pPr>
          </w:p>
        </w:tc>
        <w:tc>
          <w:tcPr>
            <w:tcW w:w="89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8"/>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960" w:type="dxa"/>
            <w:vAlign w:val="bottom"/>
            <w:vMerge w:val="continue"/>
          </w:tcPr>
          <w:p>
            <w:pPr>
              <w:spacing w:after="0"/>
              <w:rPr>
                <w:sz w:val="5"/>
                <w:szCs w:val="5"/>
                <w:color w:val="auto"/>
              </w:rPr>
            </w:pPr>
          </w:p>
        </w:tc>
        <w:tc>
          <w:tcPr>
            <w:tcW w:w="8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60" w:type="dxa"/>
            <w:vAlign w:val="bottom"/>
          </w:tcPr>
          <w:p>
            <w:pPr>
              <w:spacing w:after="0"/>
              <w:rPr>
                <w:sz w:val="7"/>
                <w:szCs w:val="7"/>
                <w:color w:val="auto"/>
              </w:rPr>
            </w:pPr>
          </w:p>
        </w:tc>
        <w:tc>
          <w:tcPr>
            <w:tcW w:w="8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vMerge w:val="continue"/>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42,021,902 shares of Class C common stock</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20" w:hanging="55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42,021,902 shares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Wingdings" w:cs="Wingdings" w:eastAsia="Wingdings" w:hAnsi="Wingdings"/>
          <w:sz w:val="18"/>
          <w:szCs w:val="18"/>
          <w:b w:val="1"/>
          <w:bCs w:val="1"/>
          <w:color w:val="auto"/>
        </w:rPr>
        <w:t>o</w:t>
      </w:r>
    </w:p>
    <w:p>
      <w:pPr>
        <w:spacing w:after="0" w:line="34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33.7% of Class C common stock</w:t>
      </w:r>
    </w:p>
    <w:p>
      <w:pPr>
        <w:spacing w:after="0" w:line="32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-481965</wp:posOffset>
            </wp:positionV>
            <wp:extent cx="64890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-970915</wp:posOffset>
            </wp:positionV>
            <wp:extent cx="6489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-1322070</wp:posOffset>
            </wp:positionV>
            <wp:extent cx="64890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3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amends and supplements the statement on Schedule 13D originally filed with the United States Securities and Exchange Commission (the "SEC") on September 10, 2018, as amended by Amendment No. 1 filed with the SEC on May 25, 2022, as amended by Amendment No. 2 filed with the SEC on September 15, 2022 (as amended,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related to the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Class C common stock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of Clearway Energy,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whose principal executive offices are located at 300 Carnegie Center, Princeton, New Jersey 08540.</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Amendment is being filed to disclose transactions related to grants of Class C Common Stock made in connection with the administration of the Clearway Energy Group Long Term Equity Incentive Program which, in the aggregate since the filing of Amendment No. 2, amount to more than 1% of the Class C Common Stock outstanding. The Items below amend the information disclosed under the corresponding Items of the Schedule 13D as described below. Except as specifically provided herein, this Amendment does not modify any of the information previously reported in the Schedule 13D. Capitalized terms used but not defined herein shall have the meanings attributed to them in the Schedule 13D.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Schedule 13D is hereby amended and restated to include the updated Schedule A attached hereto,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4 of this Schedule 13D is incorporated by reference in its entirety into this Item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Since the filing of Amendment No. 2, Clearway Energy Group has granted 880,923 shares of Class C Common Stock to its employees in connection with the administration of the Clearway Energy Group Long Term Equity Incentive Program. In connection with such grants, since the filing of Amendment No. 2, Clearway Energy Group has purchased an aggregate of 268,944 shares of Class C Common Stock using working capital and on</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June 26, 2024, Clearway Energy Group converted 375,000 Class D units of Clearway Energy LLC (“</w:t>
      </w:r>
      <w:r>
        <w:rPr>
          <w:rFonts w:ascii="Times New Roman" w:cs="Times New Roman" w:eastAsia="Times New Roman" w:hAnsi="Times New Roman"/>
          <w:sz w:val="18"/>
          <w:szCs w:val="18"/>
          <w:u w:val="single" w:color="auto"/>
          <w:color w:val="auto"/>
        </w:rPr>
        <w:t>Class D Units</w:t>
      </w:r>
      <w:r>
        <w:rPr>
          <w:rFonts w:ascii="Times New Roman" w:cs="Times New Roman" w:eastAsia="Times New Roman" w:hAnsi="Times New Roman"/>
          <w:sz w:val="18"/>
          <w:szCs w:val="18"/>
          <w:color w:val="auto"/>
        </w:rPr>
        <w:t>”) into 375,000 shares of Class C Common Stock.</w:t>
      </w:r>
    </w:p>
    <w:p>
      <w:pPr>
        <w:spacing w:after="0" w:line="1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by the Issuer, Craig Cornelius, Chief Executive Officer of Clearway Energy Group, has been elected to serve as a member of the Board of Directors and Chief Executive Officer of the Issuer, effective July 1, 2024. Clearway Energy Group granted Mr. Cornelius 375,000 shares of Class C Common Stock pursuant to the Clearway Energy Group Long Term Equity Incentive Program on June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(a)-(c) of the Schedule 13D is hereby amended and restated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number and percentage of shares of Class A Common Stock and Class C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the Schedule 13D and are incorporated herein by reference.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ind w:firstLine="648"/>
        <w:spacing w:after="0" w:line="256" w:lineRule="auto"/>
        <w:rPr>
          <w:sz w:val="20"/>
          <w:szCs w:val="20"/>
          <w:color w:val="auto"/>
        </w:rPr>
      </w:pPr>
      <w:r>
        <w:rPr>
          <w:rFonts w:ascii="Times New Roman" w:cs="Times New Roman" w:eastAsia="Times New Roman" w:hAnsi="Times New Roman"/>
          <w:sz w:val="18"/>
          <w:szCs w:val="18"/>
          <w:color w:val="auto"/>
        </w:rPr>
        <w:t>Calculations of the percentage of shares of stock beneficially owned are based on 34,613,853 shares of Class A Common Stock and 82,454,344 shares of Class C Common Stock, respectively, outstanding as of April 30, 2024, as reported in the Issuer’s Quarterly Report on Form 10-Q filed with the Securities and Exchange Commission on May 9, 2024, plus the 375,000 shares of Class C Common Stock outstanding following the conversion of 375,000 Class D Units disclosed herein and take into account the number of Class B units of Clearway Energy LLC (“</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and Class D units of Clearway Energy LLC (“</w:t>
      </w:r>
      <w:r>
        <w:rPr>
          <w:rFonts w:ascii="Times New Roman" w:cs="Times New Roman" w:eastAsia="Times New Roman" w:hAnsi="Times New Roman"/>
          <w:sz w:val="18"/>
          <w:szCs w:val="18"/>
          <w:u w:val="single" w:color="auto"/>
          <w:color w:val="auto"/>
        </w:rPr>
        <w:t>Class D Units</w:t>
      </w:r>
      <w:r>
        <w:rPr>
          <w:rFonts w:ascii="Times New Roman" w:cs="Times New Roman" w:eastAsia="Times New Roman" w:hAnsi="Times New Roman"/>
          <w:sz w:val="18"/>
          <w:szCs w:val="18"/>
          <w:color w:val="auto"/>
        </w:rPr>
        <w:t>”) beneficially owned by the Reporting Persons and convertible into shares of Class A Common Stock and Class C Common Stock, respectively, as applicable.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Clearway Energy Group is the record holder of 21,841 shares of Class A Common Stock, 42,738,750 Class B Units, 60,152 shares of Class C Common Stock and 41,961,750 Class D Units. Pursuant to the terms of the Exchange 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Zephyr GP is the general partner of Zephyr, which is the sole member of Clearway Energy Group. Zephyr GP is owned by Midco and TTE Investor. Global Investors is the sole general partner of Global GP, which is the general partner of Midco. As a result, each of GIP, Zephyr GP, Midco, Global GP and Global Investors, may be deemed to share beneficial ownership of the Class A Common Stock and Class C Common Stock beneficially owned by Clearway Energy Group. 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Class A Common Stock and Class C Common Stock beneficially owned by Global Investors. Such individuals expressly disclaim any such beneficial ownership.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Related Persons beneficially owns any shares of Class A Common Stock or Class C Common Stock.</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By virtue of the relationships and agreements described herein, the Reporting Persons and TTE Investor and its affiliates may be deemed to be members of a “group” for purposes of Section 13(d) of the Exchange Act. However, neither the filing of this Schedule 13D nor any of its contents shall be deemed to constitute an admission that such persons are members of any such group. TTE Investor and certain of their affiliates are separately making a Schedule 13D filing reporting the Class A Common Stock and Class C Common Stock they may be deemed to beneficially own. Each Reporting Person disclaims beneficial ownership of any Class A Common Stock and Class C Common Stock that may be deemed to be beneficially owned by TotalEnergies Renewables USA, LLC and its affiliates, except as otherwise described herein.</w:t>
      </w:r>
    </w:p>
    <w:p>
      <w:pPr>
        <w:spacing w:after="0" w:line="187" w:lineRule="exact"/>
        <w:rPr>
          <w:sz w:val="20"/>
          <w:szCs w:val="20"/>
          <w:color w:val="auto"/>
        </w:rPr>
      </w:pPr>
    </w:p>
    <w:p>
      <w:pPr>
        <w:ind w:left="340" w:right="560" w:hanging="332"/>
        <w:spacing w:after="0" w:line="282" w:lineRule="auto"/>
        <w:tabs>
          <w:tab w:leader="none" w:pos="3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including the transactions listed on Annex A attached hereto, none of the Reporting Persons or Related Persons has effected any transactions in Class A Common Stock or Class C Common Stock in the past 60 days.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June 28,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INVESTORS III,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GP III,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MIDCO HOLDINGS,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Myers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Gregg Myers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ZEPHYR HOLDINGS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ACQUISITION PARTNERS,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Zephyr Holdings GP,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Gregg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Alicia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Alicia Stevenson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 Business 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A</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Transactions in Class A Common Stock and Class C Common Stock in the previous 60 days</w:t>
            </w:r>
          </w:p>
        </w:tc>
        <w:tc>
          <w:tcPr>
            <w:tcW w:w="2020" w:type="dxa"/>
            <w:vAlign w:val="bottom"/>
          </w:tcPr>
          <w:p>
            <w:pPr>
              <w:spacing w:after="0"/>
              <w:rPr>
                <w:sz w:val="24"/>
                <w:szCs w:val="24"/>
                <w:color w:val="auto"/>
              </w:rPr>
            </w:pPr>
          </w:p>
        </w:tc>
      </w:tr>
      <w:tr>
        <w:trPr>
          <w:trHeight w:val="445"/>
        </w:trPr>
        <w:tc>
          <w:tcPr>
            <w:tcW w:w="2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Security</w:t>
            </w:r>
          </w:p>
        </w:tc>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Shares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Transaction</w:t>
            </w:r>
          </w:p>
        </w:tc>
        <w:tc>
          <w:tcPr>
            <w:tcW w:w="20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Price</w:t>
            </w:r>
          </w:p>
        </w:tc>
      </w:tr>
      <w:tr>
        <w:trPr>
          <w:trHeight w:val="209"/>
        </w:trPr>
        <w:tc>
          <w:tcPr>
            <w:tcW w:w="20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05/03/2024</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266</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05/15/2024</w:t>
            </w:r>
          </w:p>
        </w:tc>
        <w:tc>
          <w:tcPr>
            <w:tcW w:w="120" w:type="dxa"/>
            <w:vAlign w:val="bottom"/>
          </w:tcPr>
          <w:p>
            <w:pPr>
              <w:spacing w:after="0"/>
              <w:rPr>
                <w:sz w:val="18"/>
                <w:szCs w:val="18"/>
                <w:color w:val="auto"/>
              </w:rPr>
            </w:pPr>
          </w:p>
        </w:tc>
        <w:tc>
          <w:tcPr>
            <w:tcW w:w="2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469</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$27.48(3)</w:t>
            </w:r>
          </w:p>
        </w:tc>
      </w:tr>
      <w:tr>
        <w:trPr>
          <w:trHeight w:val="216"/>
        </w:trPr>
        <w:tc>
          <w:tcPr>
            <w:tcW w:w="2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05/20/2024</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213</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05/24/2024</w:t>
            </w:r>
          </w:p>
        </w:tc>
        <w:tc>
          <w:tcPr>
            <w:tcW w:w="120" w:type="dxa"/>
            <w:vAlign w:val="bottom"/>
          </w:tcPr>
          <w:p>
            <w:pPr>
              <w:spacing w:after="0"/>
              <w:rPr>
                <w:sz w:val="18"/>
                <w:szCs w:val="18"/>
                <w:color w:val="auto"/>
              </w:rPr>
            </w:pPr>
          </w:p>
        </w:tc>
        <w:tc>
          <w:tcPr>
            <w:tcW w:w="2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$26.85(3)</w:t>
            </w:r>
          </w:p>
        </w:tc>
      </w:tr>
      <w:tr>
        <w:trPr>
          <w:trHeight w:val="216"/>
        </w:trPr>
        <w:tc>
          <w:tcPr>
            <w:tcW w:w="2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06/07/2024</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213</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06/18/2024</w:t>
            </w:r>
          </w:p>
        </w:tc>
        <w:tc>
          <w:tcPr>
            <w:tcW w:w="120" w:type="dxa"/>
            <w:vAlign w:val="bottom"/>
          </w:tcPr>
          <w:p>
            <w:pPr>
              <w:spacing w:after="0"/>
              <w:rPr>
                <w:sz w:val="18"/>
                <w:szCs w:val="18"/>
                <w:color w:val="auto"/>
              </w:rPr>
            </w:pPr>
          </w:p>
        </w:tc>
        <w:tc>
          <w:tcPr>
            <w:tcW w:w="2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06/21/2024</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213</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06/26/2024</w:t>
            </w:r>
          </w:p>
        </w:tc>
        <w:tc>
          <w:tcPr>
            <w:tcW w:w="120" w:type="dxa"/>
            <w:vAlign w:val="bottom"/>
          </w:tcPr>
          <w:p>
            <w:pPr>
              <w:spacing w:after="0"/>
              <w:rPr>
                <w:sz w:val="18"/>
                <w:szCs w:val="18"/>
                <w:color w:val="auto"/>
              </w:rPr>
            </w:pPr>
          </w:p>
        </w:tc>
        <w:tc>
          <w:tcPr>
            <w:tcW w:w="2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06/28/2024</w:t>
            </w:r>
          </w:p>
        </w:tc>
        <w:tc>
          <w:tcPr>
            <w:tcW w:w="1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C Common Stock</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680" w:firstLine="8"/>
        <w:spacing w:after="0" w:line="261"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granted by Clearway Energy Group under its Long Term Equity Incentive Program to one or more of its employees.</w:t>
      </w:r>
    </w:p>
    <w:p>
      <w:pPr>
        <w:ind w:right="500" w:firstLine="8"/>
        <w:spacing w:after="0" w:line="250"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previously granted by Clearway Energy Group under its Long Term Equity Incentive Program forfeited by certain of its employees due to termination of service.</w:t>
      </w:r>
    </w:p>
    <w:p>
      <w:pPr>
        <w:ind w:right="260" w:firstLine="8"/>
        <w:spacing w:after="0" w:line="250"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to satisfy tax withholding obligations in connection with the vesting of restricted stock of the Issuer previously granted by Clearway Energy Group under its Long Term Equity Incentive Program to certain of its employees.</w:t>
      </w: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received pursuant to the exchange of Class D Units for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name, present principal occupation or employment and citizenship of each of the executive officers and directors of Global Infrastructure Investors III, LLC and Zephyr Holdings GP, LLC and the executive officer of Clearway Energy Group LLC are set forth below. Unless otherwise noted, the business address of each individual affiliated with Global Infrastructure Investors III, LLC is c/o Global Infrastructure Management, LLC, 1345 Avenue of the Americas, 30th Floor, New York, New York 10105.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Global Infrastructure Investors III, LLC</w:t>
            </w:r>
          </w:p>
        </w:tc>
        <w:tc>
          <w:tcPr>
            <w:tcW w:w="224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r>
      <w:tr>
        <w:trPr>
          <w:trHeight w:val="45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4"/>
                <w:szCs w:val="24"/>
                <w:color w:val="auto"/>
              </w:rPr>
            </w:pPr>
          </w:p>
        </w:tc>
        <w:tc>
          <w:tcPr>
            <w:tcW w:w="7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Adebayo Ogunlesi</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Partner / Founding 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Ashworth</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Counsel and Chief Compliance Officer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Brilliant</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Harris</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Rajaram Rao</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 Chief Operating Officer and 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Salim Samaha</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Stewart</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Gregg Myers</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Director of Finance and Accounting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Zephyr Holdings GP, LLC</w:t>
            </w:r>
          </w:p>
        </w:tc>
        <w:tc>
          <w:tcPr>
            <w:tcW w:w="1800" w:type="dxa"/>
            <w:vAlign w:val="bottom"/>
          </w:tcPr>
          <w:p>
            <w:pPr>
              <w:spacing w:after="0"/>
              <w:rPr>
                <w:sz w:val="17"/>
                <w:szCs w:val="17"/>
                <w:color w:val="auto"/>
              </w:rPr>
            </w:pPr>
          </w:p>
        </w:tc>
      </w:tr>
      <w:tr>
        <w:trPr>
          <w:trHeight w:val="20"/>
        </w:trPr>
        <w:tc>
          <w:tcPr>
            <w:tcW w:w="22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5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4"/>
                <w:szCs w:val="24"/>
                <w:color w:val="auto"/>
              </w:rPr>
            </w:pPr>
          </w:p>
        </w:tc>
        <w:tc>
          <w:tcPr>
            <w:tcW w:w="7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Vincent Stoquart</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Vice-President Renewables, TotalEnergies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Guillaume Hédiard</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Vice-President Transaction Renewables, TotalEnergies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Nathaniel Anschuetz</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at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Callahan</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Emmanuel Barrois</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Vice-President Joint Ventures, TotalEnergies Renewables USA</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Clearway Energy Group LLC</w:t>
            </w:r>
          </w:p>
        </w:tc>
        <w:tc>
          <w:tcPr>
            <w:tcW w:w="266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r>
      <w:tr>
        <w:trPr>
          <w:trHeight w:val="45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4"/>
                <w:szCs w:val="24"/>
                <w:color w:val="auto"/>
              </w:rPr>
            </w:pPr>
          </w:p>
        </w:tc>
        <w:tc>
          <w:tcPr>
            <w:tcW w:w="7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7"/>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Cornelius</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 of Clearway Energy Group</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Hein</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Counsel of Clearway Energy Group</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Ryder</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Financial Officer of Clearway Energy Group</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Alicia Stevenson</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 President, Business Operations &amp; Strategy of Clearway Energy Group</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 Gardner</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 President &amp; Treasurer of Clearway Energy Group</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Crystal Clark-Knapp</w:t>
            </w:r>
          </w:p>
        </w:tc>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Legal Operations Manager of Clearway Energy Group</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59"/>
        </w:trPr>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bullet"/>
      <w:start w:val="1"/>
    </w:lvl>
  </w:abstractNum>
  <w:abstractNum w:abstractNumId="2">
    <w:nsid w:val="75A2A8D4"/>
    <w:multiLevelType w:val="hybridMultilevel"/>
    <w:lvl w:ilvl="0">
      <w:lvlJc w:val="left"/>
      <w:lvlText w:val="2"/>
      <w:numFmt w:val="bullet"/>
      <w:start w:val="1"/>
    </w:lvl>
    <w:lvl w:ilvl="1">
      <w:lvlJc w:val="left"/>
      <w:lvlText w:val="(%2)"/>
      <w:numFmt w:val="lowerLetter"/>
      <w:start w:val="1"/>
    </w:lvl>
  </w:abstractNum>
  <w:abstractNum w:abstractNumId="3">
    <w:nsid w:val="8EDBDAB"/>
    <w:multiLevelType w:val="hybridMultilevel"/>
    <w:lvl w:ilvl="0">
      <w:lvlJc w:val="left"/>
      <w:lvlText w:val="3"/>
      <w:numFmt w:val="bullet"/>
      <w:start w:val="1"/>
    </w:lvl>
  </w:abstractNum>
  <w:abstractNum w:abstractNumId="4">
    <w:nsid w:val="79838CB2"/>
    <w:multiLevelType w:val="hybridMultilevel"/>
    <w:lvl w:ilvl="0">
      <w:lvlJc w:val="left"/>
      <w:lvlText w:val="4"/>
      <w:numFmt w:val="bullet"/>
      <w:start w:val="1"/>
    </w:lvl>
  </w:abstractNum>
  <w:abstractNum w:abstractNumId="5">
    <w:nsid w:val="4353D0CD"/>
    <w:multiLevelType w:val="hybridMultilevel"/>
    <w:lvl w:ilvl="0">
      <w:lvlJc w:val="left"/>
      <w:lvlText w:val="5"/>
      <w:numFmt w:val="bullet"/>
      <w:start w:val="1"/>
    </w:lvl>
  </w:abstractNum>
  <w:abstractNum w:abstractNumId="6">
    <w:nsid w:val="B03E0C6"/>
    <w:multiLevelType w:val="hybridMultilevel"/>
    <w:lvl w:ilvl="0">
      <w:lvlJc w:val="left"/>
      <w:lvlText w:val="6"/>
      <w:numFmt w:val="bullet"/>
      <w:start w:val="1"/>
    </w:lvl>
  </w:abstractNum>
  <w:abstractNum w:abstractNumId="7">
    <w:nsid w:val="189A769B"/>
    <w:multiLevelType w:val="hybridMultilevel"/>
    <w:lvl w:ilvl="0">
      <w:lvlJc w:val="left"/>
      <w:lvlText w:val="%1"/>
      <w:numFmt w:val="decimal"/>
      <w:start w:val="11"/>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2"/>
      <w:numFmt w:val="bullet"/>
      <w:start w:val="1"/>
    </w:lvl>
    <w:lvl w:ilvl="1">
      <w:lvlJc w:val="left"/>
      <w:lvlText w:val="(%2)"/>
      <w:numFmt w:val="lowerLetter"/>
      <w:start w:val="1"/>
    </w:lvl>
  </w:abstractNum>
  <w:abstractNum w:abstractNumId="10">
    <w:nsid w:val="2CA88611"/>
    <w:multiLevelType w:val="hybridMultilevel"/>
    <w:lvl w:ilvl="0">
      <w:lvlJc w:val="left"/>
      <w:lvlText w:val="3"/>
      <w:numFmt w:val="bullet"/>
      <w:start w:val="1"/>
    </w:lvl>
  </w:abstractNum>
  <w:abstractNum w:abstractNumId="11">
    <w:nsid w:val="836C40E"/>
    <w:multiLevelType w:val="hybridMultilevel"/>
    <w:lvl w:ilvl="0">
      <w:lvlJc w:val="left"/>
      <w:lvlText w:val="4"/>
      <w:numFmt w:val="bullet"/>
      <w:start w:val="1"/>
    </w:lvl>
  </w:abstractNum>
  <w:abstractNum w:abstractNumId="12">
    <w:nsid w:val="2901D82"/>
    <w:multiLevelType w:val="hybridMultilevel"/>
    <w:lvl w:ilvl="0">
      <w:lvlJc w:val="left"/>
      <w:lvlText w:val="5"/>
      <w:numFmt w:val="bullet"/>
      <w:start w:val="1"/>
    </w:lvl>
  </w:abstractNum>
  <w:abstractNum w:abstractNumId="13">
    <w:nsid w:val="3A95F874"/>
    <w:multiLevelType w:val="hybridMultilevel"/>
    <w:lvl w:ilvl="0">
      <w:lvlJc w:val="left"/>
      <w:lvlText w:val="6"/>
      <w:numFmt w:val="bullet"/>
      <w:start w:val="1"/>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bullet"/>
      <w:start w:val="1"/>
    </w:lvl>
  </w:abstractNum>
  <w:abstractNum w:abstractNumId="16">
    <w:nsid w:val="7C3DBD3D"/>
    <w:multiLevelType w:val="hybridMultilevel"/>
    <w:lvl w:ilvl="0">
      <w:lvlJc w:val="left"/>
      <w:lvlText w:val="2"/>
      <w:numFmt w:val="bullet"/>
      <w:start w:val="1"/>
    </w:lvl>
    <w:lvl w:ilvl="1">
      <w:lvlJc w:val="left"/>
      <w:lvlText w:val="(%2)"/>
      <w:numFmt w:val="lowerLetter"/>
      <w:start w:val="1"/>
    </w:lvl>
  </w:abstractNum>
  <w:abstractNum w:abstractNumId="17">
    <w:nsid w:val="737B8DDC"/>
    <w:multiLevelType w:val="hybridMultilevel"/>
    <w:lvl w:ilvl="0">
      <w:lvlJc w:val="left"/>
      <w:lvlText w:val="3"/>
      <w:numFmt w:val="bullet"/>
      <w:start w:val="1"/>
    </w:lvl>
  </w:abstractNum>
  <w:abstractNum w:abstractNumId="18">
    <w:nsid w:val="6CEAF087"/>
    <w:multiLevelType w:val="hybridMultilevel"/>
    <w:lvl w:ilvl="0">
      <w:lvlJc w:val="left"/>
      <w:lvlText w:val="4"/>
      <w:numFmt w:val="bullet"/>
      <w:start w:val="1"/>
    </w:lvl>
  </w:abstractNum>
  <w:abstractNum w:abstractNumId="19">
    <w:nsid w:val="22221A70"/>
    <w:multiLevelType w:val="hybridMultilevel"/>
    <w:lvl w:ilvl="0">
      <w:lvlJc w:val="left"/>
      <w:lvlText w:val="5"/>
      <w:numFmt w:val="bullet"/>
      <w:start w:val="1"/>
    </w:lvl>
  </w:abstractNum>
  <w:abstractNum w:abstractNumId="20">
    <w:nsid w:val="4516DDE9"/>
    <w:multiLevelType w:val="hybridMultilevel"/>
    <w:lvl w:ilvl="0">
      <w:lvlJc w:val="left"/>
      <w:lvlText w:val="6"/>
      <w:numFmt w:val="bullet"/>
      <w:start w:val="1"/>
    </w:lvl>
  </w:abstractNum>
  <w:abstractNum w:abstractNumId="21">
    <w:nsid w:val="3006C83E"/>
    <w:multiLevelType w:val="hybridMultilevel"/>
    <w:lvl w:ilvl="0">
      <w:lvlJc w:val="left"/>
      <w:lvlText w:val="%1"/>
      <w:numFmt w:val="decimal"/>
      <w:start w:val="11"/>
    </w:lvl>
  </w:abstractNum>
  <w:abstractNum w:abstractNumId="22">
    <w:nsid w:val="614FD4A1"/>
    <w:multiLevelType w:val="hybridMultilevel"/>
    <w:lvl w:ilvl="0">
      <w:lvlJc w:val="left"/>
      <w:lvlText w:val="1"/>
      <w:numFmt w:val="bullet"/>
      <w:start w:val="1"/>
    </w:lvl>
  </w:abstractNum>
  <w:abstractNum w:abstractNumId="23">
    <w:nsid w:val="419AC241"/>
    <w:multiLevelType w:val="hybridMultilevel"/>
    <w:lvl w:ilvl="0">
      <w:lvlJc w:val="left"/>
      <w:lvlText w:val="2"/>
      <w:numFmt w:val="bullet"/>
      <w:start w:val="1"/>
    </w:lvl>
    <w:lvl w:ilvl="1">
      <w:lvlJc w:val="left"/>
      <w:lvlText w:val="(%2)"/>
      <w:numFmt w:val="lowerLetter"/>
      <w:start w:val="1"/>
    </w:lvl>
  </w:abstractNum>
  <w:abstractNum w:abstractNumId="24">
    <w:nsid w:val="5577F8E1"/>
    <w:multiLevelType w:val="hybridMultilevel"/>
    <w:lvl w:ilvl="0">
      <w:lvlJc w:val="left"/>
      <w:lvlText w:val="3"/>
      <w:numFmt w:val="bullet"/>
      <w:start w:val="1"/>
    </w:lvl>
  </w:abstractNum>
  <w:abstractNum w:abstractNumId="25">
    <w:nsid w:val="440BADFC"/>
    <w:multiLevelType w:val="hybridMultilevel"/>
    <w:lvl w:ilvl="0">
      <w:lvlJc w:val="left"/>
      <w:lvlText w:val="4"/>
      <w:numFmt w:val="bullet"/>
      <w:start w:val="1"/>
    </w:lvl>
  </w:abstractNum>
  <w:abstractNum w:abstractNumId="26">
    <w:nsid w:val="5072367"/>
    <w:multiLevelType w:val="hybridMultilevel"/>
    <w:lvl w:ilvl="0">
      <w:lvlJc w:val="left"/>
      <w:lvlText w:val="5"/>
      <w:numFmt w:val="bullet"/>
      <w:start w:val="1"/>
    </w:lvl>
  </w:abstractNum>
  <w:abstractNum w:abstractNumId="27">
    <w:nsid w:val="3804823E"/>
    <w:multiLevelType w:val="hybridMultilevel"/>
    <w:lvl w:ilvl="0">
      <w:lvlJc w:val="left"/>
      <w:lvlText w:val="6"/>
      <w:numFmt w:val="bullet"/>
      <w:start w:val="1"/>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1"/>
      <w:numFmt w:val="bullet"/>
      <w:start w:val="1"/>
    </w:lvl>
  </w:abstractNum>
  <w:abstractNum w:abstractNumId="30">
    <w:nsid w:val="5C482A97"/>
    <w:multiLevelType w:val="hybridMultilevel"/>
    <w:lvl w:ilvl="0">
      <w:lvlJc w:val="left"/>
      <w:lvlText w:val="2"/>
      <w:numFmt w:val="bullet"/>
      <w:start w:val="1"/>
    </w:lvl>
    <w:lvl w:ilvl="1">
      <w:lvlJc w:val="left"/>
      <w:lvlText w:val="(%2)"/>
      <w:numFmt w:val="lowerLetter"/>
      <w:start w:val="1"/>
    </w:lvl>
  </w:abstractNum>
  <w:abstractNum w:abstractNumId="31">
    <w:nsid w:val="2463B9EA"/>
    <w:multiLevelType w:val="hybridMultilevel"/>
    <w:lvl w:ilvl="0">
      <w:lvlJc w:val="left"/>
      <w:lvlText w:val="3"/>
      <w:numFmt w:val="bullet"/>
      <w:start w:val="1"/>
    </w:lvl>
  </w:abstractNum>
  <w:abstractNum w:abstractNumId="32">
    <w:nsid w:val="5E884ADC"/>
    <w:multiLevelType w:val="hybridMultilevel"/>
    <w:lvl w:ilvl="0">
      <w:lvlJc w:val="left"/>
      <w:lvlText w:val="4"/>
      <w:numFmt w:val="bullet"/>
      <w:start w:val="1"/>
    </w:lvl>
  </w:abstractNum>
  <w:abstractNum w:abstractNumId="33">
    <w:nsid w:val="51EAD36B"/>
    <w:multiLevelType w:val="hybridMultilevel"/>
    <w:lvl w:ilvl="0">
      <w:lvlJc w:val="left"/>
      <w:lvlText w:val="5"/>
      <w:numFmt w:val="bullet"/>
      <w:start w:val="1"/>
    </w:lvl>
  </w:abstractNum>
  <w:abstractNum w:abstractNumId="34">
    <w:nsid w:val="2D517796"/>
    <w:multiLevelType w:val="hybridMultilevel"/>
    <w:lvl w:ilvl="0">
      <w:lvlJc w:val="left"/>
      <w:lvlText w:val="6"/>
      <w:numFmt w:val="bullet"/>
      <w:start w:val="1"/>
    </w:lvl>
  </w:abstractNum>
  <w:abstractNum w:abstractNumId="35">
    <w:nsid w:val="580BD78F"/>
    <w:multiLevelType w:val="hybridMultilevel"/>
    <w:lvl w:ilvl="0">
      <w:lvlJc w:val="left"/>
      <w:lvlText w:val="%1"/>
      <w:numFmt w:val="decimal"/>
      <w:start w:val="11"/>
    </w:lvl>
  </w:abstractNum>
  <w:abstractNum w:abstractNumId="36">
    <w:nsid w:val="153EA438"/>
    <w:multiLevelType w:val="hybridMultilevel"/>
    <w:lvl w:ilvl="0">
      <w:lvlJc w:val="left"/>
      <w:lvlText w:val="1"/>
      <w:numFmt w:val="bullet"/>
      <w:start w:val="1"/>
    </w:lvl>
  </w:abstractNum>
  <w:abstractNum w:abstractNumId="37">
    <w:nsid w:val="3855585C"/>
    <w:multiLevelType w:val="hybridMultilevel"/>
    <w:lvl w:ilvl="0">
      <w:lvlJc w:val="left"/>
      <w:lvlText w:val="2"/>
      <w:numFmt w:val="bullet"/>
      <w:start w:val="1"/>
    </w:lvl>
    <w:lvl w:ilvl="1">
      <w:lvlJc w:val="left"/>
      <w:lvlText w:val="(%2)"/>
      <w:numFmt w:val="lowerLetter"/>
      <w:start w:val="1"/>
    </w:lvl>
  </w:abstractNum>
  <w:abstractNum w:abstractNumId="38">
    <w:nsid w:val="70A64E2A"/>
    <w:multiLevelType w:val="hybridMultilevel"/>
    <w:lvl w:ilvl="0">
      <w:lvlJc w:val="left"/>
      <w:lvlText w:val="3"/>
      <w:numFmt w:val="bullet"/>
      <w:start w:val="1"/>
    </w:lvl>
  </w:abstractNum>
  <w:abstractNum w:abstractNumId="39">
    <w:nsid w:val="6A2342EC"/>
    <w:multiLevelType w:val="hybridMultilevel"/>
    <w:lvl w:ilvl="0">
      <w:lvlJc w:val="left"/>
      <w:lvlText w:val="4"/>
      <w:numFmt w:val="bullet"/>
      <w:start w:val="1"/>
    </w:lvl>
  </w:abstractNum>
  <w:abstractNum w:abstractNumId="40">
    <w:nsid w:val="2A487CB0"/>
    <w:multiLevelType w:val="hybridMultilevel"/>
    <w:lvl w:ilvl="0">
      <w:lvlJc w:val="left"/>
      <w:lvlText w:val="5"/>
      <w:numFmt w:val="bullet"/>
      <w:start w:val="1"/>
    </w:lvl>
  </w:abstractNum>
  <w:abstractNum w:abstractNumId="41">
    <w:nsid w:val="1D4ED43B"/>
    <w:multiLevelType w:val="hybridMultilevel"/>
    <w:lvl w:ilvl="0">
      <w:lvlJc w:val="left"/>
      <w:lvlText w:val="6"/>
      <w:numFmt w:val="bullet"/>
      <w:start w:val="1"/>
    </w:lvl>
  </w:abstractNum>
  <w:abstractNum w:abstractNumId="42">
    <w:nsid w:val="725A06FB"/>
    <w:multiLevelType w:val="hybridMultilevel"/>
    <w:lvl w:ilvl="0">
      <w:lvlJc w:val="left"/>
      <w:lvlText w:val="%1"/>
      <w:numFmt w:val="decimal"/>
      <w:start w:val="11"/>
    </w:lvl>
  </w:abstractNum>
  <w:abstractNum w:abstractNumId="43">
    <w:nsid w:val="2CD89A32"/>
    <w:multiLevelType w:val="hybridMultilevel"/>
    <w:lvl w:ilvl="0">
      <w:lvlJc w:val="left"/>
      <w:lvlText w:val="(%1)"/>
      <w:numFmt w:val="lowerLetter"/>
      <w:start w:val="3"/>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2024-06-28T17:28:55Z</dcterms:created>
  <dcterms:modified xsi:type="dcterms:W3CDTF">2024-06-28T17:28:55Z</dcterms:modified>
</cp:coreProperties>
</file>