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0647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NRG YIELD,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NRG Yield,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NYLD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01/02/2018</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4"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54"/>
        <w:spacing w:after="0"/>
        <w:rPr>
          <w:sz w:val="20"/>
          <w:szCs w:val="20"/>
          <w:color w:val="auto"/>
        </w:rPr>
      </w:pPr>
      <w:r>
        <w:rPr>
          <w:rFonts w:ascii="Arial" w:cs="Arial" w:eastAsia="Arial" w:hAnsi="Arial"/>
          <w:sz w:val="17"/>
          <w:szCs w:val="17"/>
          <w:color w:val="0000FF"/>
        </w:rPr>
        <w:t>SVP and CFO</w:t>
      </w:r>
    </w:p>
    <w:p>
      <w:pPr>
        <w:spacing w:after="0" w:line="395" w:lineRule="exact"/>
        <w:rPr>
          <w:sz w:val="24"/>
          <w:szCs w:val="24"/>
          <w:color w:val="auto"/>
        </w:rPr>
      </w:pPr>
    </w:p>
    <w:p>
      <w:pPr>
        <w:sectPr>
          <w:pgSz w:w="11900" w:h="16838" w:orient="portrait"/>
          <w:cols w:equalWidth="0" w:num="3">
            <w:col w:w="3340" w:space="720"/>
            <w:col w:w="3266" w:space="720"/>
            <w:col w:w="347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52"/>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9"/>
          </w:tcPr>
          <w:p>
            <w:pPr>
              <w:ind w:left="36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NJ</w:t>
            </w:r>
          </w:p>
        </w:tc>
        <w:tc>
          <w:tcPr>
            <w:tcW w:w="10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08540</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5"/>
          </w:tcPr>
          <w:p>
            <w:pPr>
              <w:jc w:val="center"/>
              <w:ind w:left="6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7"/>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$.01 per share</w:t>
            </w:r>
          </w:p>
        </w:tc>
        <w:tc>
          <w:tcPr>
            <w:tcW w:w="13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01/02/2018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5,954</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28,527</w:t>
            </w:r>
            <w:r>
              <w:rPr>
                <w:rFonts w:ascii="Arial" w:cs="Arial" w:eastAsia="Arial" w:hAnsi="Arial"/>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00" w:type="dxa"/>
            <w:vAlign w:val="bottom"/>
            <w:gridSpan w:val="11"/>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92"/>
              </w:rPr>
              <w:t>Class C</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restart"/>
          </w:tcPr>
          <w:p>
            <w:pPr>
              <w:jc w:val="center"/>
              <w:spacing w:after="0" w:line="145" w:lineRule="exact"/>
              <w:rPr>
                <w:sz w:val="20"/>
                <w:szCs w:val="20"/>
                <w:color w:val="auto"/>
              </w:rPr>
            </w:pPr>
            <w:r>
              <w:rPr>
                <w:rFonts w:ascii="Arial" w:cs="Arial" w:eastAsia="Arial" w:hAnsi="Arial"/>
                <w:sz w:val="13"/>
                <w:szCs w:val="13"/>
                <w:color w:val="0000FF"/>
                <w:w w:val="93"/>
              </w:rPr>
              <w:t>Stock,</w:t>
            </w:r>
          </w:p>
        </w:tc>
        <w:tc>
          <w:tcPr>
            <w:tcW w:w="680" w:type="dxa"/>
            <w:vAlign w:val="bottom"/>
            <w:vMerge w:val="restart"/>
          </w:tcPr>
          <w:p>
            <w:pPr>
              <w:ind w:left="20"/>
              <w:spacing w:after="0" w:line="220" w:lineRule="exact"/>
              <w:rPr>
                <w:sz w:val="20"/>
                <w:szCs w:val="20"/>
                <w:color w:val="auto"/>
              </w:rPr>
            </w:pPr>
            <w:r>
              <w:rPr>
                <w:rFonts w:ascii="Arial" w:cs="Arial" w:eastAsia="Arial" w:hAnsi="Arial"/>
                <w:sz w:val="17"/>
                <w:szCs w:val="17"/>
                <w:color w:val="0000FF"/>
                <w:w w:val="92"/>
              </w:rPr>
              <w:t>16,632</w:t>
            </w:r>
            <w:r>
              <w:rPr>
                <w:rFonts w:ascii="Arial" w:cs="Arial" w:eastAsia="Arial" w:hAnsi="Arial"/>
                <w:sz w:val="21"/>
                <w:szCs w:val="21"/>
                <w:color w:val="008000"/>
                <w:w w:val="92"/>
                <w:vertAlign w:val="superscript"/>
              </w:rPr>
              <w:t>(5)</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right"/>
              <w:ind w:right="114"/>
              <w:spacing w:after="0"/>
              <w:rPr>
                <w:sz w:val="20"/>
                <w:szCs w:val="20"/>
                <w:color w:val="auto"/>
              </w:rPr>
            </w:pPr>
            <w:r>
              <w:rPr>
                <w:rFonts w:ascii="Arial" w:cs="Arial" w:eastAsia="Arial" w:hAnsi="Arial"/>
                <w:sz w:val="13"/>
                <w:szCs w:val="13"/>
                <w:color w:val="0000FF"/>
              </w:rPr>
              <w:t>01/02/2018</w:t>
            </w: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11,088</w:t>
            </w:r>
          </w:p>
        </w:tc>
        <w:tc>
          <w:tcPr>
            <w:tcW w:w="34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01/02/2021</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01/02/2021</w:t>
            </w:r>
          </w:p>
        </w:tc>
        <w:tc>
          <w:tcPr>
            <w:tcW w:w="6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11,088</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Arial" w:cs="Arial" w:eastAsia="Arial" w:hAnsi="Arial"/>
                <w:sz w:val="8"/>
                <w:szCs w:val="8"/>
                <w:color w:val="0000FF"/>
              </w:rPr>
              <w:t>par value</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$.01 per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issued to Reporting Person under NRG Yield, Inc.'s Amended and Restated 2013 Equity Incentive Plan ("LTIP").</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NRG Yield, Inc.'s Class C Common Stock, par value $.01 per share.</w:t>
      </w:r>
    </w:p>
    <w:p>
      <w:pPr>
        <w:spacing w:after="0" w:line="47" w:lineRule="exact"/>
        <w:rPr>
          <w:rFonts w:ascii="Arial" w:cs="Arial" w:eastAsia="Arial" w:hAnsi="Arial"/>
          <w:sz w:val="13"/>
          <w:szCs w:val="13"/>
          <w:color w:val="008000"/>
        </w:rPr>
      </w:pPr>
    </w:p>
    <w:p>
      <w:pPr>
        <w:ind w:left="40" w:right="44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NRG Yield, Inc. one such share of Class C Common Stock for each RSU that will vest ratably over a three year period beginning on the first anniversary of the date of grant.</w:t>
      </w:r>
    </w:p>
    <w:p>
      <w:pPr>
        <w:spacing w:after="0" w:line="21" w:lineRule="exact"/>
        <w:rPr>
          <w:rFonts w:ascii="Arial" w:cs="Arial" w:eastAsia="Arial" w:hAnsi="Arial"/>
          <w:sz w:val="13"/>
          <w:szCs w:val="13"/>
          <w:color w:val="008000"/>
        </w:rPr>
      </w:pPr>
    </w:p>
    <w:p>
      <w:pPr>
        <w:ind w:left="40" w:right="34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issued 11,088 Relative Performance Stock Units ("RPSUs") by NRG Yield, Inc. under the LTIP on January 2, 2018. The RPSUs will convert to shares of NRG Yield, Inc. Class C Common Stock on January 2, 2021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3" w:lineRule="exact"/>
        <w:rPr>
          <w:rFonts w:ascii="Arial" w:cs="Arial" w:eastAsia="Arial" w:hAnsi="Arial"/>
          <w:sz w:val="12"/>
          <w:szCs w:val="12"/>
          <w:color w:val="008000"/>
        </w:rPr>
      </w:pPr>
    </w:p>
    <w:p>
      <w:pPr>
        <w:ind w:left="40" w:right="220" w:firstLine="5"/>
        <w:spacing w:after="0" w:line="26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16,632 shares of Class C Common Stock if Company's TSR is ranked at or above the 75th percentile relative to a peer group of companies approved by the Company's Compensation Committee (the "Peer Group") for the performance period (the "Maximum"); (ii) 11,088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2,772 shares of Common Stock if Company's TSR is ranked at the 25th percentile relative to the Peer Group for the performance period (the "Threshold"). The Reporting Person will not receive any shares of Common Stock if Company's TSR is below the 25th percentile relative to the Peer Group for the performance period.</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Brian Curci, by Power of</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01/04/2018</w:t>
            </w:r>
          </w:p>
        </w:tc>
        <w:tc>
          <w:tcPr>
            <w:tcW w:w="0" w:type="dxa"/>
            <w:vAlign w:val="bottom"/>
          </w:tcPr>
          <w:p>
            <w:pPr>
              <w:spacing w:after="0"/>
              <w:rPr>
                <w:sz w:val="1"/>
                <w:szCs w:val="1"/>
                <w:color w:val="auto"/>
              </w:rPr>
            </w:pPr>
          </w:p>
        </w:tc>
      </w:tr>
      <w:tr>
        <w:trPr>
          <w:trHeight w:val="85"/>
        </w:trPr>
        <w:tc>
          <w:tcPr>
            <w:tcW w:w="620" w:type="dxa"/>
            <w:vAlign w:val="bottom"/>
            <w:tcBorders>
              <w:top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4"/>
              </w:rPr>
              <w:t>Attorney</w:t>
            </w:r>
          </w:p>
        </w:tc>
        <w:tc>
          <w:tcPr>
            <w:tcW w:w="130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tcBorders>
              <w:top w:val="single" w:sz="8" w:color="auto"/>
              <w:bottom w:val="single" w:sz="8" w:color="auto"/>
            </w:tcBorders>
            <w:vMerge w:val="continue"/>
          </w:tcPr>
          <w:p>
            <w:pPr>
              <w:spacing w:after="0"/>
              <w:rPr>
                <w:sz w:val="7"/>
                <w:szCs w:val="7"/>
                <w:color w:val="auto"/>
              </w:rPr>
            </w:pPr>
          </w:p>
        </w:tc>
        <w:tc>
          <w:tcPr>
            <w:tcW w:w="130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900" w:firstLine="5"/>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2019-12-08T06:22:12Z</dcterms:created>
  <dcterms:modified xsi:type="dcterms:W3CDTF">2019-12-08T06:22:12Z</dcterms:modified>
</cp:coreProperties>
</file>