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6,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17"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20" w:space="720"/>
            <w:col w:w="2800" w:space="720"/>
            <w:col w:w="3060"/>
          </w:cols>
          <w:pgMar w:left="240" w:top="517" w:right="239" w:bottom="1440" w:gutter="0" w:footer="0" w:header="0"/>
          <w:type w:val="continuous"/>
        </w:sectPr>
      </w:pPr>
    </w:p>
    <w:p>
      <w:pPr>
        <w:ind w:left="14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20"/>
          </w:cols>
          <w:pgMar w:left="240" w:top="517" w:right="239" w:bottom="1440" w:gutter="0" w:footer="0" w:header="0"/>
          <w:type w:val="continuous"/>
        </w:sectPr>
      </w:pPr>
    </w:p>
    <w:p>
      <w:pPr>
        <w:spacing w:after="0" w:line="2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12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0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780"/>
        <w:spacing w:after="0" w:line="207" w:lineRule="exact"/>
        <w:tabs>
          <w:tab w:leader="none" w:pos="99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Ninth Supplemental Indenture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January 6, 2020, Clearway Energy Operating LLC (“Clearway Operating LLC”), a subsidiary of Clearway Energy LLC (“Clearway LLC”), the guarantors currently party to the 2026 Notes Indenture (defined below), CBAD Holdings II, LLC (the “Guaranteeing Subsidiary”) and Delaware Trust Company (as successor in interest to Law Debenture Trust Company of New York), as trustee (the “Trustee”), entered into the ninth supplemental indenture (the “Ninth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Ninth Supplemental Indenture, the Guaranteeing Subsidiary became a guarantor of Clearway Operating LLC’s obligations under the 2026 Notes.</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Ninth Supplemental Indenture does not purport to be complete and is qualified in its entirety by reference to the Ninth Supplemental Indenture, which is attached as Exhibit 4.1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6, 2020, Clearway Operating LLC, the guarantors currently party to the 2025 Notes Indenture (defined below), the Guaranteeing Subsidiary and the Trustee also entered into the fifth supplemental indenture (the “Fifth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Fifth Supplemental Indenture, the Guaranteeing Subsidiary became a guarantor of Clearway Operating LLC’s obligations under the 2025 Notes.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Fifth Supplemental Indenture does not purport to be complete and is qualified in its entirety by reference to the Fifth Supplemental Indenture, which is attached as Exhibit 4.2 to this Current Report on Form 8-K and is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6, 2020, Clearway Operating LLC, the guarantors currently party to the 2028 Notes Indenture (defined below), the Guaranteeing Subsidiary and the Trustee also entered into the first supplemental indenture (the “First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$600,000,000 in aggregate principal amount of its 4.750% Senior Notes due 2028 (the “2028 Notes”). Pursuant to the First Supplemental Indenture, the Guaranteeing Subsidiary became a guarantor of Clearway Operating LLC’s obligations under the 2028 Notes.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First Supplemental Indenture does not purport to be complete and is qualified in its entirety by reference to the First Supplemental Indenture, which is attached as Exhibit 4.3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23" w:lineRule="exact"/>
        <w:rPr>
          <w:sz w:val="20"/>
          <w:szCs w:val="20"/>
          <w:color w:val="auto"/>
        </w:rPr>
      </w:pPr>
    </w:p>
    <w:p>
      <w:pPr>
        <w:ind w:left="1160" w:right="20" w:hanging="800"/>
        <w:spacing w:after="0" w:line="258" w:lineRule="auto"/>
        <w:tabs>
          <w:tab w:leader="none" w:pos="114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Ninth Supplemental Indenture, dated as of January 6, 2020, among Clearway Energy Operating LLC, the guarantors named therein and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Delaware Trust Company (as successor in interest to Law Debenture Trust Company of New York).</w:t>
        </w:r>
      </w:hyperlink>
    </w:p>
    <w:p>
      <w:pPr>
        <w:spacing w:after="0" w:line="1" w:lineRule="exact"/>
        <w:rPr>
          <w:rFonts w:ascii="Arial" w:cs="Arial" w:eastAsia="Arial" w:hAnsi="Arial"/>
          <w:sz w:val="18"/>
          <w:szCs w:val="18"/>
          <w:u w:val="single" w:color="auto"/>
          <w:color w:val="0000EE"/>
        </w:rPr>
      </w:pPr>
    </w:p>
    <w:p>
      <w:pPr>
        <w:ind w:left="1160" w:hanging="800"/>
        <w:spacing w:after="0" w:line="250" w:lineRule="auto"/>
        <w:tabs>
          <w:tab w:leader="none" w:pos="1140" w:val="left"/>
        </w:tabs>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9">
        <w:r>
          <w:rPr>
            <w:rFonts w:ascii="Arial" w:cs="Arial" w:eastAsia="Arial" w:hAnsi="Arial"/>
            <w:sz w:val="18"/>
            <w:szCs w:val="18"/>
            <w:u w:val="single" w:color="auto"/>
            <w:color w:val="0000EE"/>
          </w:rPr>
          <w:t>Fifth Supplemental Indenture, dated as of January 6, 2020, among Clearway Energy Operating LLC, the guarantors named therein and</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Delaware Trust Company.</w:t>
        </w:r>
      </w:hyperlink>
    </w:p>
    <w:p>
      <w:pPr>
        <w:spacing w:after="0" w:line="1" w:lineRule="exact"/>
        <w:rPr>
          <w:rFonts w:ascii="Arial" w:cs="Arial" w:eastAsia="Arial" w:hAnsi="Arial"/>
          <w:sz w:val="18"/>
          <w:szCs w:val="18"/>
          <w:u w:val="single" w:color="auto"/>
          <w:color w:val="0000EE"/>
        </w:rPr>
      </w:pPr>
    </w:p>
    <w:p>
      <w:pPr>
        <w:ind w:left="1160" w:hanging="800"/>
        <w:spacing w:after="0" w:line="250" w:lineRule="auto"/>
        <w:tabs>
          <w:tab w:leader="none" w:pos="1140" w:val="left"/>
        </w:tabs>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w:anchor="page13">
        <w:r>
          <w:rPr>
            <w:rFonts w:ascii="Arial" w:cs="Arial" w:eastAsia="Arial" w:hAnsi="Arial"/>
            <w:sz w:val="18"/>
            <w:szCs w:val="18"/>
            <w:u w:val="single" w:color="auto"/>
            <w:color w:val="0000EE"/>
          </w:rPr>
          <w:t>First Supplemental Indenture, dated as of January 6, 2020, among Clearway Energy Operating LLC, the guarantors named therein and</w:t>
        </w:r>
      </w:hyperlink>
      <w:r>
        <w:rPr>
          <w:rFonts w:ascii="Arial" w:cs="Arial" w:eastAsia="Arial" w:hAnsi="Arial"/>
          <w:sz w:val="18"/>
          <w:szCs w:val="18"/>
          <w:u w:val="single" w:color="auto"/>
          <w:color w:val="0000EE"/>
        </w:rPr>
        <w:t xml:space="preserve"> </w:t>
      </w:r>
      <w:hyperlink w:anchor="page13">
        <w:r>
          <w:rPr>
            <w:rFonts w:ascii="Arial" w:cs="Arial" w:eastAsia="Arial" w:hAnsi="Arial"/>
            <w:sz w:val="18"/>
            <w:szCs w:val="18"/>
            <w:u w:val="single" w:color="auto"/>
            <w:color w:val="0000EE"/>
          </w:rPr>
          <w:t>Delaware Trust Company.</w:t>
        </w:r>
      </w:hyperlink>
    </w:p>
    <w:p>
      <w:pPr>
        <w:spacing w:after="0" w:line="1" w:lineRule="exact"/>
        <w:rPr>
          <w:rFonts w:ascii="Arial" w:cs="Arial" w:eastAsia="Arial" w:hAnsi="Arial"/>
          <w:sz w:val="18"/>
          <w:szCs w:val="18"/>
          <w:u w:val="single" w:color="auto"/>
          <w:color w:val="0000EE"/>
        </w:rPr>
      </w:pPr>
    </w:p>
    <w:p>
      <w:pPr>
        <w:ind w:left="5680" w:right="4480" w:hanging="5348"/>
        <w:spacing w:after="0" w:line="762"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Kevin P. Malcarney</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8,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NINTH SUPPLEMENTAL INDENTURE</w:t>
      </w:r>
    </w:p>
    <w:p>
      <w:pPr>
        <w:spacing w:after="0" w:line="21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NINTH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January 6, 2020, among CBAD Holdings II,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280" w:hanging="624"/>
        <w:spacing w:after="0"/>
        <w:tabs>
          <w:tab w:leader="none" w:pos="1280" w:val="left"/>
        </w:tabs>
        <w:numPr>
          <w:ilvl w:val="0"/>
          <w:numId w:val="4"/>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386"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86"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both"/>
        <w:ind w:firstLine="656"/>
        <w:spacing w:after="0" w:line="264" w:lineRule="auto"/>
        <w:tabs>
          <w:tab w:leader="none" w:pos="1413"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010000"/>
        </w:rPr>
      </w:pPr>
    </w:p>
    <w:p>
      <w:pPr>
        <w:ind w:right="20" w:firstLine="656"/>
        <w:spacing w:after="0" w:line="277" w:lineRule="auto"/>
        <w:tabs>
          <w:tab w:leader="none" w:pos="1332"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280" w:hanging="624"/>
        <w:spacing w:after="0"/>
        <w:tabs>
          <w:tab w:leader="none" w:pos="128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4" w:lineRule="auto"/>
        <w:tabs>
          <w:tab w:leader="none" w:pos="1453"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010000"/>
        </w:rPr>
      </w:pPr>
    </w:p>
    <w:p>
      <w:pPr>
        <w:jc w:val="both"/>
        <w:ind w:firstLine="656"/>
        <w:spacing w:after="0" w:line="259" w:lineRule="auto"/>
        <w:tabs>
          <w:tab w:leader="none" w:pos="144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CBAD HOLDINGS II, LLC</w:t>
      </w:r>
    </w:p>
    <w:p>
      <w:pPr>
        <w:spacing w:after="0" w:line="279"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Chad Plotkin</w:t>
      </w:r>
    </w:p>
    <w:p>
      <w:pPr>
        <w:spacing w:after="0" w:line="36"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CLEARWAY ENERGY OPERATING LLC</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CLEARWAY ENERGY LLC</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DGPV HOLDING LLC</w:t>
      </w:r>
    </w:p>
    <w:p>
      <w:pPr>
        <w:spacing w:after="0" w:line="279"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Chad Plotkin</w:t>
      </w:r>
    </w:p>
    <w:p>
      <w:pPr>
        <w:spacing w:after="0" w:line="36"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&amp; Treasurer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Ninth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 w:name="page7"/>
    <w:bookmarkEnd w:id="6"/>
    <w:p>
      <w:pPr>
        <w:ind w:left="4360"/>
        <w:spacing w:after="0"/>
        <w:rPr>
          <w:sz w:val="20"/>
          <w:szCs w:val="20"/>
          <w:color w:val="auto"/>
        </w:rPr>
      </w:pPr>
      <w:r>
        <w:rPr>
          <w:rFonts w:ascii="Arial" w:cs="Arial" w:eastAsia="Arial" w:hAnsi="Arial"/>
          <w:sz w:val="18"/>
          <w:szCs w:val="18"/>
          <w:color w:val="auto"/>
        </w:rPr>
        <w:t>ALTA WIND 1-5 HOLDING COMPANY,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ALTA WIND COMPANY,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CENTRAL CA FUEL CELL 1,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CLEARWAY SOLAR STAR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ECP UPTOWN CAMPUS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ENERGY CENTER CAGUAS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ENERGY CENTER FAJARDO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FUEL CELL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PORTFOLIO SOLAR I,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RPV HOLDING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FLAGSTAFF ONE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IGUANA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LAS VEGAS MB 1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SOLAR TABERNACLE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SOUTH TRENT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ASSET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 HOLDINGS,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II-B, LLC</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SPP FUND III, LLC</w:t>
      </w:r>
    </w:p>
    <w:p>
      <w:pPr>
        <w:spacing w:after="0" w:line="36" w:lineRule="exact"/>
        <w:rPr>
          <w:sz w:val="20"/>
          <w:szCs w:val="20"/>
          <w:color w:val="auto"/>
        </w:rPr>
      </w:pPr>
    </w:p>
    <w:p>
      <w:pPr>
        <w:ind w:left="4360"/>
        <w:spacing w:after="0" w:line="290" w:lineRule="auto"/>
        <w:rPr>
          <w:sz w:val="20"/>
          <w:szCs w:val="20"/>
          <w:color w:val="auto"/>
        </w:rPr>
      </w:pPr>
      <w:r>
        <w:rPr>
          <w:rFonts w:ascii="Arial" w:cs="Arial" w:eastAsia="Arial" w:hAnsi="Arial"/>
          <w:sz w:val="18"/>
          <w:szCs w:val="18"/>
          <w:color w:val="auto"/>
        </w:rPr>
        <w:t>THERMAL CANADA INFRASTRUCTURE HOLDINGS LLC THERMAL HAWAII DEVELOPMENT HOLDINGS LLC THERMAL INFRASTRUCTURE DEVELOPMENT HOLDINGS LLC UB FUEL CELL, LLC</w:t>
      </w:r>
    </w:p>
    <w:p>
      <w:pPr>
        <w:spacing w:after="0" w:line="215" w:lineRule="exact"/>
        <w:rPr>
          <w:sz w:val="20"/>
          <w:szCs w:val="20"/>
          <w:color w:val="auto"/>
        </w:rPr>
      </w:pPr>
    </w:p>
    <w:p>
      <w:pPr>
        <w:ind w:left="4360"/>
        <w:spacing w:after="0"/>
        <w:tabs>
          <w:tab w:leader="none" w:pos="482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Name:Chad Plotkin</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Vice President &amp; Treasurer</w:t>
      </w:r>
    </w:p>
    <w:p>
      <w:pPr>
        <w:spacing w:after="0" w:line="200" w:lineRule="exact"/>
        <w:rPr>
          <w:sz w:val="20"/>
          <w:szCs w:val="20"/>
          <w:color w:val="auto"/>
        </w:rPr>
      </w:pPr>
    </w:p>
    <w:p>
      <w:pPr>
        <w:spacing w:after="0" w:line="26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Ninth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80"/>
          </w:cols>
          <w:pgMar w:left="1440" w:top="935" w:right="8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79" w:lineRule="exact"/>
        <w:rPr>
          <w:sz w:val="20"/>
          <w:szCs w:val="20"/>
          <w:color w:val="auto"/>
        </w:rPr>
      </w:pPr>
    </w:p>
    <w:p>
      <w:pPr>
        <w:jc w:val="right"/>
        <w:ind w:right="8299"/>
        <w:spacing w:after="0"/>
        <w:rPr>
          <w:sz w:val="20"/>
          <w:szCs w:val="20"/>
          <w:color w:val="auto"/>
        </w:rPr>
      </w:pPr>
      <w:r>
        <w:rPr>
          <w:rFonts w:ascii="Arial" w:cs="Arial" w:eastAsia="Arial" w:hAnsi="Arial"/>
          <w:sz w:val="16"/>
          <w:szCs w:val="16"/>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29210</wp:posOffset>
            </wp:positionV>
            <wp:extent cx="34474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9" w:lineRule="exact"/>
        <w:rPr>
          <w:sz w:val="20"/>
          <w:szCs w:val="20"/>
          <w:color w:val="auto"/>
        </w:rPr>
      </w:pPr>
    </w:p>
    <w:p>
      <w:pPr>
        <w:jc w:val="right"/>
        <w:ind w:right="8299"/>
        <w:spacing w:after="0"/>
        <w:rPr>
          <w:sz w:val="20"/>
          <w:szCs w:val="20"/>
          <w:color w:val="auto"/>
        </w:rPr>
      </w:pPr>
      <w:r>
        <w:rPr>
          <w:rFonts w:ascii="Arial" w:cs="Arial" w:eastAsia="Arial" w:hAnsi="Arial"/>
          <w:sz w:val="18"/>
          <w:szCs w:val="18"/>
          <w:color w:val="auto"/>
        </w:rPr>
        <w:t>Authorized Signatory:</w:t>
      </w:r>
    </w:p>
    <w:p>
      <w:pPr>
        <w:spacing w:after="0" w:line="245" w:lineRule="exact"/>
        <w:rPr>
          <w:sz w:val="20"/>
          <w:szCs w:val="20"/>
          <w:color w:val="auto"/>
        </w:rPr>
      </w:pPr>
    </w:p>
    <w:p>
      <w:pPr>
        <w:jc w:val="right"/>
        <w:ind w:right="23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Ninth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FIFTH SUPPLEMENTAL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FIFTH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January 6, 2020, among CBAD Holdings II, LLC (the “</w:t>
      </w:r>
      <w:r>
        <w:rPr>
          <w:rFonts w:ascii="Arial" w:cs="Arial" w:eastAsia="Arial" w:hAnsi="Arial"/>
          <w:sz w:val="18"/>
          <w:szCs w:val="18"/>
          <w:i w:val="1"/>
          <w:iCs w:val="1"/>
          <w:color w:val="auto"/>
        </w:rPr>
        <w:t>Guaranteeing</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Subsidiary</w:t>
      </w:r>
      <w:r>
        <w:rPr>
          <w:rFonts w:ascii="Arial" w:cs="Arial" w:eastAsia="Arial" w:hAnsi="Arial"/>
          <w:sz w:val="18"/>
          <w:szCs w:val="18"/>
          <w:color w:val="auto"/>
        </w:rPr>
        <w:t>”), a subsidiary of Clearway Energy Operating LLC (formerly known as NRG Yield Operating LLC) (or its permitted successor), a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24" w:lineRule="exact"/>
        <w:rPr>
          <w:sz w:val="20"/>
          <w:szCs w:val="20"/>
          <w:color w:val="auto"/>
        </w:rPr>
      </w:pPr>
    </w:p>
    <w:p>
      <w:pPr>
        <w:ind w:left="1640" w:hanging="984"/>
        <w:spacing w:after="0"/>
        <w:tabs>
          <w:tab w:leader="none" w:pos="1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jc w:val="both"/>
        <w:ind w:firstLine="656"/>
        <w:spacing w:after="0" w:line="259" w:lineRule="auto"/>
        <w:tabs>
          <w:tab w:leader="none" w:pos="1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692"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firstLine="656"/>
        <w:spacing w:after="0" w:line="277" w:lineRule="auto"/>
        <w:tabs>
          <w:tab w:leader="none" w:pos="1678" w:val="left"/>
        </w:tabs>
        <w:numPr>
          <w:ilvl w:val="0"/>
          <w:numId w:val="6"/>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640" w:hanging="984"/>
        <w:spacing w:after="0"/>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firstLine="656"/>
        <w:spacing w:after="0" w:line="264" w:lineRule="auto"/>
        <w:tabs>
          <w:tab w:leader="none" w:pos="171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 written.</w:t>
      </w:r>
    </w:p>
    <w:p>
      <w:pPr>
        <w:spacing w:after="0" w:line="24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CBAD HOLDINGS II, LLC</w:t>
      </w:r>
    </w:p>
    <w:p>
      <w:pPr>
        <w:spacing w:after="0" w:line="252"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-121920</wp:posOffset>
            </wp:positionV>
            <wp:extent cx="33445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 &amp; Treasurer</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Chad Plotkin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-121920</wp:posOffset>
            </wp:positionV>
            <wp:extent cx="33445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8" w:right="379" w:bottom="1440" w:gutter="0" w:footer="0" w:header="0"/>
        </w:sectPr>
      </w:pPr>
    </w:p>
    <w:bookmarkStart w:id="10" w:name="page11"/>
    <w:bookmarkEnd w:id="10"/>
    <w:p>
      <w:pPr>
        <w:ind w:left="4280"/>
        <w:spacing w:after="0"/>
        <w:rPr>
          <w:sz w:val="20"/>
          <w:szCs w:val="20"/>
          <w:color w:val="auto"/>
        </w:rPr>
      </w:pPr>
      <w:r>
        <w:rPr>
          <w:rFonts w:ascii="Arial" w:cs="Arial" w:eastAsia="Arial" w:hAnsi="Arial"/>
          <w:sz w:val="18"/>
          <w:szCs w:val="18"/>
          <w:color w:val="auto"/>
        </w:rPr>
        <w:t>ALTA WIND 1-5 HOLDING COMPANY,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ALTA WIND COMPANY,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CENTRAL CA FUEL CELL 1,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CLEARWAY SOLAR STAR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ECP UPTOWN CAMPUS HOLDINGS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ENERGY CENTER CAGUAS HOLDINGS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ENERGY CENTER FAJARDO HOLDINGS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FUEL CELL HOLDINGS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PORTFOLIO SOLAR I,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RPV HOLDING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SOLAR FLAGSTAFF ONE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SOLAR IGUANA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SOLAR LAS VEGAS MB 1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SOLAR TABERNACLE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SOUTH TRENT HOLDINGS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SPP ASSET HOLDINGS,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SPP FUND II HOLDINGS,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SPP FUND II,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SPP FUND II-B, LLC</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SPP FUND III, LLC</w:t>
      </w:r>
    </w:p>
    <w:p>
      <w:pPr>
        <w:spacing w:after="0" w:line="36" w:lineRule="exact"/>
        <w:rPr>
          <w:sz w:val="20"/>
          <w:szCs w:val="20"/>
          <w:color w:val="auto"/>
        </w:rPr>
      </w:pPr>
    </w:p>
    <w:p>
      <w:pPr>
        <w:ind w:left="4280"/>
        <w:spacing w:after="0" w:line="290" w:lineRule="auto"/>
        <w:rPr>
          <w:sz w:val="20"/>
          <w:szCs w:val="20"/>
          <w:color w:val="auto"/>
        </w:rPr>
      </w:pPr>
      <w:r>
        <w:rPr>
          <w:rFonts w:ascii="Arial" w:cs="Arial" w:eastAsia="Arial" w:hAnsi="Arial"/>
          <w:sz w:val="18"/>
          <w:szCs w:val="18"/>
          <w:color w:val="auto"/>
        </w:rPr>
        <w:t>THERMAL CANADA INFRASTRUCTURE HOLDINGS LLC THERMAL HAWAII DEVELOPMENT HOLDINGS LLC THERMAL INFRASTRUCTURE DEVELOPMENT HOLDINGS LLC UB FUEL CELL, LLC</w:t>
      </w:r>
    </w:p>
    <w:p>
      <w:pPr>
        <w:spacing w:after="0" w:line="202" w:lineRule="exact"/>
        <w:rPr>
          <w:sz w:val="20"/>
          <w:szCs w:val="20"/>
          <w:color w:val="auto"/>
        </w:rPr>
      </w:pPr>
    </w:p>
    <w:p>
      <w:pPr>
        <w:ind w:left="4280"/>
        <w:spacing w:after="0"/>
        <w:tabs>
          <w:tab w:leader="none" w:pos="474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23495</wp:posOffset>
            </wp:positionV>
            <wp:extent cx="34645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Name:Chad Plotkin</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Title: Vice President &amp; Treasurer</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935" w:right="9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DELAWARE TRUST COMPANY</w:t>
      </w:r>
    </w:p>
    <w:p>
      <w:pPr>
        <w:spacing w:after="0" w:line="252"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33362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0" w:lineRule="exact"/>
        <w:rPr>
          <w:sz w:val="20"/>
          <w:szCs w:val="20"/>
          <w:color w:val="auto"/>
        </w:rPr>
      </w:pPr>
    </w:p>
    <w:p>
      <w:pPr>
        <w:jc w:val="right"/>
        <w:ind w:right="8139"/>
        <w:spacing w:after="0"/>
        <w:rPr>
          <w:sz w:val="20"/>
          <w:szCs w:val="20"/>
          <w:color w:val="auto"/>
        </w:rPr>
      </w:pPr>
      <w:r>
        <w:rPr>
          <w:rFonts w:ascii="Arial" w:cs="Arial" w:eastAsia="Arial" w:hAnsi="Arial"/>
          <w:sz w:val="18"/>
          <w:szCs w:val="18"/>
          <w:color w:val="auto"/>
        </w:rPr>
        <w:t>Authorized Signatory:</w:t>
      </w:r>
    </w:p>
    <w:p>
      <w:pPr>
        <w:spacing w:after="0" w:line="252"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422"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FIRST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January 6, 2020, among CBAD Holdings II,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(formerly known as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600" w:hanging="944"/>
        <w:spacing w:after="0"/>
        <w:tabs>
          <w:tab w:leader="none" w:pos="1600" w:val="left"/>
        </w:tabs>
        <w:numPr>
          <w:ilvl w:val="0"/>
          <w:numId w:val="7"/>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742" w:val="left"/>
        </w:tabs>
        <w:numPr>
          <w:ilvl w:val="0"/>
          <w:numId w:val="7"/>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674" w:val="left"/>
        </w:tabs>
        <w:numPr>
          <w:ilvl w:val="0"/>
          <w:numId w:val="7"/>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both"/>
        <w:ind w:firstLine="656"/>
        <w:spacing w:after="0" w:line="264" w:lineRule="auto"/>
        <w:tabs>
          <w:tab w:leader="none" w:pos="162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010000"/>
        </w:rPr>
      </w:pPr>
    </w:p>
    <w:p>
      <w:pPr>
        <w:ind w:right="20" w:firstLine="656"/>
        <w:spacing w:after="0" w:line="277" w:lineRule="auto"/>
        <w:tabs>
          <w:tab w:leader="none" w:pos="1661" w:val="left"/>
        </w:tabs>
        <w:numPr>
          <w:ilvl w:val="0"/>
          <w:numId w:val="8"/>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600" w:hanging="944"/>
        <w:spacing w:after="0"/>
        <w:tabs>
          <w:tab w:leader="none" w:pos="1600" w:val="left"/>
        </w:tabs>
        <w:numPr>
          <w:ilvl w:val="0"/>
          <w:numId w:val="8"/>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4" w:lineRule="auto"/>
        <w:tabs>
          <w:tab w:leader="none" w:pos="1688" w:val="left"/>
        </w:tabs>
        <w:numPr>
          <w:ilvl w:val="0"/>
          <w:numId w:val="8"/>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010000"/>
        </w:rPr>
      </w:pPr>
    </w:p>
    <w:p>
      <w:pPr>
        <w:jc w:val="both"/>
        <w:ind w:firstLine="656"/>
        <w:spacing w:after="0" w:line="259" w:lineRule="auto"/>
        <w:tabs>
          <w:tab w:leader="none" w:pos="1593" w:val="left"/>
        </w:tabs>
        <w:numPr>
          <w:ilvl w:val="0"/>
          <w:numId w:val="8"/>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firstLine="1297"/>
        <w:spacing w:after="0" w:line="266"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ind w:left="5460"/>
        <w:spacing w:after="0"/>
        <w:rPr>
          <w:sz w:val="20"/>
          <w:szCs w:val="20"/>
          <w:color w:val="auto"/>
        </w:rPr>
      </w:pPr>
      <w:r>
        <w:rPr>
          <w:rFonts w:ascii="Arial" w:cs="Arial" w:eastAsia="Arial" w:hAnsi="Arial"/>
          <w:sz w:val="18"/>
          <w:szCs w:val="18"/>
          <w:color w:val="auto"/>
        </w:rPr>
        <w:t>CBAD HOLDINGS II, LLC</w:t>
      </w:r>
    </w:p>
    <w:p>
      <w:pPr>
        <w:spacing w:after="0" w:line="293" w:lineRule="exact"/>
        <w:rPr>
          <w:sz w:val="20"/>
          <w:szCs w:val="20"/>
          <w:color w:val="auto"/>
        </w:rPr>
      </w:pPr>
    </w:p>
    <w:tbl>
      <w:tblPr>
        <w:tblLayout w:type="fixed"/>
        <w:tblInd w:w="54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Chad Plotkin</w:t>
            </w:r>
          </w:p>
        </w:tc>
      </w:tr>
      <w:tr>
        <w:trPr>
          <w:trHeight w:val="224"/>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5480" w:type="dxa"/>
            <w:vAlign w:val="bottom"/>
          </w:tcPr>
          <w:p>
            <w:pPr>
              <w:ind w:left="80"/>
              <w:spacing w:after="0"/>
              <w:rPr>
                <w:sz w:val="20"/>
                <w:szCs w:val="20"/>
                <w:color w:val="auto"/>
              </w:rPr>
            </w:pPr>
            <w:r>
              <w:rPr>
                <w:rFonts w:ascii="Arial" w:cs="Arial" w:eastAsia="Arial" w:hAnsi="Arial"/>
                <w:sz w:val="18"/>
                <w:szCs w:val="18"/>
                <w:color w:val="auto"/>
              </w:rPr>
              <w:t>Chad Plotkin</w:t>
            </w:r>
          </w:p>
        </w:tc>
      </w:tr>
      <w:tr>
        <w:trPr>
          <w:trHeight w:val="24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ind w:left="80"/>
              <w:spacing w:after="0"/>
              <w:rPr>
                <w:sz w:val="20"/>
                <w:szCs w:val="20"/>
                <w:color w:val="auto"/>
              </w:rPr>
            </w:pPr>
            <w:r>
              <w:rPr>
                <w:rFonts w:ascii="Arial" w:cs="Arial" w:eastAsia="Arial" w:hAnsi="Arial"/>
                <w:sz w:val="18"/>
                <w:szCs w:val="18"/>
                <w:color w:val="auto"/>
              </w:rPr>
              <w:t>Vice President &amp; Treasurer</w:t>
            </w:r>
          </w:p>
        </w:tc>
      </w:tr>
    </w:tbl>
    <w:p>
      <w:pPr>
        <w:spacing w:after="0" w:line="25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CLEARWAY ENERGY OPERATING LLC</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CLEARWAY ENERGY LLC</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DGPV HOLDING LLC</w:t>
      </w:r>
    </w:p>
    <w:p>
      <w:pPr>
        <w:spacing w:after="0" w:line="293" w:lineRule="exact"/>
        <w:rPr>
          <w:sz w:val="20"/>
          <w:szCs w:val="20"/>
          <w:color w:val="auto"/>
        </w:rPr>
      </w:pPr>
    </w:p>
    <w:p>
      <w:pPr>
        <w:ind w:left="5460"/>
        <w:spacing w:after="0"/>
        <w:tabs>
          <w:tab w:leader="none" w:pos="5920" w:val="left"/>
        </w:tabs>
        <w:rPr>
          <w:sz w:val="20"/>
          <w:szCs w:val="20"/>
          <w:color w:val="auto"/>
        </w:rPr>
      </w:pPr>
      <w:r>
        <w:rPr>
          <w:rFonts w:ascii="Arial" w:cs="Arial" w:eastAsia="Arial" w:hAnsi="Arial"/>
          <w:sz w:val="18"/>
          <w:szCs w:val="18"/>
          <w:color w:val="auto"/>
        </w:rPr>
        <w:t>By :</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14605</wp:posOffset>
            </wp:positionV>
            <wp:extent cx="34817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Chad Plotkin</w:t>
      </w:r>
    </w:p>
    <w:p>
      <w:pPr>
        <w:spacing w:after="0" w:line="36"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8"/>
          <w:szCs w:val="18"/>
          <w:color w:val="auto"/>
        </w:rPr>
        <w:t>Title:</w:t>
        <w:tab/>
        <w:t>Senior Vice President, Chief Financial Officer &amp; Treasurer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5" w:name="page16"/>
    <w:bookmarkEnd w:id="15"/>
    <w:p>
      <w:pPr>
        <w:ind w:left="4260"/>
        <w:spacing w:after="0"/>
        <w:rPr>
          <w:sz w:val="20"/>
          <w:szCs w:val="20"/>
          <w:color w:val="auto"/>
        </w:rPr>
      </w:pPr>
      <w:r>
        <w:rPr>
          <w:rFonts w:ascii="Arial" w:cs="Arial" w:eastAsia="Arial" w:hAnsi="Arial"/>
          <w:sz w:val="18"/>
          <w:szCs w:val="18"/>
          <w:color w:val="auto"/>
        </w:rPr>
        <w:t>ALTA WIND 1-5 HOLDING COMPANY,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ALTA WIND COMPANY,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CENTRAL CA FUEL CELL 1,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CLEARWAY SOLAR STAR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ECP UPTOWN CAMPUS HOLDINGS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ENERGY CENTER CAGUAS HOLDINGS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ENERGY CENTER FAJARDO HOLDINGS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FUEL CELL HOLDINGS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PORTFOLIO SOLAR I,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RPV HOLDING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SOLAR FLAGSTAFF ONE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SOLAR IGUANA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SOLAR LAS VEGAS MB 1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SOLAR TABERNACLE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SOUTH TRENT HOLDINGS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SPP ASSET HOLDINGS,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SPP FUND II HOLDINGS,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SPP FUND II,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SPP FUND II-B, LLC</w:t>
      </w:r>
    </w:p>
    <w:p>
      <w:pPr>
        <w:spacing w:after="0" w:line="3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SPP FUND III, LLC</w:t>
      </w:r>
    </w:p>
    <w:p>
      <w:pPr>
        <w:spacing w:after="0" w:line="36" w:lineRule="exact"/>
        <w:rPr>
          <w:sz w:val="20"/>
          <w:szCs w:val="20"/>
          <w:color w:val="auto"/>
        </w:rPr>
      </w:pPr>
    </w:p>
    <w:p>
      <w:pPr>
        <w:ind w:left="4260"/>
        <w:spacing w:after="0" w:line="290" w:lineRule="auto"/>
        <w:rPr>
          <w:sz w:val="20"/>
          <w:szCs w:val="20"/>
          <w:color w:val="auto"/>
        </w:rPr>
      </w:pPr>
      <w:r>
        <w:rPr>
          <w:rFonts w:ascii="Arial" w:cs="Arial" w:eastAsia="Arial" w:hAnsi="Arial"/>
          <w:sz w:val="18"/>
          <w:szCs w:val="18"/>
          <w:color w:val="auto"/>
        </w:rPr>
        <w:t>THERMAL CANADA INFRASTRUCTURE HOLDINGS LLC THERMAL HAWAII DEVELOPMENT HOLDINGS LLC THERMAL INFRASTRUCTURE DEVELOPMENT HOLDINGS LLC UB FUEL CELL, LLC</w:t>
      </w:r>
    </w:p>
    <w:p>
      <w:pPr>
        <w:spacing w:after="0" w:line="229" w:lineRule="exact"/>
        <w:rPr>
          <w:sz w:val="20"/>
          <w:szCs w:val="20"/>
          <w:color w:val="auto"/>
        </w:rPr>
      </w:pPr>
    </w:p>
    <w:p>
      <w:pPr>
        <w:ind w:left="4260"/>
        <w:spacing w:after="0"/>
        <w:tabs>
          <w:tab w:leader="none" w:pos="472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14605</wp:posOffset>
            </wp:positionV>
            <wp:extent cx="34817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Chad Plotkin</w:t>
      </w:r>
    </w:p>
    <w:p>
      <w:pPr>
        <w:spacing w:after="0" w:line="36" w:lineRule="exact"/>
        <w:rPr>
          <w:sz w:val="20"/>
          <w:szCs w:val="20"/>
          <w:color w:val="auto"/>
        </w:rPr>
      </w:pPr>
    </w:p>
    <w:p>
      <w:pPr>
        <w:ind w:left="4260"/>
        <w:spacing w:after="0"/>
        <w:tabs>
          <w:tab w:leader="none" w:pos="4800" w:val="left"/>
        </w:tabs>
        <w:rPr>
          <w:sz w:val="20"/>
          <w:szCs w:val="20"/>
          <w:color w:val="auto"/>
        </w:rPr>
      </w:pPr>
      <w:r>
        <w:rPr>
          <w:rFonts w:ascii="Arial" w:cs="Arial" w:eastAsia="Arial" w:hAnsi="Arial"/>
          <w:sz w:val="18"/>
          <w:szCs w:val="18"/>
          <w:color w:val="auto"/>
        </w:rPr>
        <w:t>Title:</w:t>
        <w:tab/>
        <w:t>Vice President &amp; Treasurer</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80"/>
          </w:cols>
          <w:pgMar w:left="1440" w:top="935" w:right="9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DELAWARE TRUST COMPANY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Benjamin Hancock</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3533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24" w:lineRule="exact"/>
        <w:rPr>
          <w:sz w:val="20"/>
          <w:szCs w:val="20"/>
          <w:color w:val="auto"/>
        </w:rPr>
      </w:pPr>
    </w:p>
    <w:p>
      <w:pPr>
        <w:jc w:val="right"/>
        <w:ind w:right="23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First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2020-01-08T15:10:10Z</dcterms:created>
  <dcterms:modified xsi:type="dcterms:W3CDTF">2020-01-08T15:10:10Z</dcterms:modified>
</cp:coreProperties>
</file>