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500" w:right="4060" w:hanging="256"/>
        <w:spacing w:after="0" w:line="298" w:lineRule="auto"/>
        <w:tabs>
          <w:tab w:leader="none" w:pos="6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69" w:lineRule="exact"/>
        <w:rPr>
          <w:rFonts w:ascii="MS PGothic" w:cs="MS PGothic" w:eastAsia="MS PGothic" w:hAnsi="MS PGothic"/>
          <w:sz w:val="18"/>
          <w:szCs w:val="18"/>
          <w:color w:val="auto"/>
        </w:rPr>
      </w:pPr>
    </w:p>
    <w:p>
      <w:pPr>
        <w:ind w:left="4240" w:right="4000" w:hanging="3962"/>
        <w:spacing w:after="0" w:line="573" w:lineRule="auto"/>
        <w:tabs>
          <w:tab w:leader="none" w:pos="668"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359" w:right="239" w:bottom="1440" w:gutter="0" w:footer="0" w:header="0"/>
        </w:sectPr>
      </w:pPr>
    </w:p>
    <w:p>
      <w:pPr>
        <w:spacing w:after="0" w:line="151"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32-0407370</w:t>
      </w:r>
    </w:p>
    <w:p>
      <w:pPr>
        <w:spacing w:after="0" w:line="90" w:lineRule="exact"/>
        <w:rPr>
          <w:sz w:val="24"/>
          <w:szCs w:val="24"/>
          <w:color w:val="auto"/>
        </w:rPr>
      </w:pPr>
    </w:p>
    <w:p>
      <w:pPr>
        <w:sectPr>
          <w:pgSz w:w="11900" w:h="16838" w:orient="portrait"/>
          <w:cols w:equalWidth="0" w:num="2">
            <w:col w:w="7460" w:space="720"/>
            <w:col w:w="3240"/>
          </w:cols>
          <w:pgMar w:left="240" w:top="1359" w:right="239" w:bottom="1440" w:gutter="0" w:footer="0" w:header="0"/>
          <w:type w:val="continuous"/>
        </w:sectPr>
      </w:pPr>
    </w:p>
    <w:p>
      <w:pPr>
        <w:jc w:val="center"/>
        <w:ind w:right="198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20" w:space="720"/>
            <w:col w:w="3480"/>
          </w:cols>
          <w:pgMar w:left="240" w:top="1359" w:right="239" w:bottom="1440" w:gutter="0" w:footer="0" w:header="0"/>
          <w:type w:val="continuous"/>
        </w:sectPr>
      </w:pPr>
    </w:p>
    <w:p>
      <w:pPr>
        <w:spacing w:after="0" w:line="126"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Princeton</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08540</w:t>
      </w:r>
    </w:p>
    <w:p>
      <w:pPr>
        <w:spacing w:after="0" w:line="90" w:lineRule="exact"/>
        <w:rPr>
          <w:sz w:val="24"/>
          <w:szCs w:val="24"/>
          <w:color w:val="auto"/>
        </w:rPr>
      </w:pPr>
    </w:p>
    <w:p>
      <w:pPr>
        <w:sectPr>
          <w:pgSz w:w="11900" w:h="16838" w:orient="portrait"/>
          <w:cols w:equalWidth="0" w:num="4">
            <w:col w:w="3820" w:space="640"/>
            <w:col w:w="760" w:space="600"/>
            <w:col w:w="1840" w:space="720"/>
            <w:col w:w="3040"/>
          </w:cols>
          <w:pgMar w:left="240" w:top="1359" w:right="2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1359"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1359"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74"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122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5"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60"/>
        <w:spacing w:after="0" w:line="207" w:lineRule="exact"/>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ind w:firstLine="270"/>
        <w:spacing w:after="0" w:line="275" w:lineRule="auto"/>
        <w:rPr>
          <w:sz w:val="20"/>
          <w:szCs w:val="20"/>
          <w:color w:val="auto"/>
        </w:rPr>
      </w:pPr>
      <w:r>
        <w:rPr>
          <w:rFonts w:ascii="Arial" w:cs="Arial" w:eastAsia="Arial" w:hAnsi="Arial"/>
          <w:sz w:val="16"/>
          <w:szCs w:val="16"/>
          <w:color w:val="auto"/>
        </w:rPr>
        <w:t>As of July 31, 2019, there were 34,599,645 Class A units outstanding, 42,738,750 Class B units outstanding, 73,325,741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64135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5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73</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2018, as well as the following:</w:t>
      </w:r>
    </w:p>
    <w:p>
      <w:pPr>
        <w:spacing w:after="0" w:line="11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transition services previously provided by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640" w:type="dxa"/>
            <w:vAlign w:val="bottom"/>
          </w:tcPr>
          <w:p>
            <w:pPr>
              <w:ind w:left="198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20" w:type="dxa"/>
            <w:vAlign w:val="bottom"/>
          </w:tcPr>
          <w:p>
            <w:pPr>
              <w:spacing w:after="0"/>
              <w:rPr>
                <w:sz w:val="20"/>
                <w:szCs w:val="20"/>
                <w:color w:val="auto"/>
              </w:rPr>
            </w:pPr>
            <w:r>
              <w:rPr>
                <w:rFonts w:ascii="Arial" w:cs="Arial" w:eastAsia="Arial" w:hAnsi="Arial"/>
                <w:sz w:val="18"/>
                <w:szCs w:val="18"/>
                <w:color w:val="auto"/>
              </w:rPr>
              <w:t>2018 Form 10-K</w:t>
            </w:r>
          </w:p>
        </w:tc>
        <w:tc>
          <w:tcPr>
            <w:tcW w:w="8640" w:type="dxa"/>
            <w:vAlign w:val="bottom"/>
            <w:vMerge w:val="restart"/>
          </w:tcPr>
          <w:p>
            <w:pPr>
              <w:ind w:left="240"/>
              <w:spacing w:after="0"/>
              <w:rPr>
                <w:sz w:val="20"/>
                <w:szCs w:val="20"/>
                <w:color w:val="auto"/>
              </w:rPr>
            </w:pPr>
            <w:r>
              <w:rPr>
                <w:rFonts w:ascii="Arial" w:cs="Arial" w:eastAsia="Arial" w:hAnsi="Arial"/>
                <w:sz w:val="18"/>
                <w:szCs w:val="18"/>
                <w:color w:val="auto"/>
                <w:w w:val="92"/>
              </w:rPr>
              <w:t>Clearway Energy LLC's (formerly NRG Yield LLC) Annual Report on Form 10-K for the year ended December 31,</w:t>
            </w: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8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51"/>
        </w:trPr>
        <w:tc>
          <w:tcPr>
            <w:tcW w:w="2720" w:type="dxa"/>
            <w:vAlign w:val="bottom"/>
          </w:tcPr>
          <w:p>
            <w:pPr>
              <w:spacing w:after="0"/>
              <w:rPr>
                <w:sz w:val="20"/>
                <w:szCs w:val="20"/>
                <w:color w:val="auto"/>
              </w:rPr>
            </w:pPr>
            <w:r>
              <w:rPr>
                <w:rFonts w:ascii="Arial" w:cs="Arial" w:eastAsia="Arial" w:hAnsi="Arial"/>
                <w:sz w:val="18"/>
                <w:szCs w:val="18"/>
                <w:color w:val="auto"/>
              </w:rPr>
              <w:t>2019 Convertible Notes</w:t>
            </w:r>
          </w:p>
        </w:tc>
        <w:tc>
          <w:tcPr>
            <w:tcW w:w="8640" w:type="dxa"/>
            <w:vAlign w:val="bottom"/>
          </w:tcPr>
          <w:p>
            <w:pPr>
              <w:ind w:left="240"/>
              <w:spacing w:after="0"/>
              <w:rPr>
                <w:sz w:val="20"/>
                <w:szCs w:val="20"/>
                <w:color w:val="auto"/>
              </w:rPr>
            </w:pPr>
            <w:r>
              <w:rPr>
                <w:rFonts w:ascii="Arial" w:cs="Arial" w:eastAsia="Arial" w:hAnsi="Arial"/>
                <w:sz w:val="18"/>
                <w:szCs w:val="18"/>
                <w:color w:val="auto"/>
                <w:w w:val="94"/>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640" w:type="dxa"/>
            <w:vAlign w:val="bottom"/>
          </w:tcPr>
          <w:p>
            <w:pPr>
              <w:ind w:left="240"/>
              <w:spacing w:after="0"/>
              <w:rPr>
                <w:sz w:val="20"/>
                <w:szCs w:val="20"/>
                <w:color w:val="auto"/>
              </w:rPr>
            </w:pPr>
            <w:r>
              <w:rPr>
                <w:rFonts w:ascii="Arial" w:cs="Arial" w:eastAsia="Arial" w:hAnsi="Arial"/>
                <w:sz w:val="18"/>
                <w:szCs w:val="18"/>
                <w:color w:val="auto"/>
                <w:w w:val="95"/>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2024 Senior Notes</w:t>
            </w:r>
          </w:p>
        </w:tc>
        <w:tc>
          <w:tcPr>
            <w:tcW w:w="8640" w:type="dxa"/>
            <w:vAlign w:val="bottom"/>
          </w:tcPr>
          <w:p>
            <w:pPr>
              <w:ind w:left="240"/>
              <w:spacing w:after="0"/>
              <w:rPr>
                <w:sz w:val="20"/>
                <w:szCs w:val="20"/>
                <w:color w:val="auto"/>
              </w:rPr>
            </w:pPr>
            <w:r>
              <w:rPr>
                <w:rFonts w:ascii="Arial" w:cs="Arial" w:eastAsia="Arial" w:hAnsi="Arial"/>
                <w:sz w:val="18"/>
                <w:szCs w:val="18"/>
                <w:color w:val="auto"/>
                <w:w w:val="92"/>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2025 Senior Notes</w:t>
            </w:r>
          </w:p>
        </w:tc>
        <w:tc>
          <w:tcPr>
            <w:tcW w:w="8640" w:type="dxa"/>
            <w:vAlign w:val="bottom"/>
          </w:tcPr>
          <w:p>
            <w:pPr>
              <w:ind w:left="240"/>
              <w:spacing w:after="0"/>
              <w:rPr>
                <w:sz w:val="20"/>
                <w:szCs w:val="20"/>
                <w:color w:val="auto"/>
              </w:rPr>
            </w:pPr>
            <w:r>
              <w:rPr>
                <w:rFonts w:ascii="Arial" w:cs="Arial" w:eastAsia="Arial" w:hAnsi="Arial"/>
                <w:sz w:val="18"/>
                <w:szCs w:val="18"/>
                <w:color w:val="auto"/>
                <w:w w:val="92"/>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2026 Senior Notes</w:t>
            </w:r>
          </w:p>
        </w:tc>
        <w:tc>
          <w:tcPr>
            <w:tcW w:w="8640" w:type="dxa"/>
            <w:vAlign w:val="bottom"/>
          </w:tcPr>
          <w:p>
            <w:pPr>
              <w:ind w:left="240"/>
              <w:spacing w:after="0"/>
              <w:rPr>
                <w:sz w:val="20"/>
                <w:szCs w:val="20"/>
                <w:color w:val="auto"/>
              </w:rPr>
            </w:pPr>
            <w:r>
              <w:rPr>
                <w:rFonts w:ascii="Arial" w:cs="Arial" w:eastAsia="Arial" w:hAnsi="Arial"/>
                <w:sz w:val="18"/>
                <w:szCs w:val="18"/>
                <w:color w:val="auto"/>
                <w:w w:val="93"/>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Adjusted EBITDA</w:t>
            </w:r>
          </w:p>
        </w:tc>
        <w:tc>
          <w:tcPr>
            <w:tcW w:w="8640" w:type="dxa"/>
            <w:vAlign w:val="bottom"/>
          </w:tcPr>
          <w:p>
            <w:pPr>
              <w:ind w:left="240"/>
              <w:spacing w:after="0"/>
              <w:rPr>
                <w:sz w:val="20"/>
                <w:szCs w:val="20"/>
                <w:color w:val="auto"/>
              </w:rPr>
            </w:pPr>
            <w:r>
              <w:rPr>
                <w:rFonts w:ascii="Arial" w:cs="Arial" w:eastAsia="Arial" w:hAnsi="Arial"/>
                <w:sz w:val="18"/>
                <w:szCs w:val="18"/>
                <w:color w:val="auto"/>
                <w:w w:val="95"/>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AOCL/AOCI</w:t>
            </w:r>
          </w:p>
        </w:tc>
        <w:tc>
          <w:tcPr>
            <w:tcW w:w="8640" w:type="dxa"/>
            <w:vAlign w:val="bottom"/>
          </w:tcPr>
          <w:p>
            <w:pPr>
              <w:ind w:left="240"/>
              <w:spacing w:after="0"/>
              <w:rPr>
                <w:sz w:val="20"/>
                <w:szCs w:val="20"/>
                <w:color w:val="auto"/>
              </w:rPr>
            </w:pPr>
            <w:r>
              <w:rPr>
                <w:rFonts w:ascii="Arial" w:cs="Arial" w:eastAsia="Arial" w:hAnsi="Arial"/>
                <w:sz w:val="18"/>
                <w:szCs w:val="18"/>
                <w:color w:val="auto"/>
              </w:rPr>
              <w:t>Accumulated Other Comprehensive Loss/Accumulated Other Comprehensive Income</w:t>
            </w:r>
          </w:p>
        </w:tc>
        <w:tc>
          <w:tcPr>
            <w:tcW w:w="0" w:type="dxa"/>
            <w:vAlign w:val="bottom"/>
          </w:tcPr>
          <w:p>
            <w:pPr>
              <w:spacing w:after="0"/>
              <w:rPr>
                <w:sz w:val="1"/>
                <w:szCs w:val="1"/>
                <w:color w:val="auto"/>
              </w:rPr>
            </w:pPr>
          </w:p>
        </w:tc>
      </w:tr>
      <w:tr>
        <w:trPr>
          <w:trHeight w:val="431"/>
        </w:trPr>
        <w:tc>
          <w:tcPr>
            <w:tcW w:w="2720" w:type="dxa"/>
            <w:vAlign w:val="bottom"/>
          </w:tcPr>
          <w:p>
            <w:pPr>
              <w:spacing w:after="0"/>
              <w:rPr>
                <w:sz w:val="20"/>
                <w:szCs w:val="20"/>
                <w:color w:val="auto"/>
              </w:rPr>
            </w:pPr>
            <w:r>
              <w:rPr>
                <w:rFonts w:ascii="Arial" w:cs="Arial" w:eastAsia="Arial" w:hAnsi="Arial"/>
                <w:sz w:val="18"/>
                <w:szCs w:val="18"/>
                <w:color w:val="auto"/>
              </w:rPr>
              <w:t>ASC</w:t>
            </w:r>
          </w:p>
        </w:tc>
        <w:tc>
          <w:tcPr>
            <w:tcW w:w="8640" w:type="dxa"/>
            <w:vAlign w:val="bottom"/>
          </w:tcPr>
          <w:p>
            <w:pPr>
              <w:ind w:left="24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ASU</w:t>
            </w:r>
          </w:p>
        </w:tc>
        <w:tc>
          <w:tcPr>
            <w:tcW w:w="8640" w:type="dxa"/>
            <w:vAlign w:val="bottom"/>
          </w:tcPr>
          <w:p>
            <w:pPr>
              <w:ind w:left="24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ATM Program</w:t>
            </w:r>
          </w:p>
        </w:tc>
        <w:tc>
          <w:tcPr>
            <w:tcW w:w="8640" w:type="dxa"/>
            <w:vAlign w:val="bottom"/>
          </w:tcPr>
          <w:p>
            <w:pPr>
              <w:ind w:left="24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Bankruptcy Code</w:t>
            </w:r>
          </w:p>
        </w:tc>
        <w:tc>
          <w:tcPr>
            <w:tcW w:w="8640" w:type="dxa"/>
            <w:vAlign w:val="bottom"/>
          </w:tcPr>
          <w:p>
            <w:pPr>
              <w:ind w:left="24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486"/>
        </w:trPr>
        <w:tc>
          <w:tcPr>
            <w:tcW w:w="2720" w:type="dxa"/>
            <w:vAlign w:val="bottom"/>
          </w:tcPr>
          <w:p>
            <w:pPr>
              <w:spacing w:after="0"/>
              <w:rPr>
                <w:sz w:val="20"/>
                <w:szCs w:val="20"/>
                <w:color w:val="auto"/>
              </w:rPr>
            </w:pPr>
            <w:r>
              <w:rPr>
                <w:rFonts w:ascii="Arial" w:cs="Arial" w:eastAsia="Arial" w:hAnsi="Arial"/>
                <w:sz w:val="18"/>
                <w:szCs w:val="18"/>
                <w:color w:val="auto"/>
              </w:rPr>
              <w:t>Bankruptcy Court</w:t>
            </w:r>
          </w:p>
        </w:tc>
        <w:tc>
          <w:tcPr>
            <w:tcW w:w="8640" w:type="dxa"/>
            <w:vAlign w:val="bottom"/>
          </w:tcPr>
          <w:p>
            <w:pPr>
              <w:ind w:left="24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CAFD</w:t>
            </w:r>
          </w:p>
        </w:tc>
        <w:tc>
          <w:tcPr>
            <w:tcW w:w="8640" w:type="dxa"/>
            <w:vAlign w:val="bottom"/>
          </w:tcPr>
          <w:p>
            <w:pPr>
              <w:ind w:left="240"/>
              <w:spacing w:after="0"/>
              <w:rPr>
                <w:sz w:val="20"/>
                <w:szCs w:val="20"/>
                <w:color w:val="auto"/>
              </w:rPr>
            </w:pPr>
            <w:r>
              <w:rPr>
                <w:rFonts w:ascii="Arial" w:cs="Arial" w:eastAsia="Arial" w:hAnsi="Arial"/>
                <w:sz w:val="18"/>
                <w:szCs w:val="18"/>
                <w:color w:val="auto"/>
                <w:w w:val="98"/>
              </w:rPr>
              <w:t>Cash  Available  for  Distribution  is  Adjusted  EBITDA  plus  cash  distributions/return  of  investment  from</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91"/>
              </w:rPr>
              <w:t>unconsolidated affiliates, adjustments to reflect CAFD generated by unconsolidated investments that are not able to</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94"/>
              </w:rPr>
              <w:t>distribute project dividends due to the PG&amp;E Bankruptcy, cash receipts from notes receivable, cash distributions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92"/>
              </w:rPr>
              <w:t>from noncontrolling interests, less cash distributions to noncontrolling interests, maintenance capital expenditures,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pro-rata Adjusted EBITDA from unconsolidated affiliates, cash interest paid, income taxes paid, principal</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93"/>
              </w:rPr>
              <w:t>amortization of indebtedness, Walnut Creek investment payments, and changes in prepaid and accrued capacity</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Carlsbad Project</w:t>
            </w:r>
          </w:p>
        </w:tc>
        <w:tc>
          <w:tcPr>
            <w:tcW w:w="8640" w:type="dxa"/>
            <w:vAlign w:val="bottom"/>
          </w:tcPr>
          <w:p>
            <w:pPr>
              <w:ind w:left="240"/>
              <w:spacing w:after="0"/>
              <w:rPr>
                <w:sz w:val="20"/>
                <w:szCs w:val="20"/>
                <w:color w:val="auto"/>
              </w:rPr>
            </w:pPr>
            <w:r>
              <w:rPr>
                <w:rFonts w:ascii="Arial" w:cs="Arial" w:eastAsia="Arial" w:hAnsi="Arial"/>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CDFW</w:t>
            </w:r>
          </w:p>
        </w:tc>
        <w:tc>
          <w:tcPr>
            <w:tcW w:w="8640" w:type="dxa"/>
            <w:vAlign w:val="bottom"/>
          </w:tcPr>
          <w:p>
            <w:pPr>
              <w:ind w:left="240"/>
              <w:spacing w:after="0"/>
              <w:rPr>
                <w:sz w:val="20"/>
                <w:szCs w:val="20"/>
                <w:color w:val="auto"/>
              </w:rPr>
            </w:pPr>
            <w:r>
              <w:rPr>
                <w:rFonts w:ascii="Arial" w:cs="Arial" w:eastAsia="Arial" w:hAnsi="Arial"/>
                <w:sz w:val="18"/>
                <w:szCs w:val="18"/>
                <w:color w:val="auto"/>
              </w:rPr>
              <w:t>California Department of Fish and Wildlife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CEG</w:t>
            </w:r>
          </w:p>
        </w:tc>
        <w:tc>
          <w:tcPr>
            <w:tcW w:w="8640" w:type="dxa"/>
            <w:vAlign w:val="bottom"/>
          </w:tcPr>
          <w:p>
            <w:pPr>
              <w:ind w:left="24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w w:val="98"/>
              </w:rPr>
              <w:t>CEG Master Services Agreements</w:t>
            </w:r>
          </w:p>
        </w:tc>
        <w:tc>
          <w:tcPr>
            <w:tcW w:w="8640" w:type="dxa"/>
            <w:vAlign w:val="bottom"/>
          </w:tcPr>
          <w:p>
            <w:pPr>
              <w:ind w:left="240"/>
              <w:spacing w:after="0"/>
              <w:rPr>
                <w:sz w:val="20"/>
                <w:szCs w:val="20"/>
                <w:color w:val="auto"/>
              </w:rPr>
            </w:pPr>
            <w:r>
              <w:rPr>
                <w:rFonts w:ascii="Arial" w:cs="Arial" w:eastAsia="Arial" w:hAnsi="Arial"/>
                <w:sz w:val="18"/>
                <w:szCs w:val="18"/>
                <w:color w:val="auto"/>
                <w:w w:val="91"/>
              </w:rPr>
              <w:t>Master Services Agreements entered into as of August 31, 2018 between the Company, Clearway Energy LLC and</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Clearway Energy Operating LLC, and CEG</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CEG ROFO Agreement</w:t>
            </w:r>
          </w:p>
        </w:tc>
        <w:tc>
          <w:tcPr>
            <w:tcW w:w="8640" w:type="dxa"/>
            <w:vAlign w:val="bottom"/>
          </w:tcPr>
          <w:p>
            <w:pPr>
              <w:ind w:left="240"/>
              <w:spacing w:after="0"/>
              <w:rPr>
                <w:sz w:val="20"/>
                <w:szCs w:val="20"/>
                <w:color w:val="auto"/>
              </w:rPr>
            </w:pPr>
            <w:r>
              <w:rPr>
                <w:rFonts w:ascii="Arial" w:cs="Arial" w:eastAsia="Arial" w:hAnsi="Arial"/>
                <w:sz w:val="18"/>
                <w:szCs w:val="18"/>
                <w:color w:val="auto"/>
                <w:w w:val="93"/>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95"/>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amended by the First Amendment to the Right of First Offer Agreement dated February 14, 2019</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CEG ROFO Asset</w:t>
            </w:r>
          </w:p>
        </w:tc>
        <w:tc>
          <w:tcPr>
            <w:tcW w:w="8640" w:type="dxa"/>
            <w:vAlign w:val="bottom"/>
          </w:tcPr>
          <w:p>
            <w:pPr>
              <w:ind w:left="240"/>
              <w:spacing w:after="0"/>
              <w:rPr>
                <w:sz w:val="20"/>
                <w:szCs w:val="20"/>
                <w:color w:val="auto"/>
              </w:rPr>
            </w:pPr>
            <w:r>
              <w:rPr>
                <w:rFonts w:ascii="Arial" w:cs="Arial" w:eastAsia="Arial" w:hAnsi="Arial"/>
                <w:sz w:val="18"/>
                <w:szCs w:val="18"/>
                <w:color w:val="auto"/>
              </w:rPr>
              <w:t>Asset to potentially be offered to the Company by CEG under the CEG ROFO Agreement</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Clearway Energy LLC</w:t>
            </w:r>
          </w:p>
        </w:tc>
        <w:tc>
          <w:tcPr>
            <w:tcW w:w="8640" w:type="dxa"/>
            <w:vAlign w:val="bottom"/>
          </w:tcPr>
          <w:p>
            <w:pPr>
              <w:ind w:left="24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Clearway Energy Group LLC</w:t>
            </w:r>
          </w:p>
        </w:tc>
        <w:tc>
          <w:tcPr>
            <w:tcW w:w="8640" w:type="dxa"/>
            <w:vAlign w:val="bottom"/>
          </w:tcPr>
          <w:p>
            <w:pPr>
              <w:ind w:left="240"/>
              <w:spacing w:after="0"/>
              <w:rPr>
                <w:sz w:val="20"/>
                <w:szCs w:val="20"/>
                <w:color w:val="auto"/>
              </w:rPr>
            </w:pPr>
            <w:r>
              <w:rPr>
                <w:rFonts w:ascii="Arial" w:cs="Arial" w:eastAsia="Arial" w:hAnsi="Arial"/>
                <w:sz w:val="18"/>
                <w:szCs w:val="18"/>
                <w:color w:val="auto"/>
                <w:w w:val="93"/>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Clearway Energy Operating LLC</w:t>
            </w:r>
          </w:p>
        </w:tc>
        <w:tc>
          <w:tcPr>
            <w:tcW w:w="8640" w:type="dxa"/>
            <w:vAlign w:val="bottom"/>
          </w:tcPr>
          <w:p>
            <w:pPr>
              <w:ind w:left="24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COD</w:t>
            </w:r>
          </w:p>
        </w:tc>
        <w:tc>
          <w:tcPr>
            <w:tcW w:w="8640" w:type="dxa"/>
            <w:vAlign w:val="bottom"/>
          </w:tcPr>
          <w:p>
            <w:pPr>
              <w:ind w:left="24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Company</w:t>
            </w:r>
          </w:p>
        </w:tc>
        <w:tc>
          <w:tcPr>
            <w:tcW w:w="8640" w:type="dxa"/>
            <w:vAlign w:val="bottom"/>
          </w:tcPr>
          <w:p>
            <w:pPr>
              <w:ind w:left="24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CVSR</w:t>
            </w:r>
          </w:p>
        </w:tc>
        <w:tc>
          <w:tcPr>
            <w:tcW w:w="8640" w:type="dxa"/>
            <w:vAlign w:val="bottom"/>
          </w:tcPr>
          <w:p>
            <w:pPr>
              <w:ind w:left="24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486"/>
        </w:trPr>
        <w:tc>
          <w:tcPr>
            <w:tcW w:w="2720" w:type="dxa"/>
            <w:vAlign w:val="bottom"/>
          </w:tcPr>
          <w:p>
            <w:pPr>
              <w:spacing w:after="0"/>
              <w:rPr>
                <w:sz w:val="24"/>
                <w:szCs w:val="24"/>
                <w:color w:val="auto"/>
              </w:rPr>
            </w:pPr>
          </w:p>
        </w:tc>
        <w:tc>
          <w:tcPr>
            <w:tcW w:w="8640" w:type="dxa"/>
            <w:vAlign w:val="bottom"/>
          </w:tcPr>
          <w:p>
            <w:pPr>
              <w:ind w:left="29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CVSR Holdco</w:t>
            </w:r>
          </w:p>
        </w:tc>
        <w:tc>
          <w:tcPr>
            <w:tcW w:w="8740" w:type="dxa"/>
            <w:vAlign w:val="bottom"/>
          </w:tcPr>
          <w:p>
            <w:pPr>
              <w:ind w:left="34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DGPV Holdco 1</w:t>
            </w:r>
          </w:p>
        </w:tc>
        <w:tc>
          <w:tcPr>
            <w:tcW w:w="8740" w:type="dxa"/>
            <w:vAlign w:val="bottom"/>
          </w:tcPr>
          <w:p>
            <w:pPr>
              <w:ind w:left="34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DGPV Holdco 2</w:t>
            </w:r>
          </w:p>
        </w:tc>
        <w:tc>
          <w:tcPr>
            <w:tcW w:w="8740" w:type="dxa"/>
            <w:vAlign w:val="bottom"/>
          </w:tcPr>
          <w:p>
            <w:pPr>
              <w:ind w:left="34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DGPV Holdco 3</w:t>
            </w:r>
          </w:p>
        </w:tc>
        <w:tc>
          <w:tcPr>
            <w:tcW w:w="8740" w:type="dxa"/>
            <w:vAlign w:val="bottom"/>
          </w:tcPr>
          <w:p>
            <w:pPr>
              <w:ind w:left="34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Distributed Solar</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Drop Down Assets</w:t>
            </w: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period ended August 31, 2018</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EBITDA</w:t>
            </w:r>
          </w:p>
        </w:tc>
        <w:tc>
          <w:tcPr>
            <w:tcW w:w="8740" w:type="dxa"/>
            <w:vAlign w:val="bottom"/>
          </w:tcPr>
          <w:p>
            <w:pPr>
              <w:ind w:left="340"/>
              <w:spacing w:after="0"/>
              <w:rPr>
                <w:sz w:val="20"/>
                <w:szCs w:val="20"/>
                <w:color w:val="auto"/>
              </w:rPr>
            </w:pPr>
            <w:r>
              <w:rPr>
                <w:rFonts w:ascii="Arial" w:cs="Arial" w:eastAsia="Arial" w:hAnsi="Arial"/>
                <w:sz w:val="18"/>
                <w:szCs w:val="18"/>
                <w:color w:val="auto"/>
              </w:rPr>
              <w:t>Earnings before interest, tax, depreciation and amortization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Economic Gross Margin</w:t>
            </w:r>
          </w:p>
        </w:tc>
        <w:tc>
          <w:tcPr>
            <w:tcW w:w="8740" w:type="dxa"/>
            <w:vAlign w:val="bottom"/>
          </w:tcPr>
          <w:p>
            <w:pPr>
              <w:ind w:left="34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ECP</w:t>
            </w:r>
          </w:p>
        </w:tc>
        <w:tc>
          <w:tcPr>
            <w:tcW w:w="8740" w:type="dxa"/>
            <w:vAlign w:val="bottom"/>
          </w:tcPr>
          <w:p>
            <w:pPr>
              <w:ind w:left="3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EPA</w:t>
            </w:r>
          </w:p>
        </w:tc>
        <w:tc>
          <w:tcPr>
            <w:tcW w:w="8740" w:type="dxa"/>
            <w:vAlign w:val="bottom"/>
          </w:tcPr>
          <w:p>
            <w:pPr>
              <w:ind w:left="34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EPC</w:t>
            </w:r>
          </w:p>
        </w:tc>
        <w:tc>
          <w:tcPr>
            <w:tcW w:w="8740" w:type="dxa"/>
            <w:vAlign w:val="bottom"/>
          </w:tcPr>
          <w:p>
            <w:pPr>
              <w:ind w:left="340"/>
              <w:spacing w:after="0"/>
              <w:rPr>
                <w:sz w:val="20"/>
                <w:szCs w:val="20"/>
                <w:color w:val="auto"/>
              </w:rPr>
            </w:pPr>
            <w:r>
              <w:rPr>
                <w:rFonts w:ascii="Arial" w:cs="Arial" w:eastAsia="Arial" w:hAnsi="Arial"/>
                <w:sz w:val="18"/>
                <w:szCs w:val="18"/>
                <w:color w:val="auto"/>
              </w:rPr>
              <w:t>Engineering, Procurement and Construction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Exchange Act</w:t>
            </w:r>
          </w:p>
        </w:tc>
        <w:tc>
          <w:tcPr>
            <w:tcW w:w="8740" w:type="dxa"/>
            <w:vAlign w:val="bottom"/>
          </w:tcPr>
          <w:p>
            <w:pPr>
              <w:ind w:left="3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FASB</w:t>
            </w:r>
          </w:p>
        </w:tc>
        <w:tc>
          <w:tcPr>
            <w:tcW w:w="874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GAAP</w:t>
            </w:r>
          </w:p>
        </w:tc>
        <w:tc>
          <w:tcPr>
            <w:tcW w:w="874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GenConn</w:t>
            </w:r>
          </w:p>
        </w:tc>
        <w:tc>
          <w:tcPr>
            <w:tcW w:w="8740" w:type="dxa"/>
            <w:vAlign w:val="bottom"/>
          </w:tcPr>
          <w:p>
            <w:pPr>
              <w:ind w:left="3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GIP</w:t>
            </w:r>
          </w:p>
        </w:tc>
        <w:tc>
          <w:tcPr>
            <w:tcW w:w="8740" w:type="dxa"/>
            <w:vAlign w:val="bottom"/>
            <w:vMerge w:val="restart"/>
          </w:tcPr>
          <w:p>
            <w:pPr>
              <w:ind w:left="340"/>
              <w:spacing w:after="0"/>
              <w:rPr>
                <w:sz w:val="20"/>
                <w:szCs w:val="20"/>
                <w:color w:val="auto"/>
              </w:rPr>
            </w:pPr>
            <w:r>
              <w:rPr>
                <w:rFonts w:ascii="Arial" w:cs="Arial" w:eastAsia="Arial" w:hAnsi="Arial"/>
                <w:sz w:val="18"/>
                <w:szCs w:val="18"/>
                <w:color w:val="auto"/>
                <w:w w:val="95"/>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67"/>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GIP Transaction</w:t>
            </w:r>
          </w:p>
        </w:tc>
        <w:tc>
          <w:tcPr>
            <w:tcW w:w="8740" w:type="dxa"/>
            <w:vAlign w:val="bottom"/>
            <w:vMerge w:val="restart"/>
          </w:tcPr>
          <w:p>
            <w:pPr>
              <w:ind w:left="340"/>
              <w:spacing w:after="0"/>
              <w:rPr>
                <w:sz w:val="20"/>
                <w:szCs w:val="20"/>
                <w:color w:val="auto"/>
              </w:rPr>
            </w:pPr>
            <w:r>
              <w:rPr>
                <w:rFonts w:ascii="Arial" w:cs="Arial" w:eastAsia="Arial" w:hAnsi="Arial"/>
                <w:sz w:val="18"/>
                <w:szCs w:val="18"/>
                <w:color w:val="auto"/>
                <w:w w:val="94"/>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67"/>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HLBV</w:t>
            </w:r>
          </w:p>
        </w:tc>
        <w:tc>
          <w:tcPr>
            <w:tcW w:w="8740" w:type="dxa"/>
            <w:vAlign w:val="bottom"/>
          </w:tcPr>
          <w:p>
            <w:pPr>
              <w:ind w:left="3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LIBOR</w:t>
            </w:r>
          </w:p>
        </w:tc>
        <w:tc>
          <w:tcPr>
            <w:tcW w:w="874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MMBtu</w:t>
            </w:r>
          </w:p>
        </w:tc>
        <w:tc>
          <w:tcPr>
            <w:tcW w:w="874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MWh</w:t>
            </w:r>
          </w:p>
        </w:tc>
        <w:tc>
          <w:tcPr>
            <w:tcW w:w="874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MWt</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Net Exposure</w:t>
            </w:r>
          </w:p>
        </w:tc>
        <w:tc>
          <w:tcPr>
            <w:tcW w:w="874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NPPD</w:t>
            </w:r>
          </w:p>
        </w:tc>
        <w:tc>
          <w:tcPr>
            <w:tcW w:w="8740" w:type="dxa"/>
            <w:vAlign w:val="bottom"/>
          </w:tcPr>
          <w:p>
            <w:pPr>
              <w:ind w:left="34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w:t>
            </w:r>
          </w:p>
        </w:tc>
        <w:tc>
          <w:tcPr>
            <w:tcW w:w="874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NRG ROFO Agreement</w:t>
            </w: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Third Amended and Restated Right of First Offer Agreement, entered into as of August 31, 2018, by and between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NRG Energy, Inc.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 TSA</w:t>
            </w:r>
          </w:p>
        </w:tc>
        <w:tc>
          <w:tcPr>
            <w:tcW w:w="8740" w:type="dxa"/>
            <w:vAlign w:val="bottom"/>
          </w:tcPr>
          <w:p>
            <w:pPr>
              <w:ind w:left="340"/>
              <w:spacing w:after="0"/>
              <w:rPr>
                <w:sz w:val="20"/>
                <w:szCs w:val="20"/>
                <w:color w:val="auto"/>
              </w:rPr>
            </w:pPr>
            <w:r>
              <w:rPr>
                <w:rFonts w:ascii="Arial" w:cs="Arial" w:eastAsia="Arial" w:hAnsi="Arial"/>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OCI/OCL</w:t>
            </w:r>
          </w:p>
        </w:tc>
        <w:tc>
          <w:tcPr>
            <w:tcW w:w="8740" w:type="dxa"/>
            <w:vAlign w:val="bottom"/>
          </w:tcPr>
          <w:p>
            <w:pPr>
              <w:ind w:left="34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O&amp;M</w:t>
            </w:r>
          </w:p>
        </w:tc>
        <w:tc>
          <w:tcPr>
            <w:tcW w:w="8740" w:type="dxa"/>
            <w:vAlign w:val="bottom"/>
          </w:tcPr>
          <w:p>
            <w:pPr>
              <w:ind w:left="34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PG&amp;E</w:t>
            </w:r>
          </w:p>
        </w:tc>
        <w:tc>
          <w:tcPr>
            <w:tcW w:w="874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PG&amp;E Bankruptcy</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On January 29, 2019, PG&amp;E Corporation and Pacific Gas and Electric Company filed voluntary petitions for relief</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under the Bankruptcy Code in the Bankruptcy Court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PPA</w:t>
            </w:r>
          </w:p>
        </w:tc>
        <w:tc>
          <w:tcPr>
            <w:tcW w:w="87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RENOM</w:t>
            </w:r>
          </w:p>
        </w:tc>
        <w:tc>
          <w:tcPr>
            <w:tcW w:w="874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ROFO</w:t>
            </w:r>
          </w:p>
        </w:tc>
        <w:tc>
          <w:tcPr>
            <w:tcW w:w="8740" w:type="dxa"/>
            <w:vAlign w:val="bottom"/>
          </w:tcPr>
          <w:p>
            <w:pPr>
              <w:ind w:left="34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8740" w:type="dxa"/>
            <w:vAlign w:val="bottom"/>
          </w:tcPr>
          <w:p>
            <w:pPr>
              <w:ind w:left="3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908"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RPV Holdco 1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Organization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University of Pittsburgh Medical Center Thermal Project, a 73 MWt district energy system that allows ECP to provide steam, chilled water and 7.5 MW of emergency backup power service to UPMC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908"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Transaction and integration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33"/>
        </w:trPr>
        <w:tc>
          <w:tcPr>
            <w:tcW w:w="56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29"/>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Pr>
          <w:p>
            <w:pPr>
              <w:spacing w:after="0"/>
              <w:rPr>
                <w:sz w:val="14"/>
                <w:szCs w:val="14"/>
                <w:color w:val="auto"/>
              </w:rPr>
            </w:pPr>
          </w:p>
        </w:tc>
        <w:tc>
          <w:tcPr>
            <w:tcW w:w="1700" w:type="dxa"/>
            <w:vAlign w:val="bottom"/>
          </w:tcPr>
          <w:p>
            <w:pPr>
              <w:jc w:val="right"/>
              <w:ind w:right="31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8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Right of use assets, net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affiliate</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lease liabilities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Contributed capital</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deficit) 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742" w:right="259" w:bottom="991"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50"/>
        </w:trPr>
        <w:tc>
          <w:tcPr>
            <w:tcW w:w="8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 of use asset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financing costs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Adjustment for debt extinguishment</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losses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disposal of asset components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Partnership interests acquisition</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Acquisition of the Drop Down Assets</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Buyout of Wind TE Holdco non-controlling interest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(166)</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contributions from noncontrolling interests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proceeds from the issuance of Class C units</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distributions, net of contributions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(128)</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long-term debt — external</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(396)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(285)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 — affiliate</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(228)</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0"/>
        </w:trPr>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937"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Contributed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Unrealized (loss) gain on derivatives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Buyout of Wind TE Holdco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w w:val="96"/>
              </w:rPr>
              <w:t>Capital contributions from tax equity investors, net of distributions, cash</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CEG, net of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Contributions from CEG for Oahu Partnership, non-cash</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from change in accounting principle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Distributions paid to CEG on Class B and Class D units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Clearway Energy, Inc.</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Balances at March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Unrealized gain on derivatives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 of contributions, cash</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4920" w:type="dxa"/>
            <w:vAlign w:val="bottom"/>
          </w:tcPr>
          <w:p>
            <w:pPr>
              <w:ind w:left="40"/>
              <w:spacing w:after="0"/>
              <w:rPr>
                <w:sz w:val="20"/>
                <w:szCs w:val="20"/>
                <w:color w:val="auto"/>
              </w:rPr>
            </w:pPr>
            <w:r>
              <w:rPr>
                <w:rFonts w:ascii="Arial" w:cs="Arial" w:eastAsia="Arial" w:hAnsi="Arial"/>
                <w:sz w:val="16"/>
                <w:szCs w:val="16"/>
                <w:color w:val="auto"/>
                <w:w w:val="98"/>
              </w:rPr>
              <w:t>Contributions from CEG for Kawailoa, Repowering Partnerships, non-</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restart"/>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98"/>
        </w:trPr>
        <w:tc>
          <w:tcPr>
            <w:tcW w:w="4920" w:type="dxa"/>
            <w:vAlign w:val="bottom"/>
            <w:vMerge w:val="restart"/>
          </w:tcPr>
          <w:p>
            <w:pPr>
              <w:ind w:left="1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CEG on Class B and Class D units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Distributions paid to Clearway Energy, Inc., non-cash</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7"/>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Clearway Energy, Inc.</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Balances at June 30, 2019</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92"/>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the Buckthorn Solar Drop Down Asset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w w:val="98"/>
              </w:rPr>
              <w:t>Capital contributions from tax equity investors, net of distributions, cash</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 net of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Distributions paid to NRG on Class B and Class D units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Balances at March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the Buckthorn Solar Drop Down Asset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w w:val="98"/>
              </w:rPr>
              <w:t>Capital contributions from tax equity investors, net of distributions, cash</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 net of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Proceeds from the issuance of Class C Common Stock</w:t>
            </w: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Balances at June 30, 2018</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5,272</w:t>
      </w:r>
      <w:r>
        <w:rPr>
          <w:rFonts w:ascii="Arial" w:cs="Arial" w:eastAsia="Arial" w:hAnsi="Arial"/>
          <w:sz w:val="16"/>
          <w:szCs w:val="16"/>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3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 Clearway Energy, Inc. currently owns 55.8% of the economic interests of Clearway Energy LLC, with CEG retaining 44.2% of the economic interests of Clearway Energy LLC.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color w:val="auto"/>
        </w:rPr>
        <w:t>The following table represents the structure of the Company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118110</wp:posOffset>
            </wp:positionV>
            <wp:extent cx="5848985" cy="4124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2019 , and the results of operations, comprehensive income (loss) and cash flows for the six months ended June 30, 2019 and 2018.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June 30, 2019, the Company had $1.4 billion of property, plant and equipment, net, $357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$1.3 billion of principal, net of the related unamortized debt issuance costs, as short-term debt as of June 30, 2019. As of August 5, 2019, the Company's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 xml:space="preserve">contracts with PG&amp;E have operated in the normal course and the Company currently expects these contracts to continue as such. As of August 5, 2019, the Company has entered into forbearance agreements for certain project-level financing arrangements, and continues to seek forbearance agreements for its other project-level financing arrangements affected by the PG&amp;E Bankruptcy. For further discussion see Note 7, </w:t>
      </w:r>
      <w:r>
        <w:rPr>
          <w:rFonts w:ascii="Arial" w:cs="Arial" w:eastAsia="Arial" w:hAnsi="Arial"/>
          <w:sz w:val="17"/>
          <w:szCs w:val="17"/>
          <w:i w:val="1"/>
          <w:iCs w:val="1"/>
          <w:color w:val="auto"/>
        </w:rPr>
        <w:t>Long-term Debt.</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Expenses related to the NRG TSA are recorded in transaction and integration costs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$86 million and $109 million as of June 30, 2019 and December 31, 2018, respectively.</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30"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r>
      <w:tr>
        <w:trPr>
          <w:trHeight w:val="264"/>
        </w:trPr>
        <w:tc>
          <w:tcPr>
            <w:tcW w:w="7220" w:type="dxa"/>
            <w:vAlign w:val="bottom"/>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r>
      <w:tr>
        <w:trPr>
          <w:trHeight w:val="223"/>
        </w:trPr>
        <w:tc>
          <w:tcPr>
            <w:tcW w:w="7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gridSpan w:val="4"/>
          </w:tcPr>
          <w:p>
            <w:pPr>
              <w:jc w:val="right"/>
              <w:ind w:right="857"/>
              <w:spacing w:after="0"/>
              <w:rPr>
                <w:sz w:val="20"/>
                <w:szCs w:val="20"/>
                <w:color w:val="auto"/>
              </w:rPr>
            </w:pPr>
            <w:r>
              <w:rPr>
                <w:rFonts w:ascii="Arial" w:cs="Arial" w:eastAsia="Arial" w:hAnsi="Arial"/>
                <w:sz w:val="16"/>
                <w:szCs w:val="16"/>
                <w:b w:val="1"/>
                <w:bCs w:val="1"/>
                <w:color w:val="auto"/>
                <w:w w:val="93"/>
              </w:rPr>
              <w:t>(in millions)</w:t>
            </w:r>
          </w:p>
        </w:tc>
      </w:tr>
      <w:tr>
        <w:trPr>
          <w:trHeight w:val="33"/>
        </w:trPr>
        <w:tc>
          <w:tcPr>
            <w:tcW w:w="7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w:t>
            </w:r>
          </w:p>
        </w:tc>
      </w:tr>
      <w:tr>
        <w:trPr>
          <w:trHeight w:val="243"/>
        </w:trPr>
        <w:tc>
          <w:tcPr>
            <w:tcW w:w="72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w w:val="86"/>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176</w:t>
            </w:r>
          </w:p>
        </w:tc>
      </w:tr>
      <w:tr>
        <w:trPr>
          <w:trHeight w:val="27"/>
        </w:trPr>
        <w:tc>
          <w:tcPr>
            <w:tcW w:w="7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6"/>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583</w:t>
            </w:r>
          </w:p>
        </w:tc>
      </w:tr>
      <w:tr>
        <w:trPr>
          <w:trHeight w:val="20"/>
        </w:trPr>
        <w:tc>
          <w:tcPr>
            <w:tcW w:w="7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Restricted cash consists primarily of funds held to satisfy the requirements of certain debt agreements and funds held within the Company's projects that are restricted in their use. As of June 30, 2019, these restricted funds were comprised of $60 million designated to fund operating expenses, approximately $45 million designated for current debt service payments, and $42 million restricted for reserves including debt service, performance obligations and other reserves, as well as capital expenditures. The remaining $56 million is held in distributions reserve accounts, of which $36 million related to subsidiaries affected by the PG&amp;E Bankruptcy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xml:space="preserve"> and may not be distributed during the pendency of the bankruptcy.</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2019 and December 31, 2018:</w:t>
      </w: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337"/>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18"/>
                <w:szCs w:val="18"/>
                <w:color w:val="auto"/>
              </w:rPr>
            </w:pPr>
          </w:p>
        </w:tc>
        <w:tc>
          <w:tcPr>
            <w:tcW w:w="160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244"/>
        </w:trPr>
        <w:tc>
          <w:tcPr>
            <w:tcW w:w="48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80" w:type="dxa"/>
            <w:vAlign w:val="bottom"/>
            <w:gridSpan w:val="3"/>
          </w:tcPr>
          <w:p>
            <w:pPr>
              <w:jc w:val="right"/>
              <w:ind w:right="13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308</w:t>
            </w:r>
          </w:p>
        </w:tc>
      </w:tr>
      <w:tr>
        <w:trPr>
          <w:trHeight w:val="864"/>
        </w:trPr>
        <w:tc>
          <w:tcPr>
            <w:tcW w:w="4820" w:type="dxa"/>
            <w:vAlign w:val="bottom"/>
          </w:tcPr>
          <w:p>
            <w:pPr>
              <w:spacing w:after="0"/>
              <w:rPr>
                <w:sz w:val="24"/>
                <w:szCs w:val="24"/>
                <w:color w:val="auto"/>
              </w:rPr>
            </w:pPr>
          </w:p>
        </w:tc>
        <w:tc>
          <w:tcPr>
            <w:tcW w:w="2620" w:type="dxa"/>
            <w:vAlign w:val="bottom"/>
          </w:tcPr>
          <w:p>
            <w:pPr>
              <w:jc w:val="right"/>
              <w:ind w:right="173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Clearway Energy LLC's Class A, B, C and D units during the six months ended June 30, 2019:</w:t>
      </w: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2019</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7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1, 2019, Clearway Energy LLC declared a distribution on its Class A, Class B, Class C and Class D units of $0.20 per unit payable on September 17, 2019 to unit holders of record as of September 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0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8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2019:</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00"/>
              <w:spacing w:after="0"/>
              <w:rPr>
                <w:sz w:val="20"/>
                <w:szCs w:val="20"/>
                <w:color w:val="auto"/>
              </w:rPr>
            </w:pPr>
            <w:r>
              <w:rPr>
                <w:rFonts w:ascii="Arial" w:cs="Arial" w:eastAsia="Arial" w:hAnsi="Arial"/>
                <w:sz w:val="16"/>
                <w:szCs w:val="16"/>
                <w:color w:val="auto"/>
              </w:rPr>
              <w:t>1</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85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6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100" w:type="dxa"/>
            <w:vAlign w:val="bottom"/>
            <w:gridSpan w:val="2"/>
          </w:tcPr>
          <w:p>
            <w:pPr>
              <w:spacing w:after="0"/>
              <w:rPr>
                <w:sz w:val="20"/>
                <w:szCs w:val="20"/>
                <w:color w:val="auto"/>
              </w:rPr>
            </w:pPr>
            <w:r>
              <w:rPr>
                <w:rFonts w:ascii="Arial" w:cs="Arial" w:eastAsia="Arial" w:hAnsi="Arial"/>
                <w:sz w:val="16"/>
                <w:szCs w:val="16"/>
                <w:color w:val="auto"/>
              </w:rPr>
              <w:t>Total operating revenue</w:t>
            </w: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84</w:t>
            </w: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Lease revenue</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6"/>
                <w:szCs w:val="16"/>
                <w:color w:val="auto"/>
              </w:rPr>
              <w:t>Less: Contract amortization</w:t>
            </w:r>
          </w:p>
        </w:tc>
        <w:tc>
          <w:tcPr>
            <w:tcW w:w="260" w:type="dxa"/>
            <w:vAlign w:val="bottom"/>
          </w:tcPr>
          <w:p>
            <w:pPr>
              <w:spacing w:after="0"/>
              <w:rPr>
                <w:sz w:val="24"/>
                <w:szCs w:val="24"/>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420" w:hanging="169"/>
        <w:spacing w:after="0"/>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Conventional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1"/>
              </w:rPr>
              <w:t>Renewables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86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4"/>
              </w:rPr>
              <w:t>Six months ended June 30, 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Conventional</w:t>
            </w:r>
          </w:p>
        </w:tc>
        <w:tc>
          <w:tcPr>
            <w:tcW w:w="24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Thermal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40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8"/>
              </w:rPr>
              <w:t>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30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Mark-to-market for economic hedging activities</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Other revenue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78"/>
              </w:rPr>
              <w:t>97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Less: Mark-to-market for economic hedging activities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Lease revenue</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Less: Contract amortization</w:t>
            </w:r>
          </w:p>
        </w:tc>
        <w:tc>
          <w:tcPr>
            <w:tcW w:w="300" w:type="dxa"/>
            <w:vAlign w:val="bottom"/>
          </w:tcPr>
          <w:p>
            <w:pPr>
              <w:spacing w:after="0"/>
              <w:rPr>
                <w:sz w:val="24"/>
                <w:szCs w:val="24"/>
                <w:color w:val="auto"/>
              </w:rPr>
            </w:pPr>
          </w:p>
        </w:tc>
        <w:tc>
          <w:tcPr>
            <w:tcW w:w="1140" w:type="dxa"/>
            <w:vAlign w:val="bottom"/>
            <w:gridSpan w:val="4"/>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8"/>
              </w:rPr>
              <w:t>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580" w:hanging="167"/>
        <w:spacing w:after="0"/>
        <w:tabs>
          <w:tab w:leader="none" w:pos="580"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8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Conventional</w:t>
            </w:r>
          </w:p>
        </w:tc>
        <w:tc>
          <w:tcPr>
            <w:tcW w:w="3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44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60" w:type="dxa"/>
            <w:vAlign w:val="bottom"/>
          </w:tcPr>
          <w:p>
            <w:pPr>
              <w:spacing w:after="0"/>
              <w:rPr>
                <w:sz w:val="14"/>
                <w:szCs w:val="14"/>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38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240" w:type="dxa"/>
            <w:vAlign w:val="bottom"/>
          </w:tcPr>
          <w:p>
            <w:pPr>
              <w:spacing w:after="0"/>
              <w:rPr>
                <w:sz w:val="21"/>
                <w:szCs w:val="21"/>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394"/>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7" w:name="page18"/>
    <w:bookmarkEnd w:id="17"/>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2018:</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45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4"/>
                <w:szCs w:val="14"/>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60" w:type="dxa"/>
            <w:vAlign w:val="bottom"/>
            <w:tcBorders>
              <w:top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3"/>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Less: Lease revenue</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6"/>
                <w:szCs w:val="16"/>
                <w:color w:val="auto"/>
              </w:rPr>
              <w:t>Less: 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580" w:hanging="167"/>
        <w:spacing w:after="0"/>
        <w:tabs>
          <w:tab w:leader="none" w:pos="580" w:val="left"/>
        </w:tabs>
        <w:numPr>
          <w:ilvl w:val="0"/>
          <w:numId w:val="5"/>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39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Conventional Generation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64"/>
        </w:trPr>
        <w:tc>
          <w:tcPr>
            <w:tcW w:w="2080" w:type="dxa"/>
            <w:vAlign w:val="bottom"/>
          </w:tcPr>
          <w:p>
            <w:pPr>
              <w:spacing w:after="0"/>
              <w:rPr>
                <w:sz w:val="20"/>
                <w:szCs w:val="20"/>
                <w:color w:val="auto"/>
              </w:rPr>
            </w:pPr>
            <w:r>
              <w:rPr>
                <w:rFonts w:ascii="Arial" w:cs="Arial" w:eastAsia="Arial" w:hAnsi="Arial"/>
                <w:sz w:val="16"/>
                <w:szCs w:val="16"/>
                <w:color w:val="auto"/>
              </w:rPr>
              <w:t>Energy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Capacity revenue</w:t>
            </w:r>
          </w:p>
        </w:tc>
        <w:tc>
          <w:tcPr>
            <w:tcW w:w="2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3"/>
                <w:szCs w:val="23"/>
                <w:color w:val="auto"/>
              </w:rPr>
            </w:pPr>
          </w:p>
        </w:tc>
      </w:tr>
      <w:tr>
        <w:trPr>
          <w:trHeight w:val="27"/>
        </w:trPr>
        <w:tc>
          <w:tcPr>
            <w:tcW w:w="2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Contract amortization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operating revenue</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Less: Lease revenue</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Less: Contract amortization</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revenue from contracts with customers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b w:val="1"/>
                <w:bCs w:val="1"/>
                <w:color w:val="auto"/>
                <w:w w:val="88"/>
              </w:rPr>
              <w:t>Renewables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9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64"/>
        </w:trPr>
        <w:tc>
          <w:tcPr>
            <w:tcW w:w="740" w:type="dxa"/>
            <w:vAlign w:val="bottom"/>
            <w:tcBorders>
              <w:top w:val="single" w:sz="8" w:color="auto"/>
            </w:tcBorders>
          </w:tcPr>
          <w:p>
            <w:pPr>
              <w:spacing w:after="0"/>
              <w:rPr>
                <w:sz w:val="22"/>
                <w:szCs w:val="22"/>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0"/>
        </w:trPr>
        <w:tc>
          <w:tcPr>
            <w:tcW w:w="74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181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-548005</wp:posOffset>
            </wp:positionV>
            <wp:extent cx="58832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327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-205105</wp:posOffset>
            </wp:positionV>
            <wp:extent cx="588327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3275" cy="205740"/>
                    </a:xfrm>
                    <a:prstGeom prst="rect">
                      <a:avLst/>
                    </a:prstGeom>
                    <a:noFill/>
                  </pic:spPr>
                </pic:pic>
              </a:graphicData>
            </a:graphic>
          </wp:anchor>
        </w:drawing>
      </w:r>
    </w:p>
    <w:p>
      <w:pPr>
        <w:spacing w:after="0" w:line="349"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249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9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60" w:type="dxa"/>
            <w:vAlign w:val="bottom"/>
            <w:tcBorders>
              <w:top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3"/>
                <w:szCs w:val="23"/>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-3381375</wp:posOffset>
            </wp:positionH>
            <wp:positionV relativeFrom="paragraph">
              <wp:posOffset>-1388745</wp:posOffset>
            </wp:positionV>
            <wp:extent cx="663765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7655" cy="19748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-994410</wp:posOffset>
            </wp:positionV>
            <wp:extent cx="6637655"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7655" cy="19748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-591185</wp:posOffset>
            </wp:positionV>
            <wp:extent cx="6637655"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7655" cy="19748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-196850</wp:posOffset>
            </wp:positionV>
            <wp:extent cx="66376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765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300"/>
            <w:col w:w="5600"/>
          </w:cols>
          <w:pgMar w:left="240" w:top="746" w:right="239" w:bottom="1440" w:gutter="0" w:footer="0" w:header="0"/>
          <w:type w:val="continuous"/>
        </w:sectPr>
      </w:pPr>
    </w:p>
    <w:p>
      <w:pPr>
        <w:spacing w:after="0" w:line="50" w:lineRule="exact"/>
        <w:rPr>
          <w:sz w:val="20"/>
          <w:szCs w:val="20"/>
          <w:color w:val="auto"/>
        </w:rPr>
      </w:pPr>
    </w:p>
    <w:p>
      <w:pPr>
        <w:ind w:left="580" w:hanging="167"/>
        <w:spacing w:after="0"/>
        <w:tabs>
          <w:tab w:leader="none" w:pos="580"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Conventional Generation</w:t>
            </w: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rPr>
              <w:t>Renewables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1"/>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r>
      <w:tr>
        <w:trPr>
          <w:trHeight w:val="243"/>
        </w:trPr>
        <w:tc>
          <w:tcPr>
            <w:tcW w:w="210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28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r>
      <w:tr>
        <w:trPr>
          <w:trHeight w:val="27"/>
        </w:trPr>
        <w:tc>
          <w:tcPr>
            <w:tcW w:w="2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2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type w:val="continuous"/>
        </w:sectPr>
      </w:pPr>
    </w:p>
    <w:bookmarkStart w:id="18" w:name="page19"/>
    <w:bookmarkEnd w:id="18"/>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June 30, 2019: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8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June 30, 2019</w:t>
            </w:r>
          </w:p>
        </w:tc>
        <w:tc>
          <w:tcPr>
            <w:tcW w:w="420" w:type="dxa"/>
            <w:vAlign w:val="bottom"/>
          </w:tcPr>
          <w:p>
            <w:pPr>
              <w:spacing w:after="0"/>
              <w:rPr>
                <w:sz w:val="14"/>
                <w:szCs w:val="14"/>
                <w:color w:val="auto"/>
              </w:rPr>
            </w:pP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6"/>
                <w:szCs w:val="16"/>
                <w:color w:val="auto"/>
              </w:rPr>
              <w:t>Accounts receivable, net - Contracts with customers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Leases</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6"/>
                <w:szCs w:val="16"/>
                <w:color w:val="auto"/>
              </w:rPr>
              <w:t xml:space="preserve">Total accounts receivable, net </w:t>
            </w:r>
            <w:r>
              <w:rPr>
                <w:rFonts w:ascii="Arial" w:cs="Arial" w:eastAsia="Arial" w:hAnsi="Arial"/>
                <w:sz w:val="21"/>
                <w:szCs w:val="21"/>
                <w:color w:val="auto"/>
                <w:vertAlign w:val="superscript"/>
              </w:rPr>
              <w:t>(a)</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Total accounts receivable, net, excludes $5 million generated at projects affected by PG&amp;E Bankruptcy, which were reclassified to non-current assets as of June 30, 2019</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67"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i w:val="1"/>
          <w:iCs w:val="1"/>
          <w:color w:val="auto"/>
        </w:rPr>
        <w:t xml:space="preserve">Duquesne University District Energy System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1, 2019, the Company, through its indirect subsidiary ECP Uptown Campus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w:t>
      </w:r>
    </w:p>
    <w:p>
      <w:pPr>
        <w:spacing w:after="0" w:line="1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total investment for the project is approximately $107 million This includes $100 million related to the purchase of district energy assets, which was funded through a combination of issuance of non-recourse debt in the amount of $95 million, as further discussed in Note 7—</w:t>
      </w:r>
      <w:r>
        <w:rPr>
          <w:rFonts w:ascii="Arial" w:cs="Arial" w:eastAsia="Arial" w:hAnsi="Arial"/>
          <w:sz w:val="18"/>
          <w:szCs w:val="18"/>
          <w:i w:val="1"/>
          <w:iCs w:val="1"/>
          <w:color w:val="auto"/>
        </w:rPr>
        <w:t>Long-term Debt</w:t>
      </w:r>
      <w:r>
        <w:rPr>
          <w:rFonts w:ascii="Arial" w:cs="Arial" w:eastAsia="Arial" w:hAnsi="Arial"/>
          <w:sz w:val="18"/>
          <w:szCs w:val="18"/>
          <w:color w:val="auto"/>
        </w:rPr>
        <w:t>, as well as cash on hand.</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acquisition was determined to be as an asset acquisition under ASC 805, with identifiable assets acquired and liabilities assumed recorded at their estimated fair values on the acquisition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UPMC Thermal Project Asset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Arial" w:cs="Arial" w:eastAsia="Arial" w:hAnsi="Arial"/>
          <w:sz w:val="17"/>
          <w:szCs w:val="17"/>
          <w:i w:val="1"/>
          <w:iCs w:val="1"/>
          <w:color w:val="auto"/>
        </w:rPr>
        <w:t>Business Combinations -</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Issues</w:t>
      </w:r>
      <w:r>
        <w:rPr>
          <w:rFonts w:ascii="Arial" w:cs="Arial" w:eastAsia="Arial" w:hAnsi="Arial"/>
          <w:sz w:val="17"/>
          <w:szCs w:val="17"/>
          <w:color w:val="auto"/>
        </w:rPr>
        <w:t>. The difference between the purchase price and book value of the assets was recorded as a distribution to NRG and decreased the balance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capital. The acquisition was determined to be an asset acquisition and not a business combination, and therefore no recast of the historical financial information was deemed necessary.</w:t>
      </w:r>
    </w:p>
    <w:p>
      <w:pPr>
        <w:spacing w:after="0" w:line="120"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owned a 154 MW construction-stage utility-scale solar generation project located in Texas, or the Buckthorn Solar Drop Down Asset, for cash consideration of $42 million.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8"/>
          <w:szCs w:val="18"/>
          <w:i w:val="1"/>
          <w:iCs w:val="1"/>
          <w:color w:val="auto"/>
        </w:rPr>
        <w:t>Business Combinations - Related Issues</w:t>
      </w:r>
      <w:r>
        <w:rPr>
          <w:rFonts w:ascii="Arial" w:cs="Arial" w:eastAsia="Arial" w:hAnsi="Arial"/>
          <w:sz w:val="18"/>
          <w:szCs w:val="18"/>
          <w:color w:val="auto"/>
        </w:rPr>
        <w:t>. The difference between the cash paid and historical value of the entities' equity was recorded as a distribution to NRG and decreased the balance of its noncontrolling interest. Since the transaction constituted a transfer of net assets under common control, the guidance requires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retrospective combination of the entities for all periods presented as if the combination had been in effect since the inception of common control.</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project sells power under a 25-year PPA to the City of Georgetown, Texas, which commenced in July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2018</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Repowering Partnership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30, 2018, Wind TE Holdco, an indirect subsidiary of the Company, formed a partnership with Clearway Renew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entitled to allocations of 21% of income, which is reflected in Wind TE Holdco’s noncontrolling interests.</w:t>
      </w:r>
    </w:p>
    <w:p>
      <w:pPr>
        <w:spacing w:after="0" w:line="13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June 14, 2019, Repowering Partnership LLC was replaced with Repowering Partnership II LLC as the owner of the Elbow Creek and Wildorado Wind projects, as well as Repowering Partnership Holdco LLC, which concurrently entered into a financing agreement for construction debt of $219 million, as further described in Note 7, Long-term Debt.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15"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Kawailoa Partnership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31, 2018, the Company entered into an agreement with Clearway Renew LLC, a subsidiary of CEG, to acquire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which is being developed in Oahu, Hawaii. The Kawailoa Solar project is contracted to sell power under long-term PPAs with Hawaiian Electric Company upon reaching COD. The Kawailoa Solar project is 51% owned by the Kawailoa Partnership, with the remaining 49% owned by a third party investor. The Kawailoa Partnership consolidates the Kawailoa Solar project through its controlling majority interest.</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May 7, 2019, the Company made an initial capital contribution of $2 million, which represents 20% of its total anticipated capital contributions. The Company assumed non-recourse debt of $120 million, 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non-controlling interests attributable to third parties in the amount of $21 million. The Company recorded a $7 million payable due to Clearway Renew LLC in accounts payable </w:t>
      </w:r>
      <w:r>
        <w:rPr>
          <w:rFonts w:ascii="Arial" w:cs="Arial" w:eastAsia="Arial" w:hAnsi="Arial"/>
          <w:sz w:val="18"/>
          <w:szCs w:val="18"/>
          <w:b w:val="1"/>
          <w:bCs w:val="1"/>
          <w:color w:val="auto"/>
        </w:rPr>
        <w:t>—</w:t>
      </w:r>
      <w:r>
        <w:rPr>
          <w:rFonts w:ascii="Arial" w:cs="Arial" w:eastAsia="Arial" w:hAnsi="Arial"/>
          <w:sz w:val="18"/>
          <w:szCs w:val="18"/>
          <w:color w:val="auto"/>
        </w:rPr>
        <w:t xml:space="preserve"> affiliate on the Company's consolidated balance sheets as of June 30, 2019, which represents the remaining 80% of the equity commitment and will be funded on the date the Kawailoa Solar project reaches substantial completion.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w:t>
      </w:r>
    </w:p>
    <w:p>
      <w:pPr>
        <w:spacing w:after="0" w:line="13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payable recorded and the historical value of the assets was recorded as a distribution to CEG and decreased the balance of its noncontrolling interest.</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LLC, a subsidiary of CEG, to acquire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are contracted to sell power under long-term PPAs with Hawaiian Electric Company, Inc.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405"/>
        <w:spacing w:after="0" w:line="272" w:lineRule="auto"/>
        <w:rPr>
          <w:sz w:val="20"/>
          <w:szCs w:val="20"/>
          <w:color w:val="auto"/>
        </w:rPr>
      </w:pPr>
      <w:r>
        <w:rPr>
          <w:rFonts w:ascii="Arial" w:cs="Arial" w:eastAsia="Arial" w:hAnsi="Arial"/>
          <w:sz w:val="17"/>
          <w:szCs w:val="17"/>
          <w:color w:val="auto"/>
        </w:rPr>
        <w:t xml:space="preserve">On March 8, 2019, the Company made an initial capital contribution of $4 million, which represents 20% of its total anticipated capital contributions. The Company also assumed non-recourse debt of $143 million, as further described in Note 7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$18 million of non-controlling interest attributable to a tax equity investor's initial contribution. The Company recorded a payable in the amount of $16 million due to Clearway Renew LLC in accounts payable </w:t>
      </w:r>
      <w:r>
        <w:rPr>
          <w:rFonts w:ascii="Arial" w:cs="Arial" w:eastAsia="Arial" w:hAnsi="Arial"/>
          <w:sz w:val="17"/>
          <w:szCs w:val="17"/>
          <w:b w:val="1"/>
          <w:bCs w:val="1"/>
          <w:color w:val="auto"/>
        </w:rPr>
        <w:t>—</w:t>
      </w:r>
      <w:r>
        <w:rPr>
          <w:rFonts w:ascii="Arial" w:cs="Arial" w:eastAsia="Arial" w:hAnsi="Arial"/>
          <w:sz w:val="17"/>
          <w:szCs w:val="17"/>
          <w:color w:val="auto"/>
        </w:rPr>
        <w:t xml:space="preserve"> affiliate on the Company's consolidated balance sheets as of June 30, 2019. The payable represents the remaining 80% of the equity commitment and will be funded on the date the Oahu Solar LLC projects reach substantial completion.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payable recorded and the historical value of the assets was recorded as a contribution from CEG and increased the balance of its noncontrolling interest.</w:t>
      </w:r>
    </w:p>
    <w:p>
      <w:pPr>
        <w:spacing w:after="0" w:line="8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Wind TE Holdco Buyout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 2019, the Company bought out 100% of the Class A membership interests from the tax equity investor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Buckthorn Renewables,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30, 2018, the Company acquired 100% of NRG’s interest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2019:</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Oahu Solar</w:t>
            </w:r>
          </w:p>
        </w:tc>
        <w:tc>
          <w:tcPr>
            <w:tcW w:w="14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Kawailoa</w:t>
            </w: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Alta Wind TE</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Buckthorn</w:t>
            </w:r>
          </w:p>
        </w:tc>
        <w:tc>
          <w:tcPr>
            <w:tcW w:w="160" w:type="dxa"/>
            <w:vAlign w:val="bottom"/>
          </w:tcPr>
          <w:p>
            <w:pPr>
              <w:spacing w:after="0"/>
              <w:rPr>
                <w:sz w:val="14"/>
                <w:szCs w:val="14"/>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Repowering</w:t>
            </w:r>
          </w:p>
        </w:tc>
        <w:tc>
          <w:tcPr>
            <w:tcW w:w="0" w:type="dxa"/>
            <w:vAlign w:val="bottom"/>
          </w:tcPr>
          <w:p>
            <w:pPr>
              <w:spacing w:after="0"/>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Partnership</w:t>
            </w:r>
          </w:p>
        </w:tc>
        <w:tc>
          <w:tcPr>
            <w:tcW w:w="14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Partnership</w:t>
            </w:r>
          </w:p>
        </w:tc>
        <w:tc>
          <w:tcPr>
            <w:tcW w:w="2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Holdco</w:t>
            </w:r>
          </w:p>
        </w:tc>
        <w:tc>
          <w:tcPr>
            <w:tcW w:w="1120" w:type="dxa"/>
            <w:vAlign w:val="bottom"/>
            <w:gridSpan w:val="3"/>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Renewables, LLC</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Partnership LLC</w:t>
            </w: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9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161</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92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113"/>
              <w:spacing w:after="0"/>
              <w:rPr>
                <w:sz w:val="20"/>
                <w:szCs w:val="20"/>
                <w:color w:val="auto"/>
              </w:rPr>
            </w:pPr>
            <w:r>
              <w:rPr>
                <w:rFonts w:ascii="Arial" w:cs="Arial" w:eastAsia="Arial" w:hAnsi="Arial"/>
                <w:sz w:val="18"/>
                <w:szCs w:val="18"/>
                <w:color w:val="auto"/>
                <w:w w:val="89"/>
              </w:rPr>
              <w:t>21</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31F20"/>
        </w:rPr>
        <w:t>to the consolidated financial statements included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2018</w:t>
      </w:r>
      <w:r>
        <w:rPr>
          <w:rFonts w:ascii="Arial" w:cs="Arial" w:eastAsia="Arial" w:hAnsi="Arial"/>
          <w:sz w:val="17"/>
          <w:szCs w:val="17"/>
          <w:i w:val="1"/>
          <w:iCs w:val="1"/>
          <w:color w:val="auto"/>
        </w:rPr>
        <w:t xml:space="preserve"> </w:t>
      </w:r>
      <w:r>
        <w:rPr>
          <w:rFonts w:ascii="Arial" w:cs="Arial" w:eastAsia="Arial" w:hAnsi="Arial"/>
          <w:sz w:val="17"/>
          <w:szCs w:val="17"/>
          <w:color w:val="231F20"/>
        </w:rPr>
        <w:t>Form 10-K</w:t>
      </w:r>
      <w:r>
        <w:rPr>
          <w:rFonts w:ascii="Arial" w:cs="Arial" w:eastAsia="Arial" w:hAnsi="Arial"/>
          <w:sz w:val="17"/>
          <w:szCs w:val="17"/>
          <w:color w:val="auto"/>
        </w:rPr>
        <w: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June 30, 2019,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DGPV Holdco 3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2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$2 million of cash during the six months ended June 30, 2019 into DGPV Holdco 1 LLC.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owns approximately 52 MW of distributed solar capacity, based on cash to be distributed, with a weighted average remaining contract life of approximately 17 years as of June 30, 2019.</w:t>
      </w:r>
    </w:p>
    <w:p>
      <w:pPr>
        <w:spacing w:after="0" w:line="12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$8 million of cash during the six months ended June 30, 2019 into DGPV Holdco 3 LLC and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million due to CEG in accounts payable — affiliate as of June 30, 2019 to be funded in tranches as the project milestones are completed. The Company owns approximately 59 MW of distributed solar capacity, based on cash to be distributed, with a weighted average remaining contract life of approximately 21 years as of June 30,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As of June 30, 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2018</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 including current portion</w:t>
            </w:r>
          </w:p>
        </w:tc>
        <w:tc>
          <w:tcPr>
            <w:tcW w:w="44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257</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(a)</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6,139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5,779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1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2019 and December 31, 2018:</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As of June 30,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2018</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1,507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1,358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4,580</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June 30, 2019</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As of December 31, 2018</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1340" w:type="dxa"/>
            <w:vAlign w:val="bottom"/>
          </w:tcPr>
          <w:p>
            <w:pPr>
              <w:jc w:val="right"/>
              <w:ind w:right="49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220" w:type="dxa"/>
            <w:vAlign w:val="bottom"/>
            <w:gridSpan w:val="2"/>
          </w:tcPr>
          <w:p>
            <w:pPr>
              <w:jc w:val="center"/>
              <w:ind w:right="1920"/>
              <w:spacing w:after="0"/>
              <w:rPr>
                <w:sz w:val="20"/>
                <w:szCs w:val="20"/>
                <w:color w:val="auto"/>
              </w:rPr>
            </w:pPr>
            <w:r>
              <w:rPr>
                <w:rFonts w:ascii="Arial" w:cs="Arial" w:eastAsia="Arial" w:hAnsi="Arial"/>
                <w:sz w:val="18"/>
                <w:szCs w:val="18"/>
                <w:color w:val="auto"/>
                <w:w w:val="88"/>
              </w:rPr>
              <w:t>Interest rate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22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42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jc w:val="center"/>
              <w:ind w:right="1920"/>
              <w:spacing w:after="0"/>
              <w:rPr>
                <w:sz w:val="20"/>
                <w:szCs w:val="20"/>
                <w:color w:val="auto"/>
              </w:rPr>
            </w:pPr>
            <w:r>
              <w:rPr>
                <w:rFonts w:ascii="Arial" w:cs="Arial" w:eastAsia="Arial" w:hAnsi="Arial"/>
                <w:sz w:val="18"/>
                <w:szCs w:val="18"/>
                <w:color w:val="auto"/>
                <w:w w:val="91"/>
              </w:rPr>
              <w:t>Commodity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220" w:type="dxa"/>
            <w:vAlign w:val="bottom"/>
            <w:gridSpan w:val="2"/>
          </w:tcPr>
          <w:p>
            <w:pPr>
              <w:jc w:val="center"/>
              <w:ind w:right="1920"/>
              <w:spacing w:after="0"/>
              <w:rPr>
                <w:sz w:val="20"/>
                <w:szCs w:val="20"/>
                <w:color w:val="auto"/>
              </w:rPr>
            </w:pPr>
            <w:r>
              <w:rPr>
                <w:rFonts w:ascii="Arial" w:cs="Arial" w:eastAsia="Arial" w:hAnsi="Arial"/>
                <w:sz w:val="18"/>
                <w:szCs w:val="18"/>
                <w:color w:val="auto"/>
                <w:w w:val="88"/>
              </w:rPr>
              <w:t>Interest rate contracts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jc w:val="center"/>
              <w:ind w:right="1920"/>
              <w:spacing w:after="0"/>
              <w:rPr>
                <w:sz w:val="20"/>
                <w:szCs w:val="20"/>
                <w:color w:val="auto"/>
              </w:rPr>
            </w:pPr>
            <w:r>
              <w:rPr>
                <w:rFonts w:ascii="Arial" w:cs="Arial" w:eastAsia="Arial" w:hAnsi="Arial"/>
                <w:sz w:val="18"/>
                <w:szCs w:val="18"/>
                <w:b w:val="1"/>
                <w:bCs w:val="1"/>
                <w:color w:val="auto"/>
                <w:w w:val="91"/>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40" w:right="540" w:hanging="8"/>
        <w:spacing w:after="0" w:line="246" w:lineRule="auto"/>
        <w:tabs>
          <w:tab w:leader="none" w:pos="50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There were no derivative assets or liabilities classified as Level 1 as of June 30, 2019, and no derivative assets or liabilities classified as Level 1 or Level 3 as of December 31, 2018.</w:t>
      </w:r>
    </w:p>
    <w:p>
      <w:pPr>
        <w:spacing w:after="0" w:line="21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tbl>
      <w:tblPr>
        <w:tblLayout w:type="fixed"/>
        <w:tblInd w:w="26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Three months ended June 30,</w:t>
            </w:r>
          </w:p>
        </w:tc>
        <w:tc>
          <w:tcPr>
            <w:tcW w:w="260" w:type="dxa"/>
            <w:vAlign w:val="bottom"/>
          </w:tcPr>
          <w:p>
            <w:pPr>
              <w:spacing w:after="0"/>
              <w:rPr>
                <w:sz w:val="20"/>
                <w:szCs w:val="20"/>
                <w:color w:val="auto"/>
              </w:rPr>
            </w:pPr>
          </w:p>
        </w:tc>
        <w:tc>
          <w:tcPr>
            <w:tcW w:w="37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7"/>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r>
      <w:tr>
        <w:trPr>
          <w:trHeight w:val="27"/>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18"/>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Fair Value Measurement Using Significant</w:t>
            </w:r>
          </w:p>
        </w:tc>
        <w:tc>
          <w:tcPr>
            <w:tcW w:w="260" w:type="dxa"/>
            <w:vAlign w:val="bottom"/>
          </w:tcPr>
          <w:p>
            <w:pPr>
              <w:spacing w:after="0"/>
              <w:rPr>
                <w:sz w:val="18"/>
                <w:szCs w:val="18"/>
                <w:color w:val="auto"/>
              </w:rPr>
            </w:pPr>
          </w:p>
        </w:tc>
        <w:tc>
          <w:tcPr>
            <w:tcW w:w="37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Fair Value Measurement Using Significant</w:t>
            </w:r>
          </w:p>
        </w:tc>
      </w:tr>
      <w:tr>
        <w:trPr>
          <w:trHeight w:val="255"/>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1"/>
              </w:rPr>
              <w:t>Unobservable Inputs (Level 3)</w:t>
            </w:r>
          </w:p>
        </w:tc>
        <w:tc>
          <w:tcPr>
            <w:tcW w:w="2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1"/>
              </w:rPr>
              <w:t>Unobservable Inputs (Level 3)</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57"/>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right="240" w:firstLine="405"/>
        <w:spacing w:after="0" w:line="277" w:lineRule="auto"/>
        <w:rPr>
          <w:sz w:val="20"/>
          <w:szCs w:val="20"/>
          <w:color w:val="auto"/>
        </w:rPr>
      </w:pPr>
      <w:r>
        <w:rPr>
          <w:rFonts w:ascii="Arial" w:cs="Arial" w:eastAsia="Arial" w:hAnsi="Arial"/>
          <w:sz w:val="18"/>
          <w:szCs w:val="18"/>
          <w:color w:val="auto"/>
        </w:rPr>
        <w:t>There were no gains or losses for the period included in earnings attributable to the change in unrealized gains or losses relating to assets or liabilities still held as of June 30,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June 30, 2019, contracts valued with prices provided by models and other valuation techniques make up 10% of derivative liabilities.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quantify the significant unobservable inputs used in developing the fair value of the Company's Level 3 positions as of June 30, 2019:</w:t>
      </w:r>
    </w:p>
    <w:p>
      <w:pPr>
        <w:spacing w:after="0" w:line="190"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34290</wp:posOffset>
            </wp:positionV>
            <wp:extent cx="6003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5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Input/Range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b w:val="1"/>
                <w:bCs w:val="1"/>
                <w:color w:val="auto"/>
                <w:w w:val="91"/>
              </w:rPr>
              <w:t>Significant</w:t>
            </w: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61"/>
        </w:trPr>
        <w:tc>
          <w:tcPr>
            <w:tcW w:w="1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Liabilities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Input</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13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4"/>
              </w:rPr>
              <w:t>High</w:t>
            </w:r>
          </w:p>
        </w:tc>
        <w:tc>
          <w:tcPr>
            <w:tcW w:w="1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7"/>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Power Contracts   </w:t>
            </w: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Discounted Cash</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w:t>
            </w: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gridSpan w:val="2"/>
            <w:vMerge w:val="continue"/>
            <w:shd w:val="clear" w:color="auto" w:fill="CCEEFF"/>
          </w:tcPr>
          <w:p>
            <w:pPr>
              <w:spacing w:after="0"/>
              <w:rPr>
                <w:sz w:val="20"/>
                <w:szCs w:val="20"/>
                <w:color w:val="auto"/>
              </w:rPr>
            </w:pP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Price (per MWh)</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provides sensitivity of fair value measurements to increases/(decreases) in significant unobservable inputs as of June 30, 2019:</w:t>
      </w:r>
    </w:p>
    <w:p>
      <w:pPr>
        <w:spacing w:after="0" w:line="3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Significant Observable Input</w:t>
            </w: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87"/>
              </w:rPr>
              <w:t>Position</w:t>
            </w:r>
          </w:p>
        </w:tc>
        <w:tc>
          <w:tcPr>
            <w:tcW w:w="2800" w:type="dxa"/>
            <w:vAlign w:val="bottom"/>
          </w:tcPr>
          <w:p>
            <w:pPr>
              <w:jc w:val="center"/>
              <w:ind w:left="630"/>
              <w:spacing w:after="0"/>
              <w:rPr>
                <w:sz w:val="20"/>
                <w:szCs w:val="20"/>
                <w:color w:val="auto"/>
              </w:rPr>
            </w:pPr>
            <w:r>
              <w:rPr>
                <w:rFonts w:ascii="Arial" w:cs="Arial" w:eastAsia="Arial" w:hAnsi="Arial"/>
                <w:sz w:val="18"/>
                <w:szCs w:val="18"/>
                <w:b w:val="1"/>
                <w:bCs w:val="1"/>
                <w:color w:val="auto"/>
                <w:w w:val="94"/>
              </w:rPr>
              <w:t>Change In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Measurement</w:t>
            </w:r>
          </w:p>
        </w:tc>
      </w:tr>
      <w:tr>
        <w:trPr>
          <w:trHeight w:val="27"/>
        </w:trPr>
        <w:tc>
          <w:tcPr>
            <w:tcW w:w="3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Forward Market Price Power</w:t>
            </w:r>
          </w:p>
        </w:tc>
        <w:tc>
          <w:tcPr>
            <w:tcW w:w="136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6"/>
              </w:rPr>
              <w:t>Buy</w:t>
            </w:r>
          </w:p>
        </w:tc>
        <w:tc>
          <w:tcPr>
            <w:tcW w:w="280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Increase/(Decrease)</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r>
      <w:tr>
        <w:trPr>
          <w:trHeight w:val="243"/>
        </w:trPr>
        <w:tc>
          <w:tcPr>
            <w:tcW w:w="3180" w:type="dxa"/>
            <w:vAlign w:val="bottom"/>
          </w:tcPr>
          <w:p>
            <w:pPr>
              <w:jc w:val="center"/>
              <w:ind w:right="110"/>
              <w:spacing w:after="0"/>
              <w:rPr>
                <w:sz w:val="20"/>
                <w:szCs w:val="20"/>
                <w:color w:val="auto"/>
              </w:rPr>
            </w:pPr>
            <w:r>
              <w:rPr>
                <w:rFonts w:ascii="Arial" w:cs="Arial" w:eastAsia="Arial" w:hAnsi="Arial"/>
                <w:sz w:val="18"/>
                <w:szCs w:val="18"/>
                <w:color w:val="auto"/>
                <w:w w:val="92"/>
              </w:rPr>
              <w:t>Forward Market Price Power</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93"/>
              </w:rPr>
              <w:t>Sell</w:t>
            </w:r>
          </w:p>
        </w:tc>
        <w:tc>
          <w:tcPr>
            <w:tcW w:w="2800" w:type="dxa"/>
            <w:vAlign w:val="bottom"/>
          </w:tcPr>
          <w:p>
            <w:pPr>
              <w:jc w:val="center"/>
              <w:ind w:left="610"/>
              <w:spacing w:after="0"/>
              <w:rPr>
                <w:sz w:val="20"/>
                <w:szCs w:val="20"/>
                <w:color w:val="auto"/>
              </w:rPr>
            </w:pPr>
            <w:r>
              <w:rPr>
                <w:rFonts w:ascii="Arial" w:cs="Arial" w:eastAsia="Arial" w:hAnsi="Arial"/>
                <w:sz w:val="18"/>
                <w:szCs w:val="18"/>
                <w:color w:val="auto"/>
                <w:w w:val="87"/>
              </w:rPr>
              <w:t>Increase/(Decrease)</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Lower/(Higher)</w:t>
            </w:r>
          </w:p>
        </w:tc>
      </w:tr>
      <w:tr>
        <w:trPr>
          <w:trHeight w:val="864"/>
        </w:trPr>
        <w:tc>
          <w:tcPr>
            <w:tcW w:w="3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tcPr>
          <w:p>
            <w:pPr>
              <w:jc w:val="right"/>
              <w:ind w:right="2370"/>
              <w:spacing w:after="0"/>
              <w:rPr>
                <w:sz w:val="20"/>
                <w:szCs w:val="20"/>
                <w:color w:val="auto"/>
              </w:rPr>
            </w:pPr>
            <w:r>
              <w:rPr>
                <w:rFonts w:ascii="Arial" w:cs="Arial" w:eastAsia="Arial" w:hAnsi="Arial"/>
                <w:sz w:val="18"/>
                <w:szCs w:val="18"/>
                <w:color w:val="auto"/>
              </w:rPr>
              <w:t>24</w:t>
            </w:r>
          </w:p>
        </w:tc>
        <w:tc>
          <w:tcPr>
            <w:tcW w:w="2260" w:type="dxa"/>
            <w:vAlign w:val="bottom"/>
          </w:tcPr>
          <w:p>
            <w:pPr>
              <w:spacing w:after="0"/>
              <w:rPr>
                <w:sz w:val="24"/>
                <w:szCs w:val="24"/>
                <w:color w:val="auto"/>
              </w:rPr>
            </w:pPr>
          </w:p>
        </w:tc>
      </w:tr>
    </w:tbl>
    <w:p>
      <w:pPr>
        <w:sectPr>
          <w:pgSz w:w="11900" w:h="16838" w:orient="portrait"/>
          <w:cols w:equalWidth="0" w:num="1">
            <w:col w:w="11420"/>
          </w:cols>
          <w:pgMar w:left="240" w:top="985" w:right="239" w:bottom="1440" w:gutter="0" w:footer="0" w:header="0"/>
        </w:sectPr>
      </w:pPr>
    </w:p>
    <w:bookmarkStart w:id="24" w:name="page25"/>
    <w:bookmarkEnd w:id="24"/>
    <w:p>
      <w:pPr>
        <w:jc w:val="both"/>
        <w:ind w:firstLine="405"/>
        <w:spacing w:after="0" w:line="291" w:lineRule="auto"/>
        <w:rPr>
          <w:sz w:val="20"/>
          <w:szCs w:val="20"/>
          <w:color w:val="auto"/>
        </w:rPr>
      </w:pPr>
      <w:r>
        <w:rPr>
          <w:rFonts w:ascii="Arial" w:cs="Arial" w:eastAsia="Arial" w:hAnsi="Arial"/>
          <w:sz w:val="16"/>
          <w:szCs w:val="16"/>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2019, the non-performance reserve was $7 million gain recorded primarily in interest expense in the consolidated statements of operations. It is possible that future market prices could vary from those used in recording assets and liabilities and such variations could be material.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w:t>
      </w:r>
      <w:r>
        <w:rPr>
          <w:rFonts w:ascii="Arial" w:cs="Arial" w:eastAsia="Arial" w:hAnsi="Arial"/>
          <w:sz w:val="16"/>
          <w:szCs w:val="16"/>
          <w:color w:val="231F20"/>
        </w:rPr>
        <w:t>included in the</w:t>
      </w:r>
      <w:r>
        <w:rPr>
          <w:rFonts w:ascii="Arial" w:cs="Arial" w:eastAsia="Arial" w:hAnsi="Arial"/>
          <w:sz w:val="16"/>
          <w:szCs w:val="16"/>
          <w:color w:val="auto"/>
        </w:rPr>
        <w:t xml:space="preserve"> </w:t>
      </w:r>
      <w:r>
        <w:rPr>
          <w:rFonts w:ascii="Arial" w:cs="Arial" w:eastAsia="Arial" w:hAnsi="Arial"/>
          <w:sz w:val="16"/>
          <w:szCs w:val="16"/>
          <w:color w:val="231F20"/>
        </w:rPr>
        <w:t xml:space="preserve">Company's </w:t>
      </w:r>
      <w:r>
        <w:rPr>
          <w:rFonts w:ascii="Arial" w:cs="Arial" w:eastAsia="Arial" w:hAnsi="Arial"/>
          <w:sz w:val="16"/>
          <w:szCs w:val="16"/>
          <w:color w:val="000000"/>
        </w:rPr>
        <w:t>2018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2" w:lineRule="exact"/>
        <w:rPr>
          <w:sz w:val="20"/>
          <w:szCs w:val="20"/>
          <w:color w:val="auto"/>
        </w:rPr>
      </w:pPr>
    </w:p>
    <w:p>
      <w:pPr>
        <w:jc w:val="both"/>
        <w:ind w:firstLine="8"/>
        <w:spacing w:after="0" w:line="255"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2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$22 million in accounts receivable due from PG&amp;E for its consolidated projects, of which $5 million was recorded to non-current assets as of June 30, 2019. As of August 5, 2019, the Company's contracts with PG&amp;E have operated in the normal course and the Company currently expects these contracts to continue as such. The Company has entered into forbearance agreements for certain project-level financing arrangements as of August 5, 2019, and continues seeking similar forbearance agreements with lenders for the remaining project-level financing arrangements affected by the PG&amp;E Bankruptcy. For further discussion see Note 7, </w:t>
      </w:r>
      <w:r>
        <w:rPr>
          <w:rFonts w:ascii="Arial" w:cs="Arial" w:eastAsia="Arial" w:hAnsi="Arial"/>
          <w:sz w:val="17"/>
          <w:szCs w:val="17"/>
          <w:i w:val="1"/>
          <w:iCs w:val="1"/>
          <w:color w:val="auto"/>
        </w:rPr>
        <w:t>Long-term Debt.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consolidated financial statements included in the Company's </w:t>
      </w:r>
      <w:r>
        <w:rPr>
          <w:rFonts w:ascii="Arial" w:cs="Arial" w:eastAsia="Arial" w:hAnsi="Arial"/>
          <w:sz w:val="18"/>
          <w:szCs w:val="18"/>
          <w:color w:val="000000"/>
        </w:rPr>
        <w:t>2018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2019,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2019, the Company had energy-related derivative instruments extending through 2029. At June 30, 2019,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374"/>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2018</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8"/>
                <w:szCs w:val="18"/>
                <w:color w:val="auto"/>
              </w:rPr>
            </w:pPr>
          </w:p>
        </w:tc>
        <w:tc>
          <w:tcPr>
            <w:tcW w:w="3440" w:type="dxa"/>
            <w:vAlign w:val="bottom"/>
            <w:gridSpan w:val="3"/>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MWh</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gridSpan w:val="2"/>
          </w:tcPr>
          <w:p>
            <w:pPr>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1"/>
                <w:szCs w:val="21"/>
                <w:color w:val="auto"/>
              </w:rPr>
            </w:pPr>
          </w:p>
        </w:tc>
        <w:tc>
          <w:tcPr>
            <w:tcW w:w="1560" w:type="dxa"/>
            <w:vAlign w:val="bottom"/>
          </w:tcPr>
          <w:p>
            <w:pPr>
              <w:jc w:val="right"/>
              <w:ind w:right="79"/>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1,773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3220" w:type="dxa"/>
            <w:vAlign w:val="bottom"/>
            <w:tcBorders>
              <w:bottom w:val="single" w:sz="8" w:color="auto"/>
            </w:tcBorders>
            <w:gridSpan w:val="5"/>
          </w:tcPr>
          <w:p>
            <w:pPr>
              <w:jc w:val="right"/>
              <w:ind w:right="914"/>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4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2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hanging="252"/>
        <w:spacing w:after="0" w:line="273" w:lineRule="auto"/>
        <w:tabs>
          <w:tab w:leader="none" w:pos="161"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June 30, 2019 and December 31,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jc w:val="both"/>
        <w:ind w:right="20"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June 30, 2019 and December 31, 2018, there was no outstanding collateral paid or received. The following tables summarize the offsetting of derivatives by the counterparty master agreement level as of June 30, 2019 and December 31,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June 30, 2019</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746" w:right="239" w:bottom="1440" w:gutter="0" w:footer="0" w:header="0"/>
        </w:sect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interest rate contracts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derivative instruments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-1534160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-1183005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000" w:space="720"/>
            <w:col w:w="570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LLC</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837"/>
        </w:trPr>
        <w:tc>
          <w:tcPr>
            <w:tcW w:w="6060" w:type="dxa"/>
            <w:vAlign w:val="bottom"/>
          </w:tcPr>
          <w:p>
            <w:pPr>
              <w:ind w:left="562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56"/>
        </w:trPr>
        <w:tc>
          <w:tcPr>
            <w:tcW w:w="48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Rate Contracts (Interest Expense)</w:t>
            </w:r>
          </w:p>
        </w:tc>
        <w:tc>
          <w:tcPr>
            <w:tcW w:w="960" w:type="dxa"/>
            <w:vAlign w:val="bottom"/>
          </w:tcPr>
          <w:p>
            <w:pPr>
              <w:jc w:val="right"/>
              <w:ind w:right="76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31</w:t>
            </w:r>
          </w:p>
        </w:tc>
      </w:tr>
    </w:tbl>
    <w:p>
      <w:pPr>
        <w:spacing w:after="0" w:line="3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six months ended June 30, 2019, Elbow Creek entered into a new long-term power hedge, and the impact to the consolidated statements of operations was a $7 million loss for the period recorded in total operating revenues in the Company's consolidated statements of operations.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2018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19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June 30, 2019, interest rate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 June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9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0" w:type="dxa"/>
            <w:vAlign w:val="bottom"/>
            <w:gridSpan w:val="2"/>
          </w:tcPr>
          <w:p>
            <w:pPr>
              <w:jc w:val="right"/>
              <w:ind w:right="695"/>
              <w:spacing w:after="0"/>
              <w:rPr>
                <w:sz w:val="20"/>
                <w:szCs w:val="20"/>
                <w:color w:val="auto"/>
              </w:rPr>
            </w:pPr>
            <w:r>
              <w:rPr>
                <w:rFonts w:ascii="Arial" w:cs="Arial" w:eastAsia="Arial" w:hAnsi="Arial"/>
                <w:sz w:val="14"/>
                <w:szCs w:val="14"/>
                <w:b w:val="1"/>
                <w:bCs w:val="1"/>
                <w:color w:val="auto"/>
              </w:rPr>
              <w:t>(In millions, except rates)</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44</w:t>
            </w:r>
          </w:p>
        </w:tc>
        <w:tc>
          <w:tcPr>
            <w:tcW w:w="1980" w:type="dxa"/>
            <w:vAlign w:val="bottom"/>
          </w:tcPr>
          <w:p>
            <w:pPr>
              <w:jc w:val="right"/>
              <w:spacing w:after="0"/>
              <w:rPr>
                <w:sz w:val="20"/>
                <w:szCs w:val="20"/>
                <w:color w:val="auto"/>
              </w:rPr>
            </w:pPr>
            <w:r>
              <w:rPr>
                <w:rFonts w:ascii="Arial" w:cs="Arial" w:eastAsia="Arial" w:hAnsi="Arial"/>
                <w:sz w:val="17"/>
                <w:szCs w:val="17"/>
                <w:color w:val="auto"/>
              </w:rPr>
              <w:t>3.325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2025 Senior Notes</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600</w:t>
            </w:r>
          </w:p>
        </w:tc>
        <w:tc>
          <w:tcPr>
            <w:tcW w:w="1980" w:type="dxa"/>
            <w:vAlign w:val="bottom"/>
          </w:tcPr>
          <w:p>
            <w:pPr>
              <w:jc w:val="right"/>
              <w:spacing w:after="0"/>
              <w:rPr>
                <w:sz w:val="20"/>
                <w:szCs w:val="20"/>
                <w:color w:val="auto"/>
              </w:rPr>
            </w:pPr>
            <w:r>
              <w:rPr>
                <w:rFonts w:ascii="Arial" w:cs="Arial" w:eastAsia="Arial" w:hAnsi="Arial"/>
                <w:sz w:val="17"/>
                <w:szCs w:val="17"/>
                <w:color w:val="auto"/>
              </w:rPr>
              <w:t>5.750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2026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500" w:type="dxa"/>
            <w:vAlign w:val="bottom"/>
          </w:tcPr>
          <w:p>
            <w:pPr>
              <w:ind w:left="40"/>
              <w:spacing w:after="0"/>
              <w:rPr>
                <w:sz w:val="20"/>
                <w:szCs w:val="20"/>
                <w:color w:val="auto"/>
              </w:rPr>
            </w:pPr>
            <w:r>
              <w:rPr>
                <w:rFonts w:ascii="Arial" w:cs="Arial" w:eastAsia="Arial" w:hAnsi="Arial"/>
                <w:sz w:val="17"/>
                <w:szCs w:val="17"/>
                <w:color w:val="auto"/>
                <w:w w:val="94"/>
              </w:rPr>
              <w:t>Clearway Energy LLC and Clearway Energy Operating LLC Revolving Credit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line="247" w:lineRule="exact"/>
              <w:rPr>
                <w:sz w:val="20"/>
                <w:szCs w:val="20"/>
                <w:color w:val="auto"/>
              </w:rPr>
            </w:pPr>
            <w:r>
              <w:rPr>
                <w:rFonts w:ascii="Arial" w:cs="Arial" w:eastAsia="Arial" w:hAnsi="Arial"/>
                <w:sz w:val="17"/>
                <w:szCs w:val="17"/>
                <w:color w:val="auto"/>
              </w:rPr>
              <w:t xml:space="preserve">Facility, due 2023 </w:t>
            </w:r>
            <w:r>
              <w:rPr>
                <w:rFonts w:ascii="Arial" w:cs="Arial" w:eastAsia="Arial" w:hAnsi="Arial"/>
                <w:sz w:val="28"/>
                <w:szCs w:val="28"/>
                <w:color w:val="auto"/>
                <w:vertAlign w:val="superscript"/>
              </w:rPr>
              <w:t>(b)</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L+1.75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Agua Caliente Borrower 2, due 2038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39</w:t>
            </w:r>
          </w:p>
        </w:tc>
        <w:tc>
          <w:tcPr>
            <w:tcW w:w="1980" w:type="dxa"/>
            <w:vAlign w:val="bottom"/>
          </w:tcPr>
          <w:p>
            <w:pPr>
              <w:jc w:val="right"/>
              <w:spacing w:after="0"/>
              <w:rPr>
                <w:sz w:val="20"/>
                <w:szCs w:val="20"/>
                <w:color w:val="auto"/>
              </w:rPr>
            </w:pPr>
            <w:r>
              <w:rPr>
                <w:rFonts w:ascii="Arial" w:cs="Arial" w:eastAsia="Arial" w:hAnsi="Arial"/>
                <w:sz w:val="17"/>
                <w:szCs w:val="17"/>
                <w:color w:val="auto"/>
              </w:rPr>
              <w:t>5.430</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Alpine, due 2022 </w:t>
            </w:r>
            <w:r>
              <w:rPr>
                <w:rFonts w:ascii="Arial" w:cs="Arial" w:eastAsia="Arial" w:hAnsi="Arial"/>
                <w:sz w:val="28"/>
                <w:szCs w:val="28"/>
                <w:color w:val="auto"/>
                <w:vertAlign w:val="superscript"/>
              </w:rPr>
              <w:t>(c)</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L+1.750</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886</w:t>
            </w:r>
          </w:p>
        </w:tc>
        <w:tc>
          <w:tcPr>
            <w:tcW w:w="1980" w:type="dxa"/>
            <w:vAlign w:val="bottom"/>
          </w:tcPr>
          <w:p>
            <w:pPr>
              <w:jc w:val="right"/>
              <w:spacing w:after="0"/>
              <w:rPr>
                <w:sz w:val="20"/>
                <w:szCs w:val="20"/>
                <w:color w:val="auto"/>
              </w:rPr>
            </w:pPr>
            <w:r>
              <w:rPr>
                <w:rFonts w:ascii="Arial" w:cs="Arial" w:eastAsia="Arial" w:hAnsi="Arial"/>
                <w:sz w:val="17"/>
                <w:szCs w:val="17"/>
                <w:color w:val="auto"/>
              </w:rPr>
              <w:t>5.696 - 7.015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Buckthorn Solar, due 2025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L+1.750</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CVSR, due 2037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704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720</w:t>
            </w:r>
          </w:p>
        </w:tc>
        <w:tc>
          <w:tcPr>
            <w:tcW w:w="1980" w:type="dxa"/>
            <w:vAlign w:val="bottom"/>
          </w:tcPr>
          <w:p>
            <w:pPr>
              <w:jc w:val="right"/>
              <w:spacing w:after="0"/>
              <w:rPr>
                <w:sz w:val="20"/>
                <w:szCs w:val="20"/>
                <w:color w:val="auto"/>
              </w:rPr>
            </w:pPr>
            <w:r>
              <w:rPr>
                <w:rFonts w:ascii="Arial" w:cs="Arial" w:eastAsia="Arial" w:hAnsi="Arial"/>
                <w:sz w:val="17"/>
                <w:szCs w:val="17"/>
                <w:color w:val="auto"/>
              </w:rPr>
              <w:t>2.339 - 3.775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CVSR Holdco Notes, due 2037 </w:t>
            </w:r>
            <w:r>
              <w:rPr>
                <w:rFonts w:ascii="Arial" w:cs="Arial" w:eastAsia="Arial" w:hAnsi="Arial"/>
                <w:sz w:val="28"/>
                <w:szCs w:val="28"/>
                <w:color w:val="auto"/>
                <w:vertAlign w:val="superscript"/>
              </w:rPr>
              <w:t>(c)</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188</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Duquesne, due 2059</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4.620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L+1.75 - L+2.375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Series D, E, F, G, H Notes, due 2025-2037</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328</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Laredo Ridge, due 2028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89</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L+2.125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Kansas South, due 2030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26</w:t>
            </w:r>
          </w:p>
        </w:tc>
        <w:tc>
          <w:tcPr>
            <w:tcW w:w="1980" w:type="dxa"/>
            <w:vAlign w:val="bottom"/>
          </w:tcPr>
          <w:p>
            <w:pPr>
              <w:jc w:val="right"/>
              <w:spacing w:after="0"/>
              <w:rPr>
                <w:sz w:val="20"/>
                <w:szCs w:val="20"/>
                <w:color w:val="auto"/>
              </w:rPr>
            </w:pPr>
            <w:r>
              <w:rPr>
                <w:rFonts w:ascii="Arial" w:cs="Arial" w:eastAsia="Arial" w:hAnsi="Arial"/>
                <w:sz w:val="17"/>
                <w:szCs w:val="17"/>
                <w:color w:val="auto"/>
              </w:rPr>
              <w:t>L+2.00</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Kawailoa Solar Holdings LLC, due 2026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L+1.375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Marsh Landing, due 2023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263</w:t>
            </w:r>
          </w:p>
        </w:tc>
        <w:tc>
          <w:tcPr>
            <w:tcW w:w="1980" w:type="dxa"/>
            <w:vAlign w:val="bottom"/>
          </w:tcPr>
          <w:p>
            <w:pPr>
              <w:jc w:val="right"/>
              <w:spacing w:after="0"/>
              <w:rPr>
                <w:sz w:val="20"/>
                <w:szCs w:val="20"/>
                <w:color w:val="auto"/>
              </w:rPr>
            </w:pPr>
            <w:r>
              <w:rPr>
                <w:rFonts w:ascii="Arial" w:cs="Arial" w:eastAsia="Arial" w:hAnsi="Arial"/>
                <w:sz w:val="17"/>
                <w:szCs w:val="17"/>
                <w:color w:val="auto"/>
              </w:rPr>
              <w:t>L+2.125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Oahu Solar Holdings LLC, due 2026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L+1.375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Repowering Partnership Holdco LLC, due 2020</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L+.85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South Trent Wind, due 2028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L+1.350</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Tapestry, due 2031 </w:t>
            </w:r>
            <w:r>
              <w:rPr>
                <w:rFonts w:ascii="Arial" w:cs="Arial" w:eastAsia="Arial" w:hAnsi="Arial"/>
                <w:sz w:val="28"/>
                <w:szCs w:val="28"/>
                <w:color w:val="auto"/>
                <w:vertAlign w:val="superscript"/>
              </w:rPr>
              <w:t>(d)</w:t>
            </w:r>
          </w:p>
        </w:tc>
        <w:tc>
          <w:tcPr>
            <w:tcW w:w="1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151</w:t>
            </w:r>
          </w:p>
        </w:tc>
        <w:tc>
          <w:tcPr>
            <w:tcW w:w="1980" w:type="dxa"/>
            <w:vAlign w:val="bottom"/>
          </w:tcPr>
          <w:p>
            <w:pPr>
              <w:jc w:val="right"/>
              <w:spacing w:after="0"/>
              <w:rPr>
                <w:sz w:val="20"/>
                <w:szCs w:val="20"/>
                <w:color w:val="auto"/>
              </w:rPr>
            </w:pPr>
            <w:r>
              <w:rPr>
                <w:rFonts w:ascii="Arial" w:cs="Arial" w:eastAsia="Arial" w:hAnsi="Arial"/>
                <w:sz w:val="17"/>
                <w:szCs w:val="17"/>
                <w:color w:val="auto"/>
              </w:rPr>
              <w:t>L+1.375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L+2.625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Viento, due 2023</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146</w:t>
            </w:r>
          </w:p>
        </w:tc>
        <w:tc>
          <w:tcPr>
            <w:tcW w:w="1980" w:type="dxa"/>
            <w:vAlign w:val="bottom"/>
          </w:tcPr>
          <w:p>
            <w:pPr>
              <w:jc w:val="right"/>
              <w:spacing w:after="0"/>
              <w:rPr>
                <w:sz w:val="20"/>
                <w:szCs w:val="20"/>
                <w:color w:val="auto"/>
              </w:rPr>
            </w:pPr>
            <w:r>
              <w:rPr>
                <w:rFonts w:ascii="Arial" w:cs="Arial" w:eastAsia="Arial" w:hAnsi="Arial"/>
                <w:sz w:val="17"/>
                <w:szCs w:val="17"/>
                <w:color w:val="auto"/>
              </w:rPr>
              <w:t>L+2.00</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343</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Subtotal project-level debt: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4,329</w:t>
            </w:r>
          </w:p>
        </w:tc>
        <w:tc>
          <w:tcPr>
            <w:tcW w:w="1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280"/>
              <w:spacing w:after="0"/>
              <w:rPr>
                <w:sz w:val="20"/>
                <w:szCs w:val="20"/>
                <w:color w:val="auto"/>
              </w:rPr>
            </w:pPr>
            <w:r>
              <w:rPr>
                <w:rFonts w:ascii="Arial" w:cs="Arial" w:eastAsia="Arial" w:hAnsi="Arial"/>
                <w:sz w:val="17"/>
                <w:szCs w:val="17"/>
                <w:color w:val="auto"/>
              </w:rPr>
              <w:t>Total debt</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6,183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6,038</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Arial" w:cs="Arial" w:eastAsia="Arial" w:hAnsi="Arial"/>
                <w:sz w:val="17"/>
                <w:szCs w:val="17"/>
                <w:color w:val="auto"/>
              </w:rPr>
              <w:t>Less net debt issuance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w:t>
            </w:r>
          </w:p>
        </w:tc>
        <w:tc>
          <w:tcPr>
            <w:tcW w:w="1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5,448</w:t>
            </w:r>
          </w:p>
        </w:tc>
        <w:tc>
          <w:tcPr>
            <w:tcW w:w="1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hanging="72"/>
        <w:spacing w:after="0" w:line="282" w:lineRule="auto"/>
        <w:tabs>
          <w:tab w:leader="none" w:pos="146"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As of June 30, 2019, L+ equals 3 month LIBOR plus x%, except for Viento, due 2023 and Kansas South, due 2030 where L+ equals 6 month LIBOR plus 2.00% and Utah Solar Portfolio,Kawailoa Solar Holdings LLC. Oahu Solar Holdings LLC, Repowering Partnership Holdco LLC where L+ equals 1 month LIBOR plus 2.625%.</w:t>
      </w:r>
    </w:p>
    <w:p>
      <w:pPr>
        <w:ind w:left="160" w:hanging="152"/>
        <w:spacing w:after="0" w:line="229" w:lineRule="auto"/>
        <w:tabs>
          <w:tab w:leader="none" w:pos="160" w:val="left"/>
        </w:tabs>
        <w:numPr>
          <w:ilvl w:val="0"/>
          <w:numId w:val="13"/>
        </w:numPr>
        <w:rPr>
          <w:rFonts w:ascii="Arial" w:cs="Arial" w:eastAsia="Arial" w:hAnsi="Arial"/>
          <w:sz w:val="11"/>
          <w:szCs w:val="11"/>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07" w:lineRule="auto"/>
        <w:tabs>
          <w:tab w:leader="none" w:pos="16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Entities affected by PG&amp;E bankruptcy, see further discussion below.</w:t>
      </w:r>
    </w:p>
    <w:p>
      <w:pPr>
        <w:ind w:left="160" w:hanging="152"/>
        <w:spacing w:after="0" w:line="223"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Letters of credit outstanding as of June 30, 2019, include $6 million of letters of credit pending cancellation due to the recent Tapestry refinancing.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29" w:name="page30"/>
    <w:bookmarkEnd w:id="29"/>
    <w:p>
      <w:pPr>
        <w:jc w:val="both"/>
        <w:ind w:firstLine="405"/>
        <w:spacing w:after="0" w:line="264"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June 30, 2019, the Company was in compliance with all of the required covenants, other than any covenants impacted by the PG&amp;E Bankruptcy, as discussed below.</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2019.</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there were no outstanding borrowings under the revolving credit facility and the Company had $45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Open Market Repurchases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2019, Clearway Energy, Inc. repurchased a combined aggregate principal amount of $50 million of the 2019 Convertible Notes in open market transactions. The 2019 Convertible Notes matured on February 1, 2019 and the Company paid off the remaining balance of an aggregate principal amount of $170 million. The repurchases and payoff of the remaining balance were funded through the repayment of the Long - Term Debt — Affiliate Note due 2019 between Clearway Energy Operating LLC and Clearway Energy, Inc. and a $13 million distribution from the Company to Clearway Energy, Inc.</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As discussed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on January 29, 2019, PG&amp;E filed for reorganization under Chapter 11 of the U.S. Bankruptcy Code in the U.S. Bankruptcy Court for the Northern District of California. Certain subsidiaries of the Company listed in the table above are parties to financing agreements consisting of non-recourse project-level debt and, in certain cases, non-recourse holding company debt. The PG&amp;E bankruptcy filing has triggered defaults under the PPAs with PG&amp;E and such related project level financing agreements. As a result the Company recorded approximately $1.3 billion of principal, net of the related unamortized debt issuance costs, with final maturity dates ranging from 2023 - 2038, as short-term debt as of June 30, 2019. In addition, distributions from these projects to Clearway Operating LLC are prohibited under the related debt agreements. As of August 5, 2019, the Company has entered into forbearance agreements for certain project-level financing arrangements, and continues to seek forbearance agreements for its other project-level financing arrangements affected by the PG&amp;E Bankruptcy.</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14, 2019, as part of the Repowering Partnership, Repowering Partnership Holdco LLC entered into a financing agreement for non-recourse debt of $219 million related to the construction for the repowering activities at Wildorado and Elbow Creek. The debt consists of a construction loan at an interest rate of LIBOR plus 0.85% that matures on March 31, 2020. The construction loan is expected be paid at final completion with proceeds from the tax equity investor. Interest on the construction loan is payable monthly in arrears. The proceeds of the debt were utilized to repay $109 million of the outstanding balance, including accrued interest, under the Viento financing agreement, to reimburse Clearway Renew LLC for previous contributions into the Repowering Partnership and pay construction invoices.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Duquesne University</w:t>
      </w:r>
    </w:p>
    <w:p>
      <w:pPr>
        <w:spacing w:after="0" w:line="17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On May 1, 2019, as part of the Duquesne University district energy system acquisition, ECP Uptown Campus LLC issued non-recourse debt of $95 million, excluding financing fees. The debt consists of senior notes at an interest rate of 4.62% that mature on May 1, 2059. Interest on the notes are payable semi-annually in arrears. The proceeds of the debt, along with cash on hand, were utilized to fund the purchase price of the acquisition.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Oahu Solar Holdings LLC</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Due to the Company consolidating the Oahu Partnership, as further described in Note 4, </w:t>
      </w:r>
      <w:r>
        <w:rPr>
          <w:rFonts w:ascii="Arial" w:cs="Arial" w:eastAsia="Arial" w:hAnsi="Arial"/>
          <w:sz w:val="16"/>
          <w:szCs w:val="16"/>
          <w:i w:val="1"/>
          <w:iCs w:val="1"/>
          <w:color w:val="auto"/>
        </w:rPr>
        <w:t>Investments Accounted for by the Equity Method and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the Company assumed non-recourse debt of $143 million related to Oahu Solar Holdings, LLC. The debt consists of a construction loan and</w:t>
      </w:r>
      <w:r>
        <w:rPr>
          <w:rFonts w:ascii="Arial" w:cs="Arial" w:eastAsia="Arial" w:hAnsi="Arial"/>
          <w:sz w:val="16"/>
          <w:szCs w:val="16"/>
          <w:i w:val="1"/>
          <w:iCs w:val="1"/>
          <w:color w:val="auto"/>
        </w:rPr>
        <w:t xml:space="preserve"> </w:t>
      </w:r>
      <w:r>
        <w:rPr>
          <w:rFonts w:ascii="Arial" w:cs="Arial" w:eastAsia="Arial" w:hAnsi="Arial"/>
          <w:sz w:val="16"/>
          <w:szCs w:val="16"/>
          <w:color w:val="auto"/>
        </w:rPr>
        <w:t>an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Kawailoa Solar Holdings LLC</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Due to the Company consolidating the Kawailoa Partnership, as further described in Note 4,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the Company assumed non-recourse debt of $120 million related to Kawailoa Solar Holdings, LLC. The debt consists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loan and an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 Trent Refinancing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 As a result of this refinancing, the Company will achieve debt service savings for each year through the remaining life of the debt.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Tapestry Refinancing</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 As a result of this refinancing, the Company will achieve debt service savings for each year through the remaining life of the debt.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June 30,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Cost of operations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Impairment losses</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Acquisition-related transaction and integration costs</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Development costs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6,262</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8,667</w:t>
            </w:r>
          </w:p>
        </w:tc>
        <w:tc>
          <w:tcPr>
            <w:tcW w:w="0" w:type="dxa"/>
            <w:vAlign w:val="bottom"/>
          </w:tcPr>
          <w:p>
            <w:pPr>
              <w:spacing w:after="0"/>
              <w:rPr>
                <w:sz w:val="1"/>
                <w:szCs w:val="1"/>
                <w:color w:val="auto"/>
              </w:rPr>
            </w:pPr>
          </w:p>
        </w:tc>
      </w:tr>
      <w:tr>
        <w:trPr>
          <w:trHeight w:val="864"/>
        </w:trPr>
        <w:tc>
          <w:tcPr>
            <w:tcW w:w="4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June 30,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Cost of operations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Acquisition-related transaction and integration costs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4"/>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on August 31, 2018, NRG sold 100% of its interest in CEG to GIP, and as a result, CEG and its subsidiaries are considered related parties during the period ended June 30, 2019, and NRG and its subsidiaries were considered related parties during the period ended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 during the period ended June 30, 2019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 Agreements by and between the Company and Clearway Renewable Operation &amp; Maintenance LLC (formerly NRG Renew Operation &amp; Maintenance LLC) and other CEG subsidiaries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subsidiaries of the Company in the Renewables segment are party to services agreements with Clearway Renewable Operation &amp; Maintenance LLC (formerly NRG Renew Operation &amp; Maintenance LLC), or RENOM, a wholly-owned subsidiary of CEG, as well as other CEG subsidiaries, which provides operation and maintenance, or O&amp;M, and administrative services to these subsidiaries. The Company incurred total expenses for these services of $9 million and $17 million for each of the three and six months ended June 30, 2019, respectively. The Company incurred total expenses for these services of $8 million and $17 million for each of the three and six months ended June 30, 2018, respectively. There was a balance of $6 million due to RENOM as of June 30, 2019 and December 31,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68" w:right="2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and corresponding right-of-use asset related to the leases of $18 million as of June 30, 2019.</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266"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7"/>
          <w:szCs w:val="17"/>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during the period ended June 30, 2018</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were parties to PPAs with NRG Power Marketing, a wholly-owned subsidiary of NRG, and generated revenue under the PPAs, which were recorded to operating revenue in the Company's consolidated statements of operations. For the three and six months ended June 30, 2018, Elbow Creek and Dover, collectively, generated revenue of $3 million and $6 million, respectively. Dover's PPA with NRG Power Marketing ended as of December 31, 2018.</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three and six months ended June 30, 2018, the Thermal entities purchased $2 million and $6 million, respectively, of natural gas from NRG Power Marketing.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Company's subsidiaries and NRG</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Certain of the Company's subsidiaries are party to O&amp;M Service Agreements with NRG, pursuant to which NRG subsidiaries provide necessary and appropriate services to operate and maintain the subsidiaries' plant operations. NRG was reimbursed for the provided services, as well as for all reasonable and related expenses and expenditures, and payments to third parties for services and materials rendered to or on behalf of the parties to the agreements. The fees incurred under these agreements were $10 million and $20 million and for the three and six months ended June 30, 2018,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For the three and six months ended June 30, 2018, the aggregate fees incurred under the agreements were $2 million and $3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Project Administrative Services Agreement by and between ESEC and NRG West Coast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$4 million for the three and six month ended June 30,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33" w:right="2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Marsh Landing is a party to an administrative services agreement with NRG West Coast LLC, a wholly owned subsidiary of NRG. The Company reimbursed costs under the agreement of $6 million and $9 million for the three and six months ended June 30, 2018, respectively.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three and six months ended June 30, 2018 were $3 million and $5 million, respectively.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20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June 30, 2019, Clearway Energy Operating LLC had outstanding $500 million of the 2024 Senior Notes, $600 million of the 2025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2018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June 30, 2019:</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ECP Uptown Campus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Center Caguas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6" w:name="page37"/>
    <w:bookmarkEnd w:id="36"/>
    <w:p>
      <w:pPr>
        <w:ind w:left="37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Clearway Energy</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Clearway Energy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5"/>
          </w:tcPr>
          <w:p>
            <w:pPr>
              <w:ind w:left="68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7"/>
                <w:szCs w:val="17"/>
                <w:color w:val="auto"/>
              </w:rPr>
              <w:t>Impairment losses</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8"/>
              </w:rPr>
              <w:t>Acquisition-related transaction and integration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 consolidated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9"/>
              </w:rPr>
              <w:t>Equity in earnings of unconsolidated affiliates</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Clearway</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 LLC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368935</wp:posOffset>
            </wp:positionV>
            <wp:extent cx="1380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20" w:hanging="169"/>
        <w:spacing w:after="0"/>
        <w:tabs>
          <w:tab w:leader="none" w:pos="42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rFonts w:ascii="Arial" w:cs="Arial" w:eastAsia="Arial" w:hAnsi="Arial"/>
          <w:sz w:val="19"/>
          <w:szCs w:val="19"/>
          <w:color w:val="auto"/>
          <w:vertAlign w:val="superscript"/>
        </w:rPr>
      </w:pPr>
    </w:p>
    <w:p>
      <w:pPr>
        <w:spacing w:after="0" w:line="358" w:lineRule="exact"/>
        <w:rPr>
          <w:rFonts w:ascii="Arial" w:cs="Arial" w:eastAsia="Arial" w:hAnsi="Arial"/>
          <w:sz w:val="19"/>
          <w:szCs w:val="19"/>
          <w:color w:val="auto"/>
          <w:vertAlign w:val="superscript"/>
        </w:rPr>
      </w:pPr>
    </w:p>
    <w:p>
      <w:pPr>
        <w:ind w:left="5620"/>
        <w:spacing w:after="0"/>
        <w:rPr>
          <w:rFonts w:ascii="Arial" w:cs="Arial" w:eastAsia="Arial" w:hAnsi="Arial"/>
          <w:sz w:val="19"/>
          <w:szCs w:val="19"/>
          <w:color w:val="auto"/>
          <w:vertAlign w:val="superscript"/>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7" w:name="page38"/>
    <w:bookmarkEnd w:id="37"/>
    <w:p>
      <w:pPr>
        <w:ind w:left="3712"/>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972"/>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4152"/>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112"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7"/>
                <w:szCs w:val="17"/>
                <w:color w:val="auto"/>
              </w:rPr>
              <w:t>Impairment losses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260" w:type="dxa"/>
            <w:vAlign w:val="bottom"/>
          </w:tcPr>
          <w:p>
            <w:pPr>
              <w:ind w:left="160"/>
              <w:spacing w:after="0"/>
              <w:rPr>
                <w:sz w:val="20"/>
                <w:szCs w:val="20"/>
                <w:color w:val="auto"/>
              </w:rPr>
            </w:pPr>
            <w:r>
              <w:rPr>
                <w:rFonts w:ascii="Arial" w:cs="Arial" w:eastAsia="Arial" w:hAnsi="Arial"/>
                <w:sz w:val="18"/>
                <w:szCs w:val="18"/>
                <w:color w:val="auto"/>
              </w:rPr>
              <w:t>Acquisition-related transaction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20"/>
              <w:spacing w:after="0"/>
              <w:rPr>
                <w:sz w:val="20"/>
                <w:szCs w:val="20"/>
                <w:color w:val="auto"/>
              </w:rPr>
            </w:pPr>
            <w:r>
              <w:rPr>
                <w:rFonts w:ascii="Arial" w:cs="Arial" w:eastAsia="Arial" w:hAnsi="Arial"/>
                <w:sz w:val="18"/>
                <w:szCs w:val="18"/>
                <w:color w:val="auto"/>
              </w:rPr>
              <w:t>integration costs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Equity in losses of 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60"/>
              <w:spacing w:after="0"/>
              <w:rPr>
                <w:sz w:val="20"/>
                <w:szCs w:val="20"/>
                <w:color w:val="auto"/>
              </w:rPr>
            </w:pPr>
            <w:r>
              <w:rPr>
                <w:rFonts w:ascii="Arial" w:cs="Arial" w:eastAsia="Arial" w:hAnsi="Arial"/>
                <w:sz w:val="18"/>
                <w:szCs w:val="18"/>
                <w:color w:val="auto"/>
              </w:rPr>
              <w:t>Equity in earnings (losses)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20"/>
              <w:spacing w:after="0"/>
              <w:rPr>
                <w:sz w:val="20"/>
                <w:szCs w:val="20"/>
                <w:color w:val="auto"/>
              </w:rPr>
            </w:pPr>
            <w:r>
              <w:rPr>
                <w:rFonts w:ascii="Arial" w:cs="Arial" w:eastAsia="Arial" w:hAnsi="Arial"/>
                <w:sz w:val="18"/>
                <w:szCs w:val="18"/>
                <w:color w:val="auto"/>
              </w:rPr>
              <w:t>unconsolidated affiliates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60" w:type="dxa"/>
            <w:vAlign w:val="bottom"/>
          </w:tcPr>
          <w:p>
            <w:pPr>
              <w:ind w:left="16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Less: Net income (loss) attributable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(Loss) Income Attributable to</w:t>
            </w: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Clearway Energy LLC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3" w:lineRule="exact"/>
        <w:rPr>
          <w:sz w:val="20"/>
          <w:szCs w:val="20"/>
          <w:color w:val="auto"/>
        </w:rPr>
      </w:pPr>
    </w:p>
    <w:p>
      <w:pPr>
        <w:ind w:left="152" w:hanging="152"/>
        <w:spacing w:after="0"/>
        <w:tabs>
          <w:tab w:leader="none" w:pos="152"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12"/>
          </w:cols>
          <w:pgMar w:left="248" w:top="74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Clearway Energy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780"/>
              <w:spacing w:after="0"/>
              <w:rPr>
                <w:sz w:val="20"/>
                <w:szCs w:val="20"/>
                <w:color w:val="auto"/>
              </w:rPr>
            </w:pPr>
            <w:r>
              <w:rPr>
                <w:rFonts w:ascii="Arial" w:cs="Arial" w:eastAsia="Arial" w:hAnsi="Arial"/>
                <w:sz w:val="14"/>
                <w:szCs w:val="14"/>
                <w:b w:val="1"/>
                <w:bCs w:val="1"/>
                <w:color w:val="FFFFFF"/>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Comprehensive (Loss) Income Attributable to</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3"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Clearway Energy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w w:val="91"/>
              </w:rPr>
              <w:t>Less: Comprehensive income (loss) attributable to</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Comprehensive (Loss) Income Attributable to</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39" w:name="page40"/>
    <w:bookmarkEnd w:id="39"/>
    <w:p>
      <w:pPr>
        <w:jc w:val="center"/>
        <w:ind w:right="-11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2019</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Energy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7,915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742"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Contributed capital</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300" w:top="959" w:right="29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7"/>
              </w:rPr>
              <w:t>Clearway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2"/>
              </w:rPr>
              <w:t>Energy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Clearway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Clearway Energy LLC and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interests 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Buyout of Wind TE Holdco non-controlling interest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(distributions) contributions to/from noncontrolling interests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the revolving credit facility</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long-term debt — external</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 — affiliate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(Decrease) Increase in Cash, Cash Equivalents and Restricted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742"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 in earnings of 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2"/>
              </w:rPr>
              <w:t>Equity in earnings of unconsolidated affiliates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Less: Net loss attributable to noncontrolling</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Net Income (Loss) Attributable to Clearway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6"/>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Energy 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40" w:type="dxa"/>
            <w:vAlign w:val="bottom"/>
            <w:gridSpan w:val="2"/>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 income of 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80"/>
              <w:spacing w:after="0"/>
              <w:rPr>
                <w:sz w:val="20"/>
                <w:szCs w:val="20"/>
                <w:color w:val="auto"/>
              </w:rPr>
            </w:pPr>
            <w:r>
              <w:rPr>
                <w:rFonts w:ascii="Arial" w:cs="Arial" w:eastAsia="Arial" w:hAnsi="Arial"/>
                <w:sz w:val="18"/>
                <w:szCs w:val="18"/>
                <w:color w:val="auto"/>
              </w:rPr>
              <w:t>Equity in earnings of unconsolidated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affiliates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5"/>
        </w:trPr>
        <w:tc>
          <w:tcPr>
            <w:tcW w:w="35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w w:val="94"/>
              </w:rPr>
              <w:t>Net Income (Loss) Attributable to Clearway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6"/>
        </w:trPr>
        <w:tc>
          <w:tcPr>
            <w:tcW w:w="3540" w:type="dxa"/>
            <w:vAlign w:val="bottom"/>
            <w:gridSpan w:val="2"/>
          </w:tcPr>
          <w:p>
            <w:pPr>
              <w:ind w:left="200"/>
              <w:spacing w:after="0"/>
              <w:rPr>
                <w:sz w:val="20"/>
                <w:szCs w:val="20"/>
                <w:color w:val="auto"/>
              </w:rPr>
            </w:pPr>
            <w:r>
              <w:rPr>
                <w:rFonts w:ascii="Arial" w:cs="Arial" w:eastAsia="Arial" w:hAnsi="Arial"/>
                <w:sz w:val="18"/>
                <w:szCs w:val="18"/>
                <w:b w:val="1"/>
                <w:bCs w:val="1"/>
                <w:color w:val="auto"/>
              </w:rPr>
              <w:t>Energy 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24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1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Clearway Energy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Operating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Subsidiaries </w:t>
            </w:r>
            <w:r>
              <w:rPr>
                <w:rFonts w:ascii="Arial" w:cs="Arial" w:eastAsia="Arial" w:hAnsi="Arial"/>
                <w:sz w:val="8"/>
                <w:szCs w:val="8"/>
                <w:b w:val="1"/>
                <w:bCs w:val="1"/>
                <w:color w:val="auto"/>
              </w:rPr>
              <w:t>(a)</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xml:space="preserve">(Note Issuer) </w:t>
            </w:r>
            <w:r>
              <w:rPr>
                <w:rFonts w:ascii="Arial" w:cs="Arial" w:eastAsia="Arial" w:hAnsi="Arial"/>
                <w:sz w:val="8"/>
                <w:szCs w:val="8"/>
                <w:b w:val="1"/>
                <w:bCs w:val="1"/>
                <w:color w:val="auto"/>
              </w:rPr>
              <w:t>(a)</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ind w:left="380"/>
              <w:spacing w:after="0"/>
              <w:rPr>
                <w:sz w:val="20"/>
                <w:szCs w:val="20"/>
                <w:color w:val="auto"/>
              </w:rPr>
            </w:pPr>
            <w:r>
              <w:rPr>
                <w:rFonts w:ascii="Arial" w:cs="Arial" w:eastAsia="Arial" w:hAnsi="Arial"/>
                <w:sz w:val="18"/>
                <w:szCs w:val="18"/>
                <w:color w:val="auto"/>
              </w:rPr>
              <w:t>Unrealized gain on derivatives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Less: Comprehensive loss attributable to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auto"/>
            </w:tcBorders>
          </w:tcPr>
          <w:p>
            <w:pPr>
              <w:spacing w:after="0"/>
              <w:rPr>
                <w:sz w:val="17"/>
                <w:szCs w:val="17"/>
                <w:color w:val="auto"/>
              </w:rPr>
            </w:pPr>
          </w:p>
        </w:tc>
        <w:tc>
          <w:tcPr>
            <w:tcW w:w="120" w:type="dxa"/>
            <w:vAlign w:val="bottom"/>
            <w:gridSpan w:val="2"/>
            <w:vMerge w:val="restart"/>
          </w:tcPr>
          <w:p>
            <w:pPr>
              <w:spacing w:after="0"/>
              <w:rPr>
                <w:sz w:val="17"/>
                <w:szCs w:val="17"/>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auto"/>
            </w:tcBorders>
          </w:tcPr>
          <w:p>
            <w:pPr>
              <w:spacing w:after="0"/>
              <w:rPr>
                <w:sz w:val="17"/>
                <w:szCs w:val="17"/>
                <w:color w:val="auto"/>
              </w:rPr>
            </w:pPr>
          </w:p>
        </w:tc>
        <w:tc>
          <w:tcPr>
            <w:tcW w:w="100" w:type="dxa"/>
            <w:vAlign w:val="bottom"/>
            <w:gridSpan w:val="2"/>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7"/>
                <w:szCs w:val="17"/>
                <w:color w:val="auto"/>
              </w:rPr>
            </w:pPr>
          </w:p>
        </w:tc>
        <w:tc>
          <w:tcPr>
            <w:tcW w:w="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b w:val="1"/>
                <w:bCs w:val="1"/>
                <w:color w:val="auto"/>
                <w:w w:val="97"/>
              </w:rPr>
              <w:t>Attributable to Clearway Energy LLC</w:t>
            </w: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gridSpan w:val="2"/>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17"/>
          </w:tcPr>
          <w:p>
            <w:pPr>
              <w:jc w:val="right"/>
              <w:ind w:right="1100"/>
              <w:spacing w:after="0"/>
              <w:rPr>
                <w:sz w:val="20"/>
                <w:szCs w:val="20"/>
                <w:color w:val="auto"/>
              </w:rPr>
            </w:pPr>
            <w:r>
              <w:rPr>
                <w:rFonts w:ascii="Arial" w:cs="Arial" w:eastAsia="Arial" w:hAnsi="Arial"/>
                <w:sz w:val="18"/>
                <w:szCs w:val="18"/>
                <w:b w:val="1"/>
                <w:bCs w:val="1"/>
                <w:color w:val="auto"/>
              </w:rPr>
              <w:t>For the Six Months Ended June 30, 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Clearway Energy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(Note Issuer)</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gridSpan w:val="2"/>
          </w:tcPr>
          <w:p>
            <w:pPr>
              <w:jc w:val="right"/>
              <w:ind w:right="8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2"/>
                <w:szCs w:val="22"/>
                <w:color w:val="auto"/>
              </w:rPr>
            </w:pPr>
          </w:p>
        </w:tc>
        <w:tc>
          <w:tcPr>
            <w:tcW w:w="24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Unrealized gain on derivatives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Less: Comprehensive loss attributable to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tcBorders>
            <w:gridSpan w:val="2"/>
            <w:vMerge w:val="restart"/>
          </w:tcPr>
          <w:p>
            <w:pPr>
              <w:jc w:val="right"/>
              <w:ind w:right="8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c>
          <w:tcPr>
            <w:tcW w:w="14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20" w:type="dxa"/>
            <w:vAlign w:val="bottom"/>
            <w:tcBorders>
              <w:top w:val="single" w:sz="8" w:color="auto"/>
            </w:tcBorders>
            <w:gridSpan w:val="2"/>
            <w:vMerge w:val="restart"/>
          </w:tcPr>
          <w:p>
            <w:pPr>
              <w:jc w:val="right"/>
              <w:ind w:right="2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6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b w:val="1"/>
                <w:bCs w:val="1"/>
                <w:color w:val="auto"/>
                <w:w w:val="97"/>
              </w:rPr>
              <w:t>Attributable to Clearway Energy LLC</w:t>
            </w:r>
          </w:p>
        </w:tc>
        <w:tc>
          <w:tcPr>
            <w:tcW w:w="280" w:type="dxa"/>
            <w:vAlign w:val="bottom"/>
            <w:tcBorders>
              <w:bottom w:val="single" w:sz="8" w:color="auto"/>
            </w:tcBorders>
            <w:gridSpan w:val="2"/>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20" w:type="dxa"/>
            <w:vAlign w:val="bottom"/>
            <w:tcBorders>
              <w:bottom w:val="single" w:sz="8" w:color="auto"/>
            </w:tcBorders>
            <w:gridSpan w:val="2"/>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Borders>
              <w:bottom w:val="single" w:sz="8" w:color="auto"/>
            </w:tcBorders>
            <w:gridSpan w:val="2"/>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560" w:type="dxa"/>
            <w:vAlign w:val="bottom"/>
            <w:gridSpan w:val="2"/>
          </w:tcPr>
          <w:p>
            <w:pPr>
              <w:ind w:left="1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Accounts receivable — trade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24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5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Clearway Energy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6"/>
              </w:rPr>
              <w:t>Intercompany transactions from Clearway Energy LLC to</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 interests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 of the Drop Down Assets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6"/>
              </w:rPr>
              <w:t>Transfer of funds under intercompany cash management</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Proceeds from the issuance of Class C units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Payments for the revolving credit facility</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Proceeds from the issuance of long-term debt - external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Payments for long-term debt — external</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5"/>
        </w:trPr>
        <w:tc>
          <w:tcPr>
            <w:tcW w:w="4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Net Decrease in Cash, Cash Equivalents and Restricted</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5"/>
        </w:trPr>
        <w:tc>
          <w:tcPr>
            <w:tcW w:w="4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6"/>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2018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June 30,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7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and six months ended June 30, 2019 was comprised of the following:</w:t>
      </w:r>
    </w:p>
    <w:p>
      <w:pPr>
        <w:spacing w:after="0" w:line="32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(In millions)</w:t>
      </w:r>
    </w:p>
    <w:p>
      <w:pPr>
        <w:spacing w:after="0" w:line="39"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482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8"/>
              </w:rPr>
              <w:t>Three months ended June 2019</w:t>
            </w:r>
          </w:p>
        </w:tc>
        <w:tc>
          <w:tcPr>
            <w:tcW w:w="1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90"/>
              </w:rPr>
              <w:t>Six months ended June</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spacing w:after="0"/>
              <w:rPr>
                <w:sz w:val="16"/>
                <w:szCs w:val="16"/>
                <w:color w:val="auto"/>
              </w:rPr>
            </w:pPr>
          </w:p>
        </w:tc>
        <w:tc>
          <w:tcPr>
            <w:tcW w:w="21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820" w:type="dxa"/>
            <w:vAlign w:val="bottom"/>
          </w:tcPr>
          <w:p>
            <w:pPr>
              <w:ind w:left="920"/>
              <w:spacing w:after="0"/>
              <w:rPr>
                <w:sz w:val="20"/>
                <w:szCs w:val="20"/>
                <w:color w:val="auto"/>
              </w:rPr>
            </w:pPr>
            <w:r>
              <w:rPr>
                <w:rFonts w:ascii="Arial" w:cs="Arial" w:eastAsia="Arial" w:hAnsi="Arial"/>
                <w:sz w:val="18"/>
                <w:szCs w:val="18"/>
                <w:b w:val="1"/>
                <w:bCs w:val="1"/>
                <w:color w:val="auto"/>
              </w:rPr>
              <w:t>Total lease cost</w:t>
            </w: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information as of June 30,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186690</wp:posOffset>
            </wp:positionV>
            <wp:extent cx="70751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 millions, except term and rate)</w:t>
      </w:r>
    </w:p>
    <w:p>
      <w:pPr>
        <w:spacing w:after="0" w:line="7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920" w:type="dxa"/>
            <w:vAlign w:val="bottom"/>
          </w:tcPr>
          <w:p>
            <w:pPr>
              <w:ind w:left="280"/>
              <w:spacing w:after="0"/>
              <w:rPr>
                <w:sz w:val="20"/>
                <w:szCs w:val="20"/>
                <w:color w:val="auto"/>
              </w:rPr>
            </w:pPr>
            <w:r>
              <w:rPr>
                <w:rFonts w:ascii="Arial" w:cs="Arial" w:eastAsia="Arial" w:hAnsi="Arial"/>
                <w:sz w:val="18"/>
                <w:szCs w:val="18"/>
                <w:color w:val="auto"/>
              </w:rPr>
              <w:t>ROU Assets - operating leases, net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8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70"/>
        </w:trPr>
        <w:tc>
          <w:tcPr>
            <w:tcW w:w="8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5"/>
                <w:szCs w:val="25"/>
                <w:color w:val="auto"/>
                <w:vertAlign w:val="superscript"/>
              </w:rPr>
              <w:t>(a)</w:t>
            </w:r>
          </w:p>
        </w:tc>
        <w:tc>
          <w:tcPr>
            <w:tcW w:w="6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lease liability - operating leases</w:t>
            </w:r>
          </w:p>
        </w:tc>
        <w:tc>
          <w:tcPr>
            <w:tcW w:w="6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8920" w:type="dxa"/>
            <w:vAlign w:val="bottom"/>
          </w:tcPr>
          <w:p>
            <w:pPr>
              <w:ind w:left="920"/>
              <w:spacing w:after="0"/>
              <w:rPr>
                <w:sz w:val="20"/>
                <w:szCs w:val="20"/>
                <w:color w:val="auto"/>
              </w:rPr>
            </w:pPr>
            <w:r>
              <w:rPr>
                <w:rFonts w:ascii="Arial" w:cs="Arial" w:eastAsia="Arial" w:hAnsi="Arial"/>
                <w:sz w:val="18"/>
                <w:szCs w:val="18"/>
                <w:b w:val="1"/>
                <w:bCs w:val="1"/>
                <w:color w:val="auto"/>
              </w:rPr>
              <w:t>Total lease liability</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8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8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Cash paid for operating leases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remaining lease term</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Weighted average discount rate</w:t>
            </w:r>
          </w:p>
        </w:tc>
        <w:tc>
          <w:tcPr>
            <w:tcW w:w="680" w:type="dxa"/>
            <w:vAlign w:val="bottom"/>
          </w:tcPr>
          <w:p>
            <w:pPr>
              <w:spacing w:after="0"/>
              <w:rPr>
                <w:sz w:val="21"/>
                <w:szCs w:val="21"/>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4.3%</w:t>
            </w:r>
          </w:p>
        </w:tc>
      </w:tr>
    </w:tbl>
    <w:p>
      <w:pPr>
        <w:spacing w:after="0" w:line="278" w:lineRule="exact"/>
        <w:rPr>
          <w:sz w:val="20"/>
          <w:szCs w:val="20"/>
          <w:color w:val="auto"/>
        </w:rPr>
      </w:pPr>
    </w:p>
    <w:p>
      <w:pPr>
        <w:ind w:left="220" w:hanging="131"/>
        <w:spacing w:after="0"/>
        <w:tabs>
          <w:tab w:leader="none" w:pos="220" w:val="left"/>
        </w:tabs>
        <w:numPr>
          <w:ilvl w:val="0"/>
          <w:numId w:val="24"/>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Maturities of operating lease liabilities as of June 30,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203835</wp:posOffset>
            </wp:positionV>
            <wp:extent cx="707517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Arial" w:cs="Arial" w:eastAsia="Arial" w:hAnsi="Arial"/>
                <w:sz w:val="18"/>
                <w:szCs w:val="18"/>
                <w:color w:val="auto"/>
              </w:rPr>
              <w:t>Remainder of 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9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Total lease liability - operating leases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Future minimum lease commitments under operating leases as of December 31, 2018 are as follows:</w:t>
            </w: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0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2019</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Total lease payments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302"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37"/>
        </w:trPr>
        <w:tc>
          <w:tcPr>
            <w:tcW w:w="3200" w:type="dxa"/>
            <w:vAlign w:val="bottom"/>
          </w:tcPr>
          <w:p>
            <w:pPr>
              <w:ind w:left="26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revenue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501"/>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3200" w:type="dxa"/>
            <w:vAlign w:val="bottom"/>
          </w:tcPr>
          <w:p>
            <w:pPr>
              <w:ind w:left="26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3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revenue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256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33"/>
        </w:trPr>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Minimum future rent payments under the operating leases for the remaining periods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Remainder of 2019</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6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lease payments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1,404</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Property, plant and equipment, net related to the Company’s operating leases were as follows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189230</wp:posOffset>
            </wp:positionV>
            <wp:extent cx="529971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5"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6,064</w:t>
            </w:r>
          </w:p>
        </w:tc>
      </w:tr>
      <w:tr>
        <w:trPr>
          <w:trHeight w:val="27"/>
        </w:trPr>
        <w:tc>
          <w:tcPr>
            <w:tcW w:w="4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2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746"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13 — Asset Impairments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three and six months ended June 30, 2019, the Company recorded an impairment loss of $19 million related to a facility in the Thermal segment.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discussion analyzes the Company's historical financial condition and results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six months ended June 30, 2019 and 2018.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2018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Clearway Energy LLC (formerly NRG Yield LLC), together with its consolidated subsidiaries, or the Company, is an energy infrastructure investor in and owner of modern, sustainable and long-term contracted assets across North America. The Company is indirectly owned by Global Infrastructure Partners</w:t>
      </w:r>
    </w:p>
    <w:p>
      <w:pPr>
        <w:ind w:firstLine="8"/>
        <w:spacing w:after="0" w:line="290" w:lineRule="auto"/>
        <w:tabs>
          <w:tab w:leader="none" w:pos="2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0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 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w:t>
      </w:r>
      <w:r>
        <w:rPr>
          <w:rFonts w:ascii="Arial" w:cs="Arial" w:eastAsia="Arial" w:hAnsi="Arial"/>
          <w:sz w:val="18"/>
          <w:szCs w:val="18"/>
          <w:color w:val="231F20"/>
        </w:rPr>
        <w:t>14 years as of June 30, 2019</w:t>
      </w:r>
      <w:r>
        <w:rPr>
          <w:rFonts w:ascii="Arial" w:cs="Arial" w:eastAsia="Arial" w:hAnsi="Arial"/>
          <w:sz w:val="18"/>
          <w:szCs w:val="18"/>
          <w:color w:val="auto"/>
        </w:rPr>
        <w:t xml:space="preserve"> based on CAFD</w:t>
      </w:r>
      <w:r>
        <w:rPr>
          <w:rFonts w:ascii="Arial" w:cs="Arial" w:eastAsia="Arial" w:hAnsi="Arial"/>
          <w:sz w:val="18"/>
          <w:szCs w:val="18"/>
          <w:color w:val="231F20"/>
        </w:rPr>
        <w:t>.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1,459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City of Georgetown, TX</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2" w:right="239" w:bottom="977"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Crosswinds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(f) (g)</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Elkhorn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Forward</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Goat Wind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Hardin</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Lookout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San Juan Mesa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Sleeping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(f)</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Power sold into PJM markets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5,411</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2019.</w:t>
      </w:r>
    </w:p>
    <w:p>
      <w:pPr>
        <w:ind w:left="180" w:hanging="172"/>
        <w:spacing w:after="0" w:line="191"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5,417 MWs.</w:t>
      </w:r>
    </w:p>
    <w:p>
      <w:pPr>
        <w:ind w:firstLine="8"/>
        <w:spacing w:after="0" w:line="232" w:lineRule="auto"/>
        <w:tabs>
          <w:tab w:leader="none" w:pos="167"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112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19" w:lineRule="auto"/>
        <w:tabs>
          <w:tab w:leader="none" w:pos="140" w:val="left"/>
        </w:tabs>
        <w:numPr>
          <w:ilvl w:val="0"/>
          <w:numId w:val="27"/>
        </w:numPr>
        <w:rPr>
          <w:rFonts w:ascii="Arial" w:cs="Arial" w:eastAsia="Arial" w:hAnsi="Arial"/>
          <w:sz w:val="18"/>
          <w:szCs w:val="18"/>
          <w:color w:val="auto"/>
          <w:vertAlign w:val="superscript"/>
        </w:rPr>
      </w:pPr>
      <w:r>
        <w:rPr>
          <w:rFonts w:ascii="Arial" w:cs="Arial" w:eastAsia="Arial" w:hAnsi="Arial"/>
          <w:sz w:val="16"/>
          <w:szCs w:val="16"/>
          <w:color w:val="auto"/>
        </w:rPr>
        <w:t>Projects are part of Repowering Partnership.</w:t>
      </w:r>
    </w:p>
    <w:p>
      <w:pPr>
        <w:ind w:right="320" w:firstLine="8"/>
        <w:spacing w:after="0" w:line="234" w:lineRule="auto"/>
        <w:tabs>
          <w:tab w:leader="none" w:pos="167"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 addition, the Company will sell power under a market-based hedge contract provided by an investment grade bank counterparty, which is effective from November 1, 2022, through Oct 31, 2029.</w:t>
      </w:r>
    </w:p>
    <w:p>
      <w:pPr>
        <w:spacing w:after="0" w:line="14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addition to the facilities owned or leased in the table above,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June 30, 2019. For further discussions, see Item 15 — Note 4, </w:t>
      </w:r>
      <w:r>
        <w:rPr>
          <w:rFonts w:ascii="Arial" w:cs="Arial" w:eastAsia="Arial" w:hAnsi="Arial"/>
          <w:sz w:val="17"/>
          <w:szCs w:val="17"/>
          <w:i w:val="1"/>
          <w:iCs w:val="1"/>
          <w:color w:val="auto"/>
        </w:rPr>
        <w:t>Investments Accounted for by the 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Variable Interest Entities </w:t>
      </w:r>
      <w:r>
        <w:rPr>
          <w:rFonts w:ascii="Arial" w:cs="Arial" w:eastAsia="Arial" w:hAnsi="Arial"/>
          <w:sz w:val="17"/>
          <w:szCs w:val="17"/>
          <w:color w:val="auto"/>
        </w:rPr>
        <w:t>of this Form 10-Q and Item 1 — Note 5,</w:t>
      </w:r>
      <w:r>
        <w:rPr>
          <w:rFonts w:ascii="Arial" w:cs="Arial" w:eastAsia="Arial" w:hAnsi="Arial"/>
          <w:sz w:val="17"/>
          <w:szCs w:val="17"/>
          <w:i w:val="1"/>
          <w:iCs w:val="1"/>
          <w:color w:val="auto"/>
        </w:rPr>
        <w:t xml:space="preserve"> Investments Accounted for by the Equity Method and Variable Interest Entities </w:t>
      </w:r>
      <w:r>
        <w:rPr>
          <w:rFonts w:ascii="Arial" w:cs="Arial" w:eastAsia="Arial" w:hAnsi="Arial"/>
          <w:sz w:val="17"/>
          <w:szCs w:val="17"/>
          <w:color w:val="auto"/>
        </w:rPr>
        <w:t>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the Company's 2018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w:t>
      </w:r>
    </w:p>
    <w:p>
      <w:pPr>
        <w:spacing w:after="0" w:line="171" w:lineRule="exact"/>
        <w:rPr>
          <w:sz w:val="20"/>
          <w:szCs w:val="20"/>
          <w:color w:val="auto"/>
        </w:rPr>
      </w:pPr>
    </w:p>
    <w:p>
      <w:pPr>
        <w:jc w:val="both"/>
        <w:ind w:left="340" w:hanging="332"/>
        <w:spacing w:after="0" w:line="26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June 30, 2019, the Company had $1.4 billion of property, plant and equipment, net, $357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—Note 7, </w:t>
      </w:r>
      <w:r>
        <w:rPr>
          <w:rFonts w:ascii="Arial" w:cs="Arial" w:eastAsia="Arial" w:hAnsi="Arial"/>
          <w:sz w:val="17"/>
          <w:szCs w:val="17"/>
          <w:i w:val="1"/>
          <w:iCs w:val="1"/>
          <w:color w:val="auto"/>
        </w:rPr>
        <w:t>Long-term Debt</w:t>
      </w:r>
      <w:r>
        <w:rPr>
          <w:rFonts w:ascii="Arial" w:cs="Arial" w:eastAsia="Arial" w:hAnsi="Arial"/>
          <w:sz w:val="17"/>
          <w:szCs w:val="17"/>
          <w:color w:val="auto"/>
        </w:rPr>
        <w:t>. As a result, the Company recorded approximately $1.3 billion of principal, net of the related unamortized debt issuance costs, with final maturity dates ranging from 2023 - 2038, as short-term debt. As of August 5, 2019, the Company's contracts with PG&amp;E have operated in the normal course and the Company currently expects these contracts to continue as such. As of August 5,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filing as events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 Amendment</w:t>
      </w:r>
    </w:p>
    <w:p>
      <w:pPr>
        <w:spacing w:after="0" w:line="167" w:lineRule="exact"/>
        <w:rPr>
          <w:sz w:val="20"/>
          <w:szCs w:val="20"/>
          <w:color w:val="auto"/>
        </w:rPr>
      </w:pPr>
    </w:p>
    <w:p>
      <w:pPr>
        <w:jc w:val="both"/>
        <w:ind w:left="340" w:hanging="332"/>
        <w:spacing w:after="0" w:line="258"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 xml:space="preserve">On August 1, 2019, the CEG ROFO Agreement was amended to grant the Company a right of first offer for four additional projects </w:t>
      </w:r>
      <w:r>
        <w:rPr>
          <w:rFonts w:ascii="Arial" w:cs="Arial" w:eastAsia="Arial" w:hAnsi="Arial"/>
          <w:sz w:val="18"/>
          <w:szCs w:val="18"/>
          <w:b w:val="1"/>
          <w:bCs w:val="1"/>
          <w:color w:val="auto"/>
        </w:rPr>
        <w:t>—</w:t>
      </w:r>
      <w:r>
        <w:rPr>
          <w:rFonts w:ascii="Arial" w:cs="Arial" w:eastAsia="Arial" w:hAnsi="Arial"/>
          <w:sz w:val="18"/>
          <w:szCs w:val="18"/>
          <w:color w:val="auto"/>
        </w:rPr>
        <w:t xml:space="preserve"> Rattlesnake, a 144 MW utility scale wind facility located in Washington State with an expected COD in 2020; Black Rock, a 110 MW utility scale wind facility located in West Virginia with an expected COD in 2021; Repowering 2.0, which will consist of membership interests in one or more partnerships formed to repower Company wind assets using turbines provided by CEG; and Wildflower, a 100 MW utility scale solar facility located in Mississippi with an expected COD in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Offer</w:t>
      </w:r>
    </w:p>
    <w:p>
      <w:pPr>
        <w:spacing w:after="0" w:line="171" w:lineRule="exact"/>
        <w:rPr>
          <w:sz w:val="20"/>
          <w:szCs w:val="20"/>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June 18, 2019, CEG offered the Company the opportunity to purchase 100% of CEG's interests in Mesquite Star Pledgor LLC, which owns the Mesquite Star wind project, a 419 MW utility scale wind facility expected to reach COD in 2020. On August 1, 2019, CEG and the Company agreed to extend the negotiation period for the Mesquite Star project. The acquisition is subject to negotiation and approval by the Company's Independent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71" w:lineRule="exact"/>
        <w:rPr>
          <w:sz w:val="20"/>
          <w:szCs w:val="20"/>
          <w:color w:val="auto"/>
        </w:rPr>
      </w:pPr>
    </w:p>
    <w:p>
      <w:pPr>
        <w:ind w:left="340" w:right="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During the three and six months ended June 30, 2019, the Company recorded an impairment loss of $19 million related to a facility in the Thermal segment. The Company measured the impairment loss as the difference between the carrying amount and the fair value of the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Transaction</w:t>
      </w:r>
    </w:p>
    <w:p>
      <w:pPr>
        <w:spacing w:after="0" w:line="171" w:lineRule="exact"/>
        <w:rPr>
          <w:sz w:val="20"/>
          <w:szCs w:val="20"/>
          <w:color w:val="auto"/>
        </w:rPr>
      </w:pPr>
    </w:p>
    <w:p>
      <w:pPr>
        <w:jc w:val="both"/>
        <w:ind w:left="340" w:hanging="332"/>
        <w:spacing w:after="0" w:line="257" w:lineRule="auto"/>
        <w:tabs>
          <w:tab w:leader="none" w:pos="34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On June 14, 2019, the Company, through an indirect subsidiary, entered into binding equity commitment agreements in the previously announced partnership with CEG to enable the repowering of two of its existing wind assets, Wildorado and Elbow Creek, which total a combined 283 MW.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CVSR Outage</w:t>
      </w:r>
    </w:p>
    <w:p>
      <w:pPr>
        <w:spacing w:after="0" w:line="171" w:lineRule="exact"/>
        <w:rPr>
          <w:sz w:val="20"/>
          <w:szCs w:val="20"/>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On June 5, 2019, a fire occurred at the CVSR project, which affected approximately 1,200 acres of property. While the fire did not impact solar arrays, damage occurred to associated infrastructure including distribution poles and cabling. The facility was restored to full operations on July 1, 2019. The full year impact of the fire is approximately $9 million of lost revenue. The Company assumes it will receive insurance recovery for associated repair work by the end of the year.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Kawailoa Solar Partnership</w:t>
      </w:r>
    </w:p>
    <w:p>
      <w:pPr>
        <w:spacing w:after="0" w:line="171" w:lineRule="exact"/>
        <w:rPr>
          <w:sz w:val="20"/>
          <w:szCs w:val="20"/>
          <w:color w:val="auto"/>
        </w:rPr>
      </w:pPr>
    </w:p>
    <w:p>
      <w:pPr>
        <w:jc w:val="both"/>
        <w:ind w:left="340" w:hanging="332"/>
        <w:spacing w:after="0" w:line="27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On May 1, 2019, the Company entered into a partnership with Clearway Renew LLC, a subsidiary of CEG, to own, finance, operate, and maintain the Kawailoa Solar Partnership, which consists of the Kawailoa Solar Project, a 49 MW utility-scale solar generation project developed in Oahu, Hawaii. The Company made an original capital contribution in the amount of $2 million and recorded a $7 million payable due to Clearway Renew LLC in accounts payable - affiliate on the Company's consolidated balance sheets as of June 30, 2019. For further discussion, see Note 4, </w:t>
      </w:r>
      <w:r>
        <w:rPr>
          <w:rFonts w:ascii="Arial" w:cs="Arial" w:eastAsia="Arial" w:hAnsi="Arial"/>
          <w:sz w:val="17"/>
          <w:szCs w:val="17"/>
          <w:i w:val="1"/>
          <w:iCs w:val="1"/>
          <w:color w:val="auto"/>
        </w:rPr>
        <w:t>Investments Accounted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by the Equity Method and Variable Interest Entities. </w:t>
      </w:r>
      <w:r>
        <w:rPr>
          <w:rFonts w:ascii="Arial" w:cs="Arial" w:eastAsia="Arial" w:hAnsi="Arial"/>
          <w:sz w:val="17"/>
          <w:szCs w:val="17"/>
          <w:color w:val="auto"/>
        </w:rPr>
        <w:t>The project is expected to be completed in summer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Duquesne Thermal</w:t>
      </w:r>
    </w:p>
    <w:p>
      <w:pPr>
        <w:spacing w:after="0" w:line="171" w:lineRule="exact"/>
        <w:rPr>
          <w:sz w:val="20"/>
          <w:szCs w:val="20"/>
          <w:color w:val="auto"/>
        </w:rPr>
      </w:pPr>
    </w:p>
    <w:p>
      <w:pPr>
        <w:jc w:val="both"/>
        <w:ind w:left="340" w:hanging="332"/>
        <w:spacing w:after="0" w:line="255"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On May 1, 2019, the Company, through its indirect subsidiary ECP Uptown Campus LLC, acquired the Duquesne University district energy system, totaling 87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Note 7—Long-term Debt,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in the future.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2019, the EPA finalized the Affordable Clean Energy (ACE) rule which establishes emission guidelines for states to develop plans to address greenhouse gas emissions from existing power plants. The ACE rule also reinforces the state’s broad discretion in establishing and applying emissions standards to new emission sources. The ACE rule replaces the 2015 Clean Power Plan. The ACE rule is not expected to have a material impact on the Company’s conventional generation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2018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2018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tcPr>
          <w:p>
            <w:pPr>
              <w:jc w:val="right"/>
              <w:ind w:right="6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1"/>
          </w:tcPr>
          <w:p>
            <w:pPr>
              <w:jc w:val="right"/>
              <w:ind w:right="67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6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525</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7"/>
                <w:szCs w:val="17"/>
                <w:color w:val="auto"/>
              </w:rPr>
              <w:t>Transaction and integration costs</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Income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57"/>
        </w:trPr>
        <w:tc>
          <w:tcPr>
            <w:tcW w:w="49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2060" w:type="dxa"/>
            <w:vAlign w:val="bottom"/>
            <w:gridSpan w:val="9"/>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49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2019</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22"/>
                <w:szCs w:val="22"/>
                <w:color w:val="auto"/>
              </w:rPr>
            </w:pPr>
          </w:p>
        </w:tc>
      </w:tr>
      <w:tr>
        <w:trPr>
          <w:trHeight w:val="270"/>
        </w:trPr>
        <w:tc>
          <w:tcPr>
            <w:tcW w:w="49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111"/>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4"/>
              </w:rPr>
              <w:t>3,924</w:t>
            </w:r>
          </w:p>
        </w:tc>
        <w:tc>
          <w:tcPr>
            <w:tcW w:w="320" w:type="dxa"/>
            <w:vAlign w:val="bottom"/>
          </w:tcPr>
          <w:p>
            <w:pPr>
              <w:spacing w:after="0"/>
              <w:rPr>
                <w:sz w:val="23"/>
                <w:szCs w:val="23"/>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4"/>
          </w:tcPr>
          <w:p>
            <w:pPr>
              <w:jc w:val="right"/>
              <w:ind w:right="9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w w:val="84"/>
              </w:rPr>
              <w:t>1,079</w:t>
            </w: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49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3"/>
                <w:szCs w:val="23"/>
                <w:color w:val="auto"/>
              </w:rPr>
            </w:pPr>
          </w:p>
        </w:tc>
      </w:tr>
      <w:tr>
        <w:trPr>
          <w:trHeight w:val="270"/>
        </w:trPr>
        <w:tc>
          <w:tcPr>
            <w:tcW w:w="49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325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805</w:t>
            </w:r>
          </w:p>
        </w:tc>
        <w:tc>
          <w:tcPr>
            <w:tcW w:w="320" w:type="dxa"/>
            <w:vAlign w:val="bottom"/>
          </w:tcPr>
          <w:p>
            <w:pPr>
              <w:spacing w:after="0"/>
              <w:rPr>
                <w:sz w:val="23"/>
                <w:szCs w:val="23"/>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87.5%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right="20" w:firstLine="8"/>
        <w:spacing w:after="0" w:line="260" w:lineRule="auto"/>
        <w:tabs>
          <w:tab w:leader="none" w:pos="153" w:val="left"/>
        </w:tabs>
        <w:numPr>
          <w:ilvl w:val="0"/>
          <w:numId w:val="36"/>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19 MWh during the three months ended June 30, 2018 and 29 MWh during the six months ended June 30, 2018 generated by Dover, a subsidiary of the Company, under the PPA with NRG Power Marketing, as further described in Note 9,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June 30, 2019 and 2018</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June 30, 2019 and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Conventional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Generation</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Thermal</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Energy and capacity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fuels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Contract amortization</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Contract amortization</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Economic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Energy and capacity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Cost of fuels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6060" w:type="dxa"/>
            <w:vAlign w:val="bottom"/>
          </w:tcPr>
          <w:p>
            <w:pPr>
              <w:ind w:left="280"/>
              <w:spacing w:after="0"/>
              <w:rPr>
                <w:sz w:val="20"/>
                <w:szCs w:val="20"/>
                <w:color w:val="auto"/>
              </w:rPr>
            </w:pPr>
            <w:r>
              <w:rPr>
                <w:rFonts w:ascii="Arial" w:cs="Arial" w:eastAsia="Arial" w:hAnsi="Arial"/>
                <w:sz w:val="16"/>
                <w:szCs w:val="16"/>
                <w:b w:val="1"/>
                <w:bCs w:val="1"/>
                <w:color w:val="auto"/>
              </w:rPr>
              <w:t>Economic gross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decreased by $21 million during the three months ended June 30, 2019, compared to the same period in 2018,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36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w w:val="87"/>
              </w:rPr>
              <w:t>(Decrease)</w:t>
            </w:r>
          </w:p>
        </w:tc>
        <w:tc>
          <w:tcPr>
            <w:tcW w:w="36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Reason for Increase (Decrease)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 decrease of $20 million due to wind and solar resources across the portfolio, as well as $9 million decrease at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CVSR related to the June 2019 outage. This was partially offset by revenue generated at the Buckthorn Solar</w:t>
            </w:r>
          </w:p>
        </w:tc>
        <w:tc>
          <w:tcPr>
            <w:tcW w:w="0" w:type="dxa"/>
            <w:vAlign w:val="bottom"/>
          </w:tcPr>
          <w:p>
            <w:pPr>
              <w:spacing w:after="0"/>
              <w:rPr>
                <w:sz w:val="1"/>
                <w:szCs w:val="1"/>
                <w:color w:val="auto"/>
              </w:rPr>
            </w:pPr>
          </w:p>
        </w:tc>
      </w:tr>
      <w:tr>
        <w:trPr>
          <w:trHeight w:val="230"/>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 which went COD in July 2018</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Thermal:</w:t>
            </w:r>
          </w:p>
        </w:tc>
        <w:tc>
          <w:tcPr>
            <w:tcW w:w="780" w:type="dxa"/>
            <w:vAlign w:val="bottom"/>
          </w:tcPr>
          <w:p>
            <w:pPr>
              <w:spacing w:after="0"/>
              <w:rPr>
                <w:sz w:val="21"/>
                <w:szCs w:val="21"/>
                <w:color w:val="auto"/>
              </w:rPr>
            </w:pPr>
          </w:p>
        </w:tc>
        <w:tc>
          <w:tcPr>
            <w:tcW w:w="8860" w:type="dxa"/>
            <w:vAlign w:val="bottom"/>
            <w:gridSpan w:val="2"/>
          </w:tcPr>
          <w:p>
            <w:pPr>
              <w:jc w:val="right"/>
              <w:ind w:right="932"/>
              <w:spacing w:after="0"/>
              <w:rPr>
                <w:sz w:val="20"/>
                <w:szCs w:val="20"/>
                <w:color w:val="auto"/>
              </w:rPr>
            </w:pPr>
            <w:r>
              <w:rPr>
                <w:rFonts w:ascii="Arial" w:cs="Arial" w:eastAsia="Arial" w:hAnsi="Arial"/>
                <w:sz w:val="18"/>
                <w:szCs w:val="18"/>
                <w:color w:val="auto"/>
                <w:w w:val="92"/>
              </w:rPr>
              <w:t>3  Revenues generated at the UPMC Thermal Project, which was completed in the second quarter of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w:t>
            </w:r>
          </w:p>
        </w:tc>
        <w:tc>
          <w:tcPr>
            <w:tcW w:w="8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60" w:type="dxa"/>
            <w:vAlign w:val="bottom"/>
            <w:gridSpan w:val="2"/>
          </w:tcPr>
          <w:p>
            <w:pPr>
              <w:jc w:val="right"/>
              <w:ind w:right="547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expense increased by $7 million during the three months ended June 30, 2019, compared to the same period in 2018, primarily due to the Buckthorn Solar facility reaching COD in July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three months ended June 30, 2019 relate to a facility within the Company's Thermal segment, as further described in Note 14, </w:t>
      </w:r>
      <w:r>
        <w:rPr>
          <w:rFonts w:ascii="Arial" w:cs="Arial" w:eastAsia="Arial" w:hAnsi="Arial"/>
          <w:sz w:val="18"/>
          <w:szCs w:val="18"/>
          <w:i w:val="1"/>
          <w:iCs w:val="1"/>
          <w:color w:val="auto"/>
        </w:rPr>
        <w:t>Asset Impairments.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Development costs of $2 million during the three months ended June 30, 2019 relate primarily to business development, personnel and benefits costs within the Company's Thermal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Equity in earnings of unconsolidated affiliates decreased by $18 million during the three months ended June 30, 2019, compared to the same period in 2018, primarily due to income allocated using the HLBV method to the Company in its distributed partnerships with CEG. The HLBV method of accounting generally allocates more losses to the TE investors in the first several years after fund formation, and conversely, more income to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increased by $62 million during the three months ended June 30, 2019, compared to the same period in 2018, due to the following:</w:t>
      </w:r>
    </w:p>
    <w:p>
      <w:pPr>
        <w:spacing w:after="0" w:line="35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Increase (Decrease)</w:t>
            </w:r>
          </w:p>
        </w:tc>
      </w:tr>
      <w:tr>
        <w:trPr>
          <w:trHeight w:val="27"/>
        </w:trPr>
        <w:tc>
          <w:tcPr>
            <w:tcW w:w="9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swaps</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29"/>
        </w:trPr>
        <w:tc>
          <w:tcPr>
            <w:tcW w:w="9160" w:type="dxa"/>
            <w:vAlign w:val="bottom"/>
          </w:tcPr>
          <w:p>
            <w:pPr>
              <w:ind w:left="340"/>
              <w:spacing w:after="0"/>
              <w:rPr>
                <w:sz w:val="20"/>
                <w:szCs w:val="20"/>
                <w:color w:val="auto"/>
              </w:rPr>
            </w:pPr>
            <w:r>
              <w:rPr>
                <w:rFonts w:ascii="Arial" w:cs="Arial" w:eastAsia="Arial" w:hAnsi="Arial"/>
                <w:sz w:val="18"/>
                <w:szCs w:val="18"/>
                <w:color w:val="auto"/>
                <w:w w:val="95"/>
              </w:rPr>
              <w:t>Reclassification of losses previously deferred in AOCI to the statement of operations in connection with project-level</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debt refinancing activities</w:t>
            </w:r>
          </w:p>
        </w:tc>
        <w:tc>
          <w:tcPr>
            <w:tcW w:w="7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Issuance of Energy Center Minneapolis Series E, F, G, H Notes in June 2018 partially offset by lower debt balances at</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projects within Thermal segment</w:t>
            </w:r>
          </w:p>
        </w:tc>
        <w:tc>
          <w:tcPr>
            <w:tcW w:w="7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9160" w:type="dxa"/>
            <w:vAlign w:val="bottom"/>
          </w:tcPr>
          <w:p>
            <w:pPr>
              <w:ind w:left="340"/>
              <w:spacing w:after="0"/>
              <w:rPr>
                <w:sz w:val="20"/>
                <w:szCs w:val="20"/>
                <w:color w:val="auto"/>
              </w:rPr>
            </w:pPr>
            <w:r>
              <w:rPr>
                <w:rFonts w:ascii="Arial" w:cs="Arial" w:eastAsia="Arial" w:hAnsi="Arial"/>
                <w:sz w:val="18"/>
                <w:szCs w:val="18"/>
                <w:color w:val="auto"/>
                <w:w w:val="97"/>
              </w:rPr>
              <w:t>Issuance of the 2025 Senior Notes in October 2018, partially offset by lower interest expense on Long-term debt -</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affiliate, due 2019, which was repaid in February 2019</w:t>
            </w:r>
          </w:p>
        </w:tc>
        <w:tc>
          <w:tcPr>
            <w:tcW w:w="7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16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9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right="20" w:firstLine="405"/>
        <w:spacing w:after="0" w:line="297" w:lineRule="auto"/>
        <w:rPr>
          <w:sz w:val="20"/>
          <w:szCs w:val="20"/>
          <w:color w:val="auto"/>
        </w:rPr>
      </w:pPr>
      <w:r>
        <w:rPr>
          <w:rFonts w:ascii="Arial" w:cs="Arial" w:eastAsia="Arial" w:hAnsi="Arial"/>
          <w:sz w:val="16"/>
          <w:szCs w:val="16"/>
          <w:color w:val="auto"/>
        </w:rPr>
        <w:t>For the three months ended June 30, 2019, the Company had a loss of $4 million attributable to CEG's interests in Kawailoa, Oahu and Repowering partnership, offset by income of $6 million attributable to noncontrolling interests with respect to its tax equity financing arrangements and the application of the HLBV method. For the three months ended June 30, 2018, the Company had a loss of $56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2019 and 2018</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2019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color w:val="auto"/>
              </w:rPr>
              <w:t>Six months ended June 30, 2019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1" w:name="page62"/>
    <w:bookmarkEnd w:id="61"/>
    <w:p>
      <w:pPr>
        <w:jc w:val="both"/>
        <w:ind w:firstLine="405"/>
        <w:spacing w:after="0" w:line="277" w:lineRule="auto"/>
        <w:rPr>
          <w:sz w:val="20"/>
          <w:szCs w:val="20"/>
          <w:color w:val="auto"/>
        </w:rPr>
      </w:pPr>
      <w:r>
        <w:rPr>
          <w:rFonts w:ascii="Arial" w:cs="Arial" w:eastAsia="Arial" w:hAnsi="Arial"/>
          <w:sz w:val="18"/>
          <w:szCs w:val="18"/>
          <w:color w:val="auto"/>
        </w:rPr>
        <w:t>Gross margin decreased by $28 million during the six months ended June 30, 2019, compared to the same period in 2018 primarily due to a combination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Increase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(Decrease)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Reason for (Decrease) Increase</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 decrease of $26 million due to wind and solar resources across the portfolio, as well as $9 million decrease</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at CVSR related to the June 2019 outage. This was partially offset by revenue generated at the Buckthorn Solar</w:t>
            </w:r>
          </w:p>
        </w:tc>
        <w:tc>
          <w:tcPr>
            <w:tcW w:w="0" w:type="dxa"/>
            <w:vAlign w:val="bottom"/>
          </w:tcPr>
          <w:p>
            <w:pPr>
              <w:spacing w:after="0"/>
              <w:rPr>
                <w:sz w:val="1"/>
                <w:szCs w:val="1"/>
                <w:color w:val="auto"/>
              </w:rPr>
            </w:pPr>
          </w:p>
        </w:tc>
      </w:tr>
      <w:tr>
        <w:trPr>
          <w:trHeight w:val="216"/>
        </w:trPr>
        <w:tc>
          <w:tcPr>
            <w:tcW w:w="1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facility which went COD in July 2018. The Company also recorded a $7 million mark-to-market loss on the</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gridSpan w:val="2"/>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(34)  Elbow Creek forward power sale contract entered into during the first quarter of 2019</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Thermal:</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w w:val="97"/>
              </w:rPr>
              <w:t>Revenue generated at the UPMC Thermal Project, which was completed in the second quarter of 2018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expense increased by $10 million during the six months ended June 30, 2019, compared to the same period in 2018, primarily due to the Buckthorn Solar facility reaching COD in July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six months ended June 30, 2019, relate to a facility within the Company's Thermal segment, as further described in Note 13, </w:t>
      </w:r>
      <w:r>
        <w:rPr>
          <w:rFonts w:ascii="Arial" w:cs="Arial" w:eastAsia="Arial" w:hAnsi="Arial"/>
          <w:sz w:val="18"/>
          <w:szCs w:val="18"/>
          <w:i w:val="1"/>
          <w:iCs w:val="1"/>
          <w:color w:val="auto"/>
        </w:rPr>
        <w:t>Asset Impairments.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Development costs of $3 million during the six months ended June 30, 2019 relate primarily to business development, personnel and benefits costs within the Company's Thermal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decreased by $19 million during the six months ended June 30, 2019, compared to the same period in 2018, primarily driven by lower income allocated to the Company's interests in distributed partnerships with CEG partially offset by lower losses allocated to the Company's interests in RPV Holdco.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$111 million during the six months ended June 30, 2019, compared to the same period in 2018, primarily due to the following:</w:t>
      </w:r>
    </w:p>
    <w:p>
      <w:pPr>
        <w:sectPr>
          <w:pgSz w:w="11900" w:h="16838" w:orient="portrait"/>
          <w:cols w:equalWidth="0" w:num="1">
            <w:col w:w="11420"/>
          </w:cols>
          <w:pgMar w:left="240" w:top="746" w:right="239" w:bottom="1440" w:gutter="0" w:footer="0" w:header="0"/>
        </w:sect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34290</wp:posOffset>
            </wp:positionV>
            <wp:extent cx="692086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0865" cy="308610"/>
                    </a:xfrm>
                    <a:prstGeom prst="rect">
                      <a:avLst/>
                    </a:prstGeom>
                    <a:noFill/>
                  </pic:spPr>
                </pic:pic>
              </a:graphicData>
            </a:graphic>
          </wp:anchor>
        </w:drawing>
      </w:r>
    </w:p>
    <w:p>
      <w:pPr>
        <w:spacing w:after="0" w:line="47" w:lineRule="exact"/>
        <w:rPr>
          <w:sz w:val="20"/>
          <w:szCs w:val="20"/>
          <w:color w:val="auto"/>
        </w:rPr>
      </w:pPr>
    </w:p>
    <w:p>
      <w:pPr>
        <w:ind w:left="300" w:right="60" w:firstLine="324"/>
        <w:spacing w:after="0" w:line="277" w:lineRule="auto"/>
        <w:rPr>
          <w:sz w:val="20"/>
          <w:szCs w:val="20"/>
          <w:color w:val="auto"/>
        </w:rPr>
      </w:pPr>
      <w:r>
        <w:rPr>
          <w:rFonts w:ascii="Arial" w:cs="Arial" w:eastAsia="Arial" w:hAnsi="Arial"/>
          <w:sz w:val="18"/>
          <w:szCs w:val="18"/>
          <w:color w:val="auto"/>
        </w:rPr>
        <w:t>Reclassification of losses previously deferred in AOCI to the statement of operations in connection with project-level debt refinancing activities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 in fair value of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31750</wp:posOffset>
            </wp:positionV>
            <wp:extent cx="692086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0865" cy="308610"/>
                    </a:xfrm>
                    <a:prstGeom prst="rect">
                      <a:avLst/>
                    </a:prstGeom>
                    <a:noFill/>
                  </pic:spPr>
                </pic:pic>
              </a:graphicData>
            </a:graphic>
          </wp:anchor>
        </w:drawing>
      </w:r>
    </w:p>
    <w:p>
      <w:pPr>
        <w:spacing w:after="0" w:line="43" w:lineRule="exact"/>
        <w:rPr>
          <w:sz w:val="20"/>
          <w:szCs w:val="20"/>
          <w:color w:val="auto"/>
        </w:rPr>
      </w:pPr>
    </w:p>
    <w:p>
      <w:pPr>
        <w:ind w:left="300" w:firstLine="324"/>
        <w:spacing w:after="0" w:line="277" w:lineRule="auto"/>
        <w:rPr>
          <w:sz w:val="20"/>
          <w:szCs w:val="20"/>
          <w:color w:val="auto"/>
        </w:rPr>
      </w:pPr>
      <w:r>
        <w:rPr>
          <w:rFonts w:ascii="Arial" w:cs="Arial" w:eastAsia="Arial" w:hAnsi="Arial"/>
          <w:sz w:val="18"/>
          <w:szCs w:val="18"/>
          <w:color w:val="auto"/>
        </w:rPr>
        <w:t>Issuance of Energy Center Minneapolis Series E, F, G, H Notes in June 2018 partially offset by lower debt balances at other projects within Thermal segment</w:t>
      </w:r>
    </w:p>
    <w:p>
      <w:pPr>
        <w:spacing w:after="0" w:line="8" w:lineRule="exact"/>
        <w:rPr>
          <w:sz w:val="20"/>
          <w:szCs w:val="20"/>
          <w:color w:val="auto"/>
        </w:rPr>
      </w:pPr>
    </w:p>
    <w:p>
      <w:pPr>
        <w:ind w:left="300" w:right="100" w:firstLine="324"/>
        <w:spacing w:after="0" w:line="264" w:lineRule="auto"/>
        <w:rPr>
          <w:sz w:val="20"/>
          <w:szCs w:val="20"/>
          <w:color w:val="auto"/>
        </w:rPr>
      </w:pPr>
      <w:r>
        <w:rPr>
          <w:rFonts w:ascii="Arial" w:cs="Arial" w:eastAsia="Arial" w:hAnsi="Arial"/>
          <w:sz w:val="18"/>
          <w:szCs w:val="18"/>
          <w:color w:val="auto"/>
        </w:rPr>
        <w:t>Higher interest expense due to Buckthorn Solar facility which went COD in July 2018, additional interest expense in connection with Repowering Partnership borrowings in June of 2019, partially offset by normal amortization of other project level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4445</wp:posOffset>
            </wp:positionV>
            <wp:extent cx="692086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Normal project - level debt amortization in the Conventional segment</w:t>
      </w:r>
    </w:p>
    <w:p>
      <w:pPr>
        <w:spacing w:after="0" w:line="63" w:lineRule="exact"/>
        <w:rPr>
          <w:sz w:val="20"/>
          <w:szCs w:val="20"/>
          <w:color w:val="auto"/>
        </w:rPr>
      </w:pPr>
    </w:p>
    <w:p>
      <w:pPr>
        <w:ind w:left="300" w:right="300" w:firstLine="324"/>
        <w:spacing w:after="0" w:line="277" w:lineRule="auto"/>
        <w:rPr>
          <w:sz w:val="20"/>
          <w:szCs w:val="20"/>
          <w:color w:val="auto"/>
        </w:rPr>
      </w:pPr>
      <w:r>
        <w:rPr>
          <w:rFonts w:ascii="Arial" w:cs="Arial" w:eastAsia="Arial" w:hAnsi="Arial"/>
          <w:sz w:val="18"/>
          <w:szCs w:val="18"/>
          <w:color w:val="auto"/>
        </w:rPr>
        <w:t>Issuance of the 2025 Senior Notes in October 2018, partially offset by lower interest expense on Long-term debt - affiliate, due 2019, which was repaid in February 2019</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 (Decrease)</w:t>
      </w:r>
    </w:p>
    <w:p>
      <w:pPr>
        <w:spacing w:after="0" w:line="29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83</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132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57" w:lineRule="exact"/>
        <w:rPr>
          <w:sz w:val="20"/>
          <w:szCs w:val="20"/>
          <w:color w:val="auto"/>
        </w:rPr>
      </w:pPr>
    </w:p>
    <w:p>
      <w:pPr>
        <w:ind w:left="1320" w:hanging="1312"/>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1322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48895</wp:posOffset>
            </wp:positionV>
            <wp:extent cx="11322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280"/>
            <w:col w:w="2020"/>
          </w:cols>
          <w:pgMar w:left="240" w:top="746" w:right="2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746"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six months ended June 30, 2019, the Company had a loss of $6 million attributable to CEG's interest in the Oahu, Kawailoa and Repowering partnerships, partially offset by income of $2 million attributable to noncontrolling interests with respect to its tax equity financing arrangements and the application of the HLBV method. For the six months ended June 30, 2018, the Company had a loss of $93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2019</w:t>
      </w:r>
      <w:r>
        <w:rPr>
          <w:rFonts w:ascii="Arial" w:cs="Arial" w:eastAsia="Arial" w:hAnsi="Arial"/>
          <w:sz w:val="16"/>
          <w:szCs w:val="16"/>
          <w:color w:val="231F20"/>
        </w:rPr>
        <w:t xml:space="preserve">, the Company had $450 million of available borrowings under its revolving credit facility. As of </w:t>
      </w:r>
      <w:r>
        <w:rPr>
          <w:rFonts w:ascii="Arial" w:cs="Arial" w:eastAsia="Arial" w:hAnsi="Arial"/>
          <w:sz w:val="16"/>
          <w:szCs w:val="16"/>
          <w:color w:val="000000"/>
        </w:rPr>
        <w:t>June 30, 2019</w:t>
      </w:r>
      <w:r>
        <w:rPr>
          <w:rFonts w:ascii="Arial" w:cs="Arial" w:eastAsia="Arial" w:hAnsi="Arial"/>
          <w:sz w:val="16"/>
          <w:szCs w:val="16"/>
          <w:color w:val="231F20"/>
        </w:rPr>
        <w:t xml:space="preserve"> and </w:t>
      </w:r>
      <w:r>
        <w:rPr>
          <w:rFonts w:ascii="Arial" w:cs="Arial" w:eastAsia="Arial" w:hAnsi="Arial"/>
          <w:sz w:val="16"/>
          <w:szCs w:val="16"/>
          <w:color w:val="000000"/>
        </w:rPr>
        <w:t>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r>
        <w:rPr>
          <w:rFonts w:ascii="Arial" w:cs="Arial" w:eastAsia="Arial" w:hAnsi="Arial"/>
          <w:sz w:val="18"/>
          <w:szCs w:val="18"/>
          <w:color w:val="231F20"/>
        </w:rPr>
        <w:t>, the Company's liquidity was $744 million and $1.04 billion, respectively, comprised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6"/>
                <w:szCs w:val="16"/>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Clearway Energy LLC, excluding subsidiaries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r>
      <w:tr>
        <w:trPr>
          <w:trHeight w:val="20"/>
        </w:trPr>
        <w:tc>
          <w:tcPr>
            <w:tcW w:w="7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231F20"/>
        </w:rPr>
        <w:t xml:space="preserve">The Company's liquidity includes $203 million and $176 million of restricted cash balances as of June 30, 2019 and December 31, </w:t>
      </w:r>
      <w:r>
        <w:rPr>
          <w:rFonts w:ascii="Arial" w:cs="Arial" w:eastAsia="Arial" w:hAnsi="Arial"/>
          <w:sz w:val="16"/>
          <w:szCs w:val="16"/>
          <w:color w:val="000000"/>
        </w:rPr>
        <w:t>2018</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2019, these restricted funds were comprised of $60 million designated to fund operating expenses, $45 million</w:t>
      </w:r>
      <w:r>
        <w:rPr>
          <w:rFonts w:ascii="Arial" w:cs="Arial" w:eastAsia="Arial" w:hAnsi="Arial"/>
          <w:sz w:val="16"/>
          <w:szCs w:val="16"/>
          <w:color w:val="231F20"/>
        </w:rPr>
        <w:t xml:space="preserve"> </w:t>
      </w:r>
      <w:r>
        <w:rPr>
          <w:rFonts w:ascii="Arial" w:cs="Arial" w:eastAsia="Arial" w:hAnsi="Arial"/>
          <w:sz w:val="16"/>
          <w:szCs w:val="16"/>
          <w:color w:val="000000"/>
        </w:rPr>
        <w:t>designated for current debt service payments, and $42 million restricted for reserves including debt service, performance obligations and other reserves, as well as capital expenditures. The remaining $56 million is held in distribution reserve accounts, of which $36 million related to subsidiaries affected by the PG&amp;E Bankruptcy as discussed further below and may not be distributed during the pendency of the PG&amp;E Bankruptcy.</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there were no outstanding borrowings and $45 million of letters of credit outstanding under the Company's revolving credit facility.</w:t>
      </w:r>
    </w:p>
    <w:p>
      <w:pPr>
        <w:spacing w:after="0" w:line="11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June 30, 2019, all project level cash balances for these subsidiaries were classified as restricted cash.</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2" w:right="239" w:bottom="1440" w:gutter="0" w:footer="0" w:header="0"/>
        </w:sectPr>
      </w:pPr>
    </w:p>
    <w:bookmarkStart w:id="64" w:name="page65"/>
    <w:bookmarkEnd w:id="64"/>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Clearway Energy,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5.750% Senior Notes, due 2025</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w:t>
      </w:r>
      <w:r>
        <w:rPr>
          <w:rFonts w:ascii="Arial" w:cs="Arial" w:eastAsia="Arial" w:hAnsi="Arial"/>
          <w:sz w:val="18"/>
          <w:szCs w:val="18"/>
          <w:i w:val="1"/>
          <w:iCs w:val="1"/>
          <w:color w:val="231F20"/>
        </w:rPr>
        <w:t xml:space="preserve"> </w:t>
      </w:r>
      <w:r>
        <w:rPr>
          <w:rFonts w:ascii="Arial" w:cs="Arial" w:eastAsia="Arial" w:hAnsi="Arial"/>
          <w:sz w:val="18"/>
          <w:szCs w:val="18"/>
          <w:color w:val="000000"/>
        </w:rPr>
        <w:t>2018 Form 10-K</w:t>
      </w:r>
      <w:r>
        <w:rPr>
          <w:rFonts w:ascii="Arial" w:cs="Arial" w:eastAsia="Arial" w:hAnsi="Arial"/>
          <w:sz w:val="18"/>
          <w:szCs w:val="18"/>
          <w:color w:val="231F20"/>
        </w:rPr>
        <w:t>, the Company's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financing arrangements consist of </w:t>
      </w:r>
      <w:r>
        <w:rPr>
          <w:rFonts w:ascii="Arial" w:cs="Arial" w:eastAsia="Arial" w:hAnsi="Arial"/>
          <w:sz w:val="18"/>
          <w:szCs w:val="18"/>
          <w:color w:val="000000"/>
        </w:rPr>
        <w:t>corporate level debt, which includes Senior Notes, 2020 Convertible Notes, and the revolving credit facility; the ATM</w:t>
      </w:r>
      <w:r>
        <w:rPr>
          <w:rFonts w:ascii="Arial" w:cs="Arial" w:eastAsia="Arial" w:hAnsi="Arial"/>
          <w:sz w:val="18"/>
          <w:szCs w:val="18"/>
          <w:color w:val="231F20"/>
        </w:rPr>
        <w:t xml:space="preserve"> </w:t>
      </w:r>
      <w:r>
        <w:rPr>
          <w:rFonts w:ascii="Arial" w:cs="Arial" w:eastAsia="Arial" w:hAnsi="Arial"/>
          <w:sz w:val="18"/>
          <w:szCs w:val="18"/>
          <w:color w:val="000000"/>
        </w:rPr>
        <w:t>Program; and project-level financings.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ATM Sales </w:t>
      </w:r>
      <w:r>
        <w:rPr>
          <w:rFonts w:ascii="Arial" w:cs="Arial" w:eastAsia="Arial" w:hAnsi="Arial"/>
          <w:sz w:val="18"/>
          <w:szCs w:val="18"/>
          <w:color w:val="auto"/>
        </w:rPr>
        <w:t>— Clearway Energy, Inc. did not sell any shares of Class C common stock during the six months ended June 30, 2019. As of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$36 million of Class C common stock remains available for issuance under the ATM Program.</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six months ended </w:t>
      </w:r>
      <w:r>
        <w:rPr>
          <w:rFonts w:ascii="Arial" w:cs="Arial" w:eastAsia="Arial" w:hAnsi="Arial"/>
          <w:sz w:val="16"/>
          <w:szCs w:val="16"/>
          <w:color w:val="000000"/>
        </w:rPr>
        <w:t>June 30, 2019</w:t>
      </w:r>
      <w:r>
        <w:rPr>
          <w:rFonts w:ascii="Arial" w:cs="Arial" w:eastAsia="Arial" w:hAnsi="Arial"/>
          <w:sz w:val="16"/>
          <w:szCs w:val="16"/>
          <w:color w:val="231F20"/>
        </w:rPr>
        <w:t>, the Company used approximately $96 million to fund capital expenditures, including growth</w:t>
      </w:r>
      <w:r>
        <w:rPr>
          <w:rFonts w:ascii="Arial" w:cs="Arial" w:eastAsia="Arial" w:hAnsi="Arial"/>
          <w:sz w:val="16"/>
          <w:szCs w:val="16"/>
          <w:color w:val="000000"/>
        </w:rPr>
        <w:t xml:space="preserve"> expenditures of $91 million, $74 million of which were in the Renewables segment in connection with the Repowering Partnership entered by the Company in August 2018, as well as the Oahu Partnership and the Kawailoa Partnership, as further described in Note 4 - </w:t>
      </w:r>
      <w:r>
        <w:rPr>
          <w:rFonts w:ascii="Arial" w:cs="Arial" w:eastAsia="Arial" w:hAnsi="Arial"/>
          <w:sz w:val="16"/>
          <w:szCs w:val="16"/>
          <w:i w:val="1"/>
          <w:iCs w:val="1"/>
          <w:color w:val="000000"/>
        </w:rPr>
        <w:t>Investments Accounted for by the Equity Method and Variable Interest Entities.</w:t>
      </w:r>
      <w:r>
        <w:rPr>
          <w:rFonts w:ascii="Arial" w:cs="Arial" w:eastAsia="Arial" w:hAnsi="Arial"/>
          <w:sz w:val="16"/>
          <w:szCs w:val="16"/>
          <w:color w:val="000000"/>
        </w:rPr>
        <w:t xml:space="preserve"> The source for these capital expenditures was financing obtained in connection with the Repowering Partnership, as well as tax equity investors contributions. The Company also incurred $13 million of growth capital expenditures in the Thermal segment in connection with various development projects. </w:t>
      </w:r>
      <w:r>
        <w:rPr>
          <w:rFonts w:ascii="Arial" w:cs="Arial" w:eastAsia="Arial" w:hAnsi="Arial"/>
          <w:sz w:val="16"/>
          <w:szCs w:val="16"/>
          <w:color w:val="231F20"/>
        </w:rPr>
        <w:t>For the six</w:t>
      </w:r>
      <w:r>
        <w:rPr>
          <w:rFonts w:ascii="Arial" w:cs="Arial" w:eastAsia="Arial" w:hAnsi="Arial"/>
          <w:sz w:val="16"/>
          <w:szCs w:val="16"/>
          <w:color w:val="000000"/>
        </w:rPr>
        <w:t xml:space="preserve"> </w:t>
      </w:r>
      <w:r>
        <w:rPr>
          <w:rFonts w:ascii="Arial" w:cs="Arial" w:eastAsia="Arial" w:hAnsi="Arial"/>
          <w:sz w:val="16"/>
          <w:szCs w:val="16"/>
          <w:color w:val="231F20"/>
        </w:rPr>
        <w:t xml:space="preserve">months ended June 30, 2018, the Company used approximately $45 million to fund capital expenditures, of which </w:t>
      </w:r>
      <w:r>
        <w:rPr>
          <w:rFonts w:ascii="Arial" w:cs="Arial" w:eastAsia="Arial" w:hAnsi="Arial"/>
          <w:sz w:val="16"/>
          <w:szCs w:val="16"/>
          <w:color w:val="000000"/>
        </w:rPr>
        <w:t>$26 million related to growth expenditures</w:t>
      </w:r>
      <w:r>
        <w:rPr>
          <w:rFonts w:ascii="Arial" w:cs="Arial" w:eastAsia="Arial" w:hAnsi="Arial"/>
          <w:sz w:val="16"/>
          <w:szCs w:val="16"/>
          <w:color w:val="231F20"/>
        </w:rPr>
        <w:t xml:space="preserve"> </w:t>
      </w:r>
      <w:r>
        <w:rPr>
          <w:rFonts w:ascii="Arial" w:cs="Arial" w:eastAsia="Arial" w:hAnsi="Arial"/>
          <w:sz w:val="16"/>
          <w:szCs w:val="16"/>
          <w:color w:val="000000"/>
        </w:rPr>
        <w:t xml:space="preserve">in the Renewables segment in connection with the construction of Buckthorn Solar. The $26 million includes $10 million incurred by NRG during the construction of the Buckthorn Solar project prior to its acquisition by the Company on March 30, 2018. </w:t>
      </w:r>
      <w:r>
        <w:rPr>
          <w:rFonts w:ascii="Arial" w:cs="Arial" w:eastAsia="Arial" w:hAnsi="Arial"/>
          <w:sz w:val="16"/>
          <w:szCs w:val="16"/>
          <w:color w:val="231F20"/>
        </w:rPr>
        <w:t>The Company estimates $30 million of maintenance</w:t>
      </w:r>
      <w:r>
        <w:rPr>
          <w:rFonts w:ascii="Arial" w:cs="Arial" w:eastAsia="Arial" w:hAnsi="Arial"/>
          <w:sz w:val="16"/>
          <w:szCs w:val="16"/>
          <w:color w:val="000000"/>
        </w:rPr>
        <w:t xml:space="preserve"> </w:t>
      </w:r>
      <w:r>
        <w:rPr>
          <w:rFonts w:ascii="Arial" w:cs="Arial" w:eastAsia="Arial" w:hAnsi="Arial"/>
          <w:sz w:val="16"/>
          <w:szCs w:val="16"/>
          <w:color w:val="231F20"/>
        </w:rPr>
        <w:t xml:space="preserve">expenditures for 2019. </w:t>
      </w:r>
      <w:r>
        <w:rPr>
          <w:rFonts w:ascii="Arial" w:cs="Arial" w:eastAsia="Arial" w:hAnsi="Arial"/>
          <w:sz w:val="16"/>
          <w:szCs w:val="16"/>
          <w:color w:val="000000"/>
        </w:rPr>
        <w:t>These estimates are subject to continuing review and adjustment and actual capital expenditures may vary from these estimates.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auto"/>
        </w:rPr>
        <w:t xml:space="preserve">Repowering Transaction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14, 2019, the Company, through an indirect subsidiary, entered into binding equity commitment agreements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announced partnership with CEG to enable the repowering of two of its existing wind assets, Wildorado and Elbow Creek.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5" w:name="page66"/>
    <w:bookmarkEnd w:id="65"/>
    <w:p>
      <w:pPr>
        <w:jc w:val="both"/>
        <w:ind w:firstLine="486"/>
        <w:spacing w:after="0" w:line="281" w:lineRule="auto"/>
        <w:rPr>
          <w:sz w:val="20"/>
          <w:szCs w:val="20"/>
          <w:color w:val="auto"/>
        </w:rPr>
      </w:pPr>
      <w:r>
        <w:rPr>
          <w:rFonts w:ascii="Arial" w:cs="Arial" w:eastAsia="Arial" w:hAnsi="Arial"/>
          <w:sz w:val="17"/>
          <w:szCs w:val="17"/>
          <w:i w:val="1"/>
          <w:iCs w:val="1"/>
          <w:color w:val="auto"/>
        </w:rPr>
        <w:t xml:space="preserve">Kawailoa Solar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entered into a partnership with Clearway Renew LLC, a subsidiary of CEG, to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finance, operate, and maintain the Kawailoa Solar Partnership. The Company made an original capital contribution in the amount of $2 million and recorded a payable in the amount of $7 million due to Clearway Renew LLC in the accounts payable - affiliate on the Company's consolidated balance sheets as of June 30, 2019. For further discussion, see Note 4, </w:t>
      </w:r>
      <w:r>
        <w:rPr>
          <w:rFonts w:ascii="Arial" w:cs="Arial" w:eastAsia="Arial" w:hAnsi="Arial"/>
          <w:sz w:val="17"/>
          <w:szCs w:val="17"/>
          <w:i w:val="1"/>
          <w:iCs w:val="1"/>
          <w:color w:val="auto"/>
        </w:rPr>
        <w:t>Investments Accounted for by the Equity Method and Variable Interest Entities.</w:t>
      </w:r>
    </w:p>
    <w:p>
      <w:pPr>
        <w:spacing w:after="0" w:line="11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Duquesne Thermal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 2019, the Company, through its indirect subsidiary ECP Uptown Campus LLC, acquired the Duquesne University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energy system, totaling 87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Note 7—Long-term Debt,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34"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8, 2019, the Company entered into a partnership with Clearway Renew LLC, a subsidiary of CEG, to own,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operate, and maintain the Oahu Solar projects. The Company made an original capital contribution in the amount of $4 million and recorded a payable in the amount of $16 million due to Clearway Renew LLC in the accounts payable - affiliate on the Company's consolidated balance sheets as of June 30, 2019. For further discussion, see Note 4, </w:t>
      </w:r>
      <w:r>
        <w:rPr>
          <w:rFonts w:ascii="Arial" w:cs="Arial" w:eastAsia="Arial" w:hAnsi="Arial"/>
          <w:sz w:val="17"/>
          <w:szCs w:val="17"/>
          <w:i w:val="1"/>
          <w:iCs w:val="1"/>
          <w:color w:val="auto"/>
        </w:rPr>
        <w:t>Investments Accounted for by the Equity Method and Variable Interest Entities.</w:t>
      </w:r>
    </w:p>
    <w:p>
      <w:pPr>
        <w:spacing w:after="0" w:line="111" w:lineRule="exact"/>
        <w:rPr>
          <w:sz w:val="20"/>
          <w:szCs w:val="20"/>
          <w:color w:val="auto"/>
        </w:rPr>
      </w:pPr>
    </w:p>
    <w:p>
      <w:pPr>
        <w:jc w:val="both"/>
        <w:ind w:right="20" w:firstLine="405"/>
        <w:spacing w:after="0" w:line="313" w:lineRule="auto"/>
        <w:rPr>
          <w:sz w:val="20"/>
          <w:szCs w:val="20"/>
          <w:color w:val="auto"/>
        </w:rPr>
      </w:pPr>
      <w:r>
        <w:rPr>
          <w:rFonts w:ascii="Arial" w:cs="Arial" w:eastAsia="Arial" w:hAnsi="Arial"/>
          <w:sz w:val="17"/>
          <w:szCs w:val="17"/>
          <w:i w:val="1"/>
          <w:iCs w:val="1"/>
          <w:color w:val="auto"/>
        </w:rPr>
        <w:t xml:space="preserve">Wind TE Holdco Buyout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2, 2019, the Company bought out 100% of Class A membership interest from the TE Investor, for 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$19 million, as further described in Item 1 —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2019, the Company invested $10 million in distributed generation partnerships with CEG.</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Open Market Repurchases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Clearway Energy, Inc. and CEG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w:t>
      </w:r>
      <w:r>
        <w:rPr>
          <w:rFonts w:ascii="Arial" w:cs="Arial" w:eastAsia="Arial" w:hAnsi="Arial"/>
          <w:sz w:val="18"/>
          <w:szCs w:val="18"/>
          <w:color w:val="000000"/>
        </w:rPr>
        <w:t>he units are subject to available capital, market conditions, and compliance with associated laws, regulations and other contractual obligations. The</w:t>
      </w:r>
      <w:r>
        <w:rPr>
          <w:rFonts w:ascii="Arial" w:cs="Arial" w:eastAsia="Arial" w:hAnsi="Arial"/>
          <w:sz w:val="18"/>
          <w:szCs w:val="18"/>
          <w:color w:val="231F20"/>
        </w:rPr>
        <w:t xml:space="preserve"> </w:t>
      </w:r>
      <w:r>
        <w:rPr>
          <w:rFonts w:ascii="Arial" w:cs="Arial" w:eastAsia="Arial" w:hAnsi="Arial"/>
          <w:sz w:val="18"/>
          <w:szCs w:val="18"/>
          <w:color w:val="000000"/>
        </w:rPr>
        <w:t>Company expects that, based on current circumstances, comparable cash distributions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2019:</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2019</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7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August 1, 2019, the Company declared a distribution on its Class A, Class B, Class C and Class D units of $0.20 per unit payable on September 17, 2019 to unit holders of record as of September 3,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4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six months ended June 30, 2019, compared to the six months ended June 30,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(211)</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(166)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(228)</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432"/>
        </w:trPr>
        <w:tc>
          <w:tcPr>
            <w:tcW w:w="74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1"/>
        </w:trPr>
        <w:tc>
          <w:tcPr>
            <w:tcW w:w="744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680" w:type="dxa"/>
            <w:vAlign w:val="bottom"/>
            <w:gridSpan w:val="4"/>
          </w:tcPr>
          <w:p>
            <w:pPr>
              <w:ind w:left="40"/>
              <w:spacing w:after="0"/>
              <w:rPr>
                <w:sz w:val="20"/>
                <w:szCs w:val="20"/>
                <w:color w:val="auto"/>
              </w:rPr>
            </w:pPr>
            <w:r>
              <w:rPr>
                <w:rFonts w:ascii="Arial" w:cs="Arial" w:eastAsia="Arial" w:hAnsi="Arial"/>
                <w:sz w:val="18"/>
                <w:szCs w:val="18"/>
                <w:color w:val="auto"/>
                <w:w w:val="96"/>
              </w:rPr>
              <w:t>Increase in working capital driven primarily by the timing of accounts receivable collections and payment of accounts payable</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distributions from unconsolidated affiliates</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ectPr>
          <w:pgSz w:w="11900" w:h="16838" w:orient="portrait"/>
          <w:cols w:equalWidth="0" w:num="1">
            <w:col w:w="11420"/>
          </w:cols>
          <w:pgMar w:left="240" w:top="742"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Increase in capital expenditures driven primarily by the Company investment in the Repowering Partnership and development projects in the Thermal segment</w:t>
      </w:r>
    </w:p>
    <w:p>
      <w:pPr>
        <w:spacing w:after="0" w:line="8" w:lineRule="exact"/>
        <w:rPr>
          <w:sz w:val="20"/>
          <w:szCs w:val="20"/>
          <w:color w:val="auto"/>
        </w:rPr>
      </w:pPr>
    </w:p>
    <w:p>
      <w:pPr>
        <w:ind w:left="40" w:right="3220"/>
        <w:spacing w:after="0" w:line="412" w:lineRule="auto"/>
        <w:rPr>
          <w:sz w:val="20"/>
          <w:szCs w:val="20"/>
          <w:color w:val="auto"/>
        </w:rPr>
      </w:pPr>
      <w:r>
        <w:rPr>
          <w:rFonts w:ascii="Arial" w:cs="Arial" w:eastAsia="Arial" w:hAnsi="Arial"/>
          <w:sz w:val="16"/>
          <w:szCs w:val="16"/>
          <w:color w:val="auto"/>
        </w:rPr>
        <w:t>Higher payment for the Drop Down Assets and other acquisitions in 2018 compared to 2019 Payment to buy out an existing tax equity partner of Wind TE Holdco on January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receipts from network upgrades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 to acquire the Class A interests in the Oahu Partnership and Kawailoa Partnership in 2019</w:t>
      </w:r>
    </w:p>
    <w:p>
      <w:pPr>
        <w:spacing w:after="0" w:line="63" w:lineRule="exact"/>
        <w:rPr>
          <w:sz w:val="20"/>
          <w:szCs w:val="20"/>
          <w:color w:val="auto"/>
        </w:rPr>
      </w:pPr>
    </w:p>
    <w:p>
      <w:pPr>
        <w:ind w:left="40" w:right="1720"/>
        <w:spacing w:after="0" w:line="340" w:lineRule="auto"/>
        <w:rPr>
          <w:sz w:val="20"/>
          <w:szCs w:val="20"/>
          <w:color w:val="auto"/>
        </w:rPr>
      </w:pPr>
      <w:r>
        <w:rPr>
          <w:rFonts w:ascii="Arial" w:cs="Arial" w:eastAsia="Arial" w:hAnsi="Arial"/>
          <w:sz w:val="18"/>
          <w:szCs w:val="18"/>
          <w:color w:val="auto"/>
        </w:rPr>
        <w:t>Lower net investment in unconsolidated affiliates primarily in the distributed partnerships with CEG during 2019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auto"/>
        </w:rPr>
        <w:t>(In millions)</w:t>
      </w:r>
    </w:p>
    <w:p>
      <w:pPr>
        <w:spacing w:after="0" w:line="266" w:lineRule="exact"/>
        <w:rPr>
          <w:sz w:val="20"/>
          <w:szCs w:val="20"/>
          <w:color w:val="auto"/>
        </w:rPr>
      </w:pPr>
    </w:p>
    <w:p>
      <w:pPr>
        <w:ind w:left="889" w:hanging="889"/>
        <w:spacing w:after="0"/>
        <w:tabs>
          <w:tab w:leader="none" w:pos="8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(51)</w:t>
      </w:r>
    </w:p>
    <w:p>
      <w:pPr>
        <w:spacing w:after="0" w:line="86" w:lineRule="exact"/>
        <w:rPr>
          <w:rFonts w:ascii="Arial" w:cs="Arial" w:eastAsia="Arial" w:hAnsi="Arial"/>
          <w:sz w:val="16"/>
          <w:szCs w:val="16"/>
          <w:color w:val="auto"/>
        </w:rPr>
      </w:pPr>
    </w:p>
    <w:p>
      <w:pPr>
        <w:ind w:left="949"/>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889" w:hanging="889"/>
        <w:spacing w:after="0"/>
        <w:tabs>
          <w:tab w:leader="none" w:pos="8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920" w:space="271"/>
            <w:col w:w="1229"/>
          </w:cols>
          <w:pgMar w:left="240" w:top="742"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net contributions from noncontrolling interests in 2019 compared to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3"/>
              </w:rPr>
              <w:t>Higher net repayments of long-term debt in 2019 compared to 2018, primarily driven by the maturity and repayment of the intercompany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note - due 2019 between Clearway Energy, Inc. and Clearway Operating LLC</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proceeds from the issuance of Class C units as a result of Clearway Energy, Inc.'s common stock offering under the ATM Program in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payments under the revolving credit facility in 2018</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distributions paid to unit holders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562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June 30, 2019,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pro-rata share of non-recourse debt held by unconsolidated affiliates was approximately $943 million as of June 30, 2019. The Company's pro-rata share of non-recourse debt held by unconsolidated affiliates as it related to the projects affected by PG&amp;E bankruptcy was $426 million as of June 30, 2019. This indebtedness may restrict the ability of these subsidiaries to issue dividends or distributions to the Company.</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2019</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2019</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June 30, 2019</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1"/>
              </w:rPr>
              <w:t>Fair value of contracts as of June 30, 2019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Than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Greater Than</w:t>
            </w:r>
          </w:p>
        </w:tc>
        <w:tc>
          <w:tcPr>
            <w:tcW w:w="160" w:type="dxa"/>
            <w:vAlign w:val="bottom"/>
          </w:tcPr>
          <w:p>
            <w:pPr>
              <w:spacing w:after="0"/>
              <w:rPr>
                <w:sz w:val="13"/>
                <w:szCs w:val="13"/>
                <w:color w:val="auto"/>
              </w:rPr>
            </w:pPr>
          </w:p>
        </w:tc>
        <w:tc>
          <w:tcPr>
            <w:tcW w:w="9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1 Year to 3 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3"/>
                <w:szCs w:val="13"/>
                <w:color w:val="auto"/>
              </w:rPr>
            </w:pPr>
          </w:p>
        </w:tc>
        <w:tc>
          <w:tcPr>
            <w:tcW w:w="98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8" w:name="page69"/>
    <w:bookmarkEnd w:id="68"/>
    <w:p>
      <w:pPr>
        <w:jc w:val="both"/>
        <w:ind w:firstLine="405"/>
        <w:spacing w:after="0" w:line="279" w:lineRule="auto"/>
        <w:rPr>
          <w:sz w:val="20"/>
          <w:szCs w:val="20"/>
          <w:color w:val="auto"/>
        </w:rPr>
      </w:pPr>
      <w:r>
        <w:rPr>
          <w:rFonts w:ascii="Arial" w:cs="Arial" w:eastAsia="Arial" w:hAnsi="Arial"/>
          <w:sz w:val="17"/>
          <w:szCs w:val="17"/>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7"/>
          <w:szCs w:val="17"/>
          <w:color w:val="000000"/>
        </w:rPr>
        <w:t>Company, measures the</w:t>
      </w:r>
      <w:r>
        <w:rPr>
          <w:rFonts w:ascii="Arial" w:cs="Arial" w:eastAsia="Arial" w:hAnsi="Arial"/>
          <w:sz w:val="17"/>
          <w:szCs w:val="17"/>
          <w:color w:val="231F20"/>
        </w:rPr>
        <w:t xml:space="preserve"> </w:t>
      </w:r>
      <w:r>
        <w:rPr>
          <w:rFonts w:ascii="Arial" w:cs="Arial" w:eastAsia="Arial" w:hAnsi="Arial"/>
          <w:sz w:val="17"/>
          <w:szCs w:val="17"/>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2018 Form 10-K.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i w:val="1"/>
          <w:iCs w:val="1"/>
          <w:color w:val="231F20"/>
        </w:rPr>
        <w:t>,</w:t>
      </w:r>
      <w:r>
        <w:rPr>
          <w:rFonts w:ascii="Arial" w:cs="Arial" w:eastAsia="Arial" w:hAnsi="Arial"/>
          <w:sz w:val="18"/>
          <w:szCs w:val="18"/>
          <w:color w:val="231F20"/>
        </w:rPr>
        <w:t xml:space="preserve"> to the Company's </w:t>
      </w:r>
      <w:r>
        <w:rPr>
          <w:rFonts w:ascii="Arial" w:cs="Arial" w:eastAsia="Arial" w:hAnsi="Arial"/>
          <w:sz w:val="18"/>
          <w:szCs w:val="18"/>
          <w:color w:val="000000"/>
        </w:rPr>
        <w:t>audited consolidated financial statements for the year ended December 31, 2018 included</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2018 Form 10-K </w:t>
      </w:r>
      <w:r>
        <w:rPr>
          <w:rFonts w:ascii="Arial" w:cs="Arial" w:eastAsia="Arial" w:hAnsi="Arial"/>
          <w:sz w:val="18"/>
          <w:szCs w:val="18"/>
          <w:color w:val="231F20"/>
        </w:rPr>
        <w:t>for more information about interest rate swaps of the Company's project subsidiaries.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2019</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$102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The Company has long-term debt instruments that subject it to the risk of loss associated with movements in market interest rates. As of </w:t>
      </w:r>
      <w:r>
        <w:rPr>
          <w:rFonts w:ascii="Arial" w:cs="Arial" w:eastAsia="Arial" w:hAnsi="Arial"/>
          <w:sz w:val="17"/>
          <w:szCs w:val="17"/>
          <w:color w:val="000000"/>
        </w:rPr>
        <w:t>June 30, 2019</w:t>
      </w:r>
      <w:r>
        <w:rPr>
          <w:rFonts w:ascii="Arial" w:cs="Arial" w:eastAsia="Arial" w:hAnsi="Arial"/>
          <w:sz w:val="17"/>
          <w:szCs w:val="17"/>
          <w:color w:val="231F20"/>
        </w:rPr>
        <w:t>, a 1% change in interest rates would result in an approximately $3.8 million change in market interest expense on a rolling twelve-month basis.</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xml:space="preserve">, the fair value of the Company's debt was $6,120 million and the carrying value was $6,183 million. The Company estimates that a 1% decrease in market interest rates would have increased the fair value of its long-term debt by approximately </w:t>
      </w:r>
      <w:r>
        <w:rPr>
          <w:rFonts w:ascii="Arial" w:cs="Arial" w:eastAsia="Arial" w:hAnsi="Arial"/>
          <w:sz w:val="18"/>
          <w:szCs w:val="18"/>
          <w:color w:val="000000"/>
        </w:rPr>
        <w:t>$243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$3 million</w:t>
      </w:r>
      <w:r>
        <w:rPr>
          <w:rFonts w:ascii="Arial" w:cs="Arial" w:eastAsia="Arial" w:hAnsi="Arial"/>
          <w:sz w:val="17"/>
          <w:szCs w:val="17"/>
          <w:color w:val="231F20"/>
        </w:rPr>
        <w:t xml:space="preserve"> to the net value of derivatives as of </w:t>
      </w:r>
      <w:r>
        <w:rPr>
          <w:rFonts w:ascii="Arial" w:cs="Arial" w:eastAsia="Arial" w:hAnsi="Arial"/>
          <w:sz w:val="17"/>
          <w:szCs w:val="17"/>
          <w:color w:val="000000"/>
        </w:rPr>
        <w:t>June 30, 2019</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Under the CEG Master Services Agreements, the Company continues to review, document and evaluate the existing internal controls over financial reporting. There were no other changes in the Company’s internal control over financial reporting (as such term is defined in Rule 13a-15(f) under the Exchange Act) during the quarter ended June 30, 2019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2"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a discussion of the material legal proceedings in which the Company was involved through June 30, 2019, see Note 11,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2018 Form 10-K. There have been no material changes in the Company's risk factors since those reported in its 2018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860" w:type="dxa"/>
            <w:vAlign w:val="bottom"/>
            <w:gridSpan w:val="7"/>
          </w:tcPr>
          <w:p>
            <w:pPr>
              <w:spacing w:after="0"/>
              <w:rPr>
                <w:sz w:val="20"/>
                <w:szCs w:val="20"/>
                <w:color w:val="auto"/>
              </w:rPr>
            </w:pPr>
            <w:r>
              <w:rPr>
                <w:rFonts w:ascii="Arial" w:cs="Arial" w:eastAsia="Arial" w:hAnsi="Arial"/>
                <w:sz w:val="16"/>
                <w:szCs w:val="16"/>
                <w:b w:val="1"/>
                <w:bCs w:val="1"/>
                <w:color w:val="auto"/>
              </w:rPr>
              <w:t>Description</w:t>
            </w:r>
          </w:p>
        </w:tc>
        <w:tc>
          <w:tcPr>
            <w:tcW w:w="1460" w:type="dxa"/>
            <w:vAlign w:val="bottom"/>
          </w:tcPr>
          <w:p>
            <w:pPr>
              <w:ind w:left="180"/>
              <w:spacing w:after="0"/>
              <w:rPr>
                <w:sz w:val="20"/>
                <w:szCs w:val="20"/>
                <w:color w:val="auto"/>
              </w:rPr>
            </w:pPr>
            <w:r>
              <w:rPr>
                <w:rFonts w:ascii="Arial" w:cs="Arial" w:eastAsia="Arial" w:hAnsi="Arial"/>
                <w:sz w:val="16"/>
                <w:szCs w:val="16"/>
                <w:b w:val="1"/>
                <w:bCs w:val="1"/>
                <w:color w:val="auto"/>
              </w:rPr>
              <w:t>Method of Filing</w:t>
            </w:r>
          </w:p>
        </w:tc>
      </w:tr>
      <w:tr>
        <w:trPr>
          <w:trHeight w:val="222"/>
        </w:trPr>
        <w:tc>
          <w:tcPr>
            <w:tcW w:w="280" w:type="dxa"/>
            <w:vAlign w:val="bottom"/>
          </w:tcPr>
          <w:p>
            <w:pPr>
              <w:spacing w:after="0"/>
              <w:rPr>
                <w:sz w:val="20"/>
                <w:szCs w:val="20"/>
                <w:color w:val="auto"/>
              </w:rPr>
            </w:pPr>
            <w:r>
              <w:rPr>
                <w:rFonts w:ascii="Arial" w:cs="Arial" w:eastAsia="Arial" w:hAnsi="Arial"/>
                <w:sz w:val="16"/>
                <w:szCs w:val="16"/>
                <w:color w:val="auto"/>
                <w:w w:val="83"/>
              </w:rPr>
              <w:t>10.1</w:t>
            </w:r>
          </w:p>
        </w:tc>
        <w:tc>
          <w:tcPr>
            <w:tcW w:w="760" w:type="dxa"/>
            <w:vAlign w:val="bottom"/>
          </w:tcPr>
          <w:p>
            <w:pPr>
              <w:spacing w:after="0"/>
              <w:rPr>
                <w:sz w:val="19"/>
                <w:szCs w:val="19"/>
                <w:color w:val="auto"/>
              </w:rPr>
            </w:pPr>
          </w:p>
        </w:tc>
        <w:tc>
          <w:tcPr>
            <w:tcW w:w="5860" w:type="dxa"/>
            <w:vAlign w:val="bottom"/>
            <w:gridSpan w:val="7"/>
          </w:tcPr>
          <w:p>
            <w:pPr>
              <w:spacing w:after="0"/>
              <w:rPr>
                <w:rFonts w:ascii="Arial" w:cs="Arial" w:eastAsia="Arial" w:hAnsi="Arial"/>
                <w:sz w:val="16"/>
                <w:szCs w:val="16"/>
                <w:color w:val="0000FF"/>
                <w:w w:val="97"/>
              </w:rPr>
            </w:pPr>
            <w:hyperlink w:anchor="page75">
              <w:r>
                <w:rPr>
                  <w:rFonts w:ascii="Arial" w:cs="Arial" w:eastAsia="Arial" w:hAnsi="Arial"/>
                  <w:sz w:val="16"/>
                  <w:szCs w:val="16"/>
                  <w:color w:val="0000FF"/>
                  <w:w w:val="97"/>
                </w:rPr>
                <w:t>Second Amendment to Right of First Offer Agreement, dated August 1, 2019, by and</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2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w:anchor="page75">
              <w:r>
                <w:rPr>
                  <w:rFonts w:ascii="Arial" w:cs="Arial" w:eastAsia="Arial" w:hAnsi="Arial"/>
                  <w:sz w:val="16"/>
                  <w:szCs w:val="16"/>
                  <w:color w:val="0000FF"/>
                </w:rPr>
                <w:t>between Clearway Energy Group LLC and Clearway Energy, Inc.</w:t>
              </w:r>
            </w:hyperlink>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1"/>
                <w:szCs w:val="21"/>
                <w:color w:val="auto"/>
              </w:rPr>
            </w:pPr>
          </w:p>
        </w:tc>
        <w:tc>
          <w:tcPr>
            <w:tcW w:w="40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2"/>
              </w:rPr>
            </w:pPr>
            <w:hyperlink w:anchor="page78">
              <w:r>
                <w:rPr>
                  <w:rFonts w:ascii="Arial" w:cs="Arial" w:eastAsia="Arial" w:hAnsi="Arial"/>
                  <w:sz w:val="16"/>
                  <w:szCs w:val="16"/>
                  <w:color w:val="0000FF"/>
                  <w:w w:val="92"/>
                </w:rPr>
                <w:t>Rule 13a-14(a)/15d-14(a) certification of Christopher S. Sotos.</w:t>
              </w:r>
            </w:hyperlink>
          </w:p>
        </w:tc>
        <w:tc>
          <w:tcPr>
            <w:tcW w:w="180" w:type="dxa"/>
            <w:vAlign w:val="bottom"/>
            <w:tcBorders>
              <w:top w:val="single" w:sz="8" w:color="0000FF"/>
            </w:tcBorders>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860" w:type="dxa"/>
            <w:vAlign w:val="bottom"/>
            <w:gridSpan w:val="7"/>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Rule 13a-14(a)/15d-14(a) certification of Chad Plotkin.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98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80">
              <w:r>
                <w:rPr>
                  <w:rFonts w:ascii="Arial" w:cs="Arial" w:eastAsia="Arial" w:hAnsi="Arial"/>
                  <w:sz w:val="16"/>
                  <w:szCs w:val="16"/>
                  <w:color w:val="0000FF"/>
                  <w:w w:val="94"/>
                </w:rPr>
                <w:t>Rule 13a-14(a)/15d-14(a) certification of Mary-Lee Stillwell.</w:t>
              </w:r>
            </w:hyperlink>
          </w:p>
        </w:tc>
        <w:tc>
          <w:tcPr>
            <w:tcW w:w="1880" w:type="dxa"/>
            <w:vAlign w:val="bottom"/>
            <w:gridSpan w:val="4"/>
          </w:tcPr>
          <w:p>
            <w:pPr>
              <w:spacing w:after="0"/>
              <w:rPr>
                <w:sz w:val="21"/>
                <w:szCs w:val="21"/>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860" w:type="dxa"/>
            <w:vAlign w:val="bottom"/>
            <w:gridSpan w:val="7"/>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Section 1350 Certification.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Instance Document.</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84"/>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86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104</w:t>
            </w:r>
          </w:p>
        </w:tc>
        <w:tc>
          <w:tcPr>
            <w:tcW w:w="760" w:type="dxa"/>
            <w:vAlign w:val="bottom"/>
          </w:tcPr>
          <w:p>
            <w:pPr>
              <w:spacing w:after="0"/>
              <w:rPr>
                <w:sz w:val="21"/>
                <w:szCs w:val="21"/>
                <w:color w:val="auto"/>
              </w:rPr>
            </w:pPr>
          </w:p>
        </w:tc>
        <w:tc>
          <w:tcPr>
            <w:tcW w:w="5860" w:type="dxa"/>
            <w:vAlign w:val="bottom"/>
            <w:gridSpan w:val="7"/>
          </w:tcPr>
          <w:p>
            <w:pPr>
              <w:spacing w:after="0"/>
              <w:rPr>
                <w:sz w:val="20"/>
                <w:szCs w:val="20"/>
                <w:color w:val="auto"/>
              </w:rPr>
            </w:pPr>
            <w:r>
              <w:rPr>
                <w:rFonts w:ascii="Arial" w:cs="Arial" w:eastAsia="Arial" w:hAnsi="Arial"/>
                <w:sz w:val="16"/>
                <w:szCs w:val="16"/>
                <w:color w:val="auto"/>
                <w:w w:val="93"/>
              </w:rPr>
              <w:t>Cover Page Interactive Data File (the cover page interactive data file does not appear in</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3"/>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60" w:type="dxa"/>
            <w:vAlign w:val="bottom"/>
            <w:gridSpan w:val="7"/>
          </w:tcPr>
          <w:p>
            <w:pPr>
              <w:spacing w:after="0"/>
              <w:rPr>
                <w:sz w:val="20"/>
                <w:szCs w:val="20"/>
                <w:color w:val="auto"/>
              </w:rPr>
            </w:pPr>
            <w:r>
              <w:rPr>
                <w:rFonts w:ascii="Arial" w:cs="Arial" w:eastAsia="Arial" w:hAnsi="Arial"/>
                <w:sz w:val="16"/>
                <w:szCs w:val="16"/>
                <w:color w:val="auto"/>
              </w:rPr>
              <w:t>Exhibit 104 because its Inline XBRL tags are embedded within the Inline XBRL</w:t>
            </w:r>
          </w:p>
        </w:tc>
        <w:tc>
          <w:tcPr>
            <w:tcW w:w="14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6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742"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CLEARWAY ENERGY LLC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MARY-LEE STILLWELL</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Mary-Lee Stillwell</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6, 2019</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74</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AGREEMENT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RIGHT OF FIRST OFFER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1, 2019 (the “</w:t>
      </w:r>
      <w:r>
        <w:rPr>
          <w:rFonts w:ascii="Arial" w:cs="Arial" w:eastAsia="Arial" w:hAnsi="Arial"/>
          <w:sz w:val="18"/>
          <w:szCs w:val="18"/>
          <w:u w:val="single" w:color="auto"/>
          <w:color w:val="auto"/>
        </w:rPr>
        <w:t>Amendment Date</w:t>
      </w:r>
      <w:r>
        <w:rPr>
          <w:rFonts w:ascii="Arial" w:cs="Arial" w:eastAsia="Arial" w:hAnsi="Arial"/>
          <w:sz w:val="18"/>
          <w:szCs w:val="18"/>
          <w:color w:val="auto"/>
        </w:rPr>
        <w:t>”), is entered into by and between CLEARWAY ENERGY GROUP LLC, a Delaware limited liability company (f/k/a Zephyr Renewables LLC) (“</w:t>
      </w:r>
      <w:r>
        <w:rPr>
          <w:rFonts w:ascii="Arial" w:cs="Arial" w:eastAsia="Arial" w:hAnsi="Arial"/>
          <w:sz w:val="18"/>
          <w:szCs w:val="18"/>
          <w:u w:val="single" w:color="auto"/>
          <w:color w:val="auto"/>
        </w:rPr>
        <w:t>CEG</w:t>
      </w:r>
      <w:r>
        <w:rPr>
          <w:rFonts w:ascii="Arial" w:cs="Arial" w:eastAsia="Arial" w:hAnsi="Arial"/>
          <w:sz w:val="18"/>
          <w:szCs w:val="18"/>
          <w:color w:val="auto"/>
        </w:rPr>
        <w:t>”), and CLEARWAY ENERGY, INC., a Delaware corporation (f/k/a NRG Yield, Inc.) (“</w:t>
      </w:r>
      <w:r>
        <w:rPr>
          <w:rFonts w:ascii="Arial" w:cs="Arial" w:eastAsia="Arial" w:hAnsi="Arial"/>
          <w:sz w:val="18"/>
          <w:szCs w:val="18"/>
          <w:u w:val="single" w:color="auto"/>
          <w:color w:val="auto"/>
        </w:rPr>
        <w:t>CWEN</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CEG and CWEN are parties to that certain Right of First Offer Agreement dated as of August 31, 2018, as subsequently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14, 2019 (the “</w:t>
      </w:r>
      <w:r>
        <w:rPr>
          <w:rFonts w:ascii="Arial" w:cs="Arial" w:eastAsia="Arial" w:hAnsi="Arial"/>
          <w:sz w:val="18"/>
          <w:szCs w:val="18"/>
          <w:u w:val="single" w:color="auto"/>
          <w:color w:val="auto"/>
        </w:rPr>
        <w:t>ROFO Agreement</w:t>
      </w:r>
      <w:r>
        <w:rPr>
          <w:rFonts w:ascii="Arial" w:cs="Arial" w:eastAsia="Arial" w:hAnsi="Arial"/>
          <w:sz w:val="18"/>
          <w:szCs w:val="18"/>
          <w:color w:val="auto"/>
        </w:rPr>
        <w:t>”). Capitalized terms used but not otherwise defined in this Amendment shall have the respective meanings specified in the ROFO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ROFO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in this Amendment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CEG and CWEN hereby agree as follows.</w:t>
      </w:r>
    </w:p>
    <w:p>
      <w:pPr>
        <w:spacing w:after="0" w:line="193"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Amendments to Section 1.1 (Definitions)</w:t>
      </w:r>
      <w:r>
        <w:rPr>
          <w:rFonts w:ascii="Arial" w:cs="Arial" w:eastAsia="Arial" w:hAnsi="Arial"/>
          <w:sz w:val="16"/>
          <w:szCs w:val="16"/>
          <w:color w:val="auto"/>
        </w:rPr>
        <w:t>.</w:t>
      </w:r>
    </w:p>
    <w:p>
      <w:pPr>
        <w:spacing w:after="0" w:line="239" w:lineRule="exact"/>
        <w:rPr>
          <w:sz w:val="20"/>
          <w:szCs w:val="20"/>
          <w:color w:val="auto"/>
        </w:rPr>
      </w:pPr>
    </w:p>
    <w:p>
      <w:pPr>
        <w:ind w:left="1300" w:right="2520" w:firstLine="5"/>
        <w:spacing w:after="0" w:line="530" w:lineRule="auto"/>
        <w:tabs>
          <w:tab w:leader="none" w:pos="169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Section 1.1 of the ROFO Agreement is hereby amended by adding thereto the following definitions: “</w:t>
      </w:r>
      <w:r>
        <w:rPr>
          <w:rFonts w:ascii="Arial" w:cs="Arial" w:eastAsia="Arial" w:hAnsi="Arial"/>
          <w:sz w:val="17"/>
          <w:szCs w:val="17"/>
          <w:u w:val="single" w:color="auto"/>
          <w:color w:val="auto"/>
        </w:rPr>
        <w:t>Black Rock</w:t>
      </w:r>
      <w:r>
        <w:rPr>
          <w:rFonts w:ascii="Arial" w:cs="Arial" w:eastAsia="Arial" w:hAnsi="Arial"/>
          <w:sz w:val="17"/>
          <w:szCs w:val="17"/>
          <w:color w:val="auto"/>
        </w:rPr>
        <w:t>” consists of 100% of the membership interests in Black Rock Wind Force, LLC. “</w:t>
      </w:r>
      <w:r>
        <w:rPr>
          <w:rFonts w:ascii="Arial" w:cs="Arial" w:eastAsia="Arial" w:hAnsi="Arial"/>
          <w:sz w:val="17"/>
          <w:szCs w:val="17"/>
          <w:u w:val="single" w:color="auto"/>
          <w:color w:val="auto"/>
        </w:rPr>
        <w:t>Rattlesnake</w:t>
      </w:r>
      <w:r>
        <w:rPr>
          <w:rFonts w:ascii="Arial" w:cs="Arial" w:eastAsia="Arial" w:hAnsi="Arial"/>
          <w:sz w:val="17"/>
          <w:szCs w:val="17"/>
          <w:color w:val="auto"/>
        </w:rPr>
        <w:t>” consists of 100% of the membership interests in Rattlesnake Flat, LLC.</w:t>
      </w:r>
    </w:p>
    <w:p>
      <w:pPr>
        <w:spacing w:after="0" w:line="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Repowering 2.0</w:t>
      </w:r>
      <w:r>
        <w:rPr>
          <w:rFonts w:ascii="Arial" w:cs="Arial" w:eastAsia="Arial" w:hAnsi="Arial"/>
          <w:sz w:val="18"/>
          <w:szCs w:val="18"/>
          <w:color w:val="auto"/>
        </w:rPr>
        <w:t>” consists of membership interests in one or more partnerships formed to repower CWEN wind assets using turbines provided by CEG.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Wildflower</w:t>
      </w:r>
      <w:r>
        <w:rPr>
          <w:rFonts w:ascii="Arial" w:cs="Arial" w:eastAsia="Arial" w:hAnsi="Arial"/>
          <w:sz w:val="18"/>
          <w:szCs w:val="18"/>
          <w:color w:val="auto"/>
        </w:rPr>
        <w:t>” consists of 100% of the membership interests in Wildflower Solar LLC.</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Amendments to Article II</w:t>
      </w:r>
      <w:r>
        <w:rPr>
          <w:rFonts w:ascii="Arial" w:cs="Arial" w:eastAsia="Arial" w:hAnsi="Arial"/>
          <w:sz w:val="17"/>
          <w:szCs w:val="17"/>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2.1 of the ROFO Agreement is hereby amended by adding the words “Black Rock, Rattlesnake, Repowering 2.0, Wildflower” thereto directly following the word “Langford,”.</w:t>
      </w:r>
    </w:p>
    <w:p>
      <w:pPr>
        <w:spacing w:after="0" w:line="17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Effectiveness of this Amendment</w:t>
      </w:r>
      <w:r>
        <w:rPr>
          <w:rFonts w:ascii="Arial" w:cs="Arial" w:eastAsia="Arial" w:hAnsi="Arial"/>
          <w:sz w:val="16"/>
          <w:szCs w:val="16"/>
          <w:color w:val="auto"/>
        </w:rPr>
        <w:t>. This Amendment is effective as of the Amendment Date.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 Other Changes</w:t>
      </w:r>
      <w:r>
        <w:rPr>
          <w:rFonts w:ascii="Arial" w:cs="Arial" w:eastAsia="Arial" w:hAnsi="Arial"/>
          <w:sz w:val="17"/>
          <w:szCs w:val="17"/>
          <w:color w:val="auto"/>
        </w:rPr>
        <w:t>. Except as expressly provided or contemplated by this Amendment, all the terms, conditions and provisions of the Agreement remain unaltered and in full force and effect. The Agreement and this Amendment shall be read and construed as one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Facsimile; Counterparts</w:t>
      </w:r>
      <w:r>
        <w:rPr>
          <w:rFonts w:ascii="Arial" w:cs="Arial" w:eastAsia="Arial" w:hAnsi="Arial"/>
          <w:sz w:val="18"/>
          <w:szCs w:val="18"/>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8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Section 5.7 of the Agreement shall apply,</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to this Amendment.</w:t>
      </w:r>
    </w:p>
    <w:p>
      <w:pPr>
        <w:sectPr>
          <w:pgSz w:w="11900" w:h="16838" w:orient="portrait"/>
          <w:cols w:equalWidth="0" w:num="1">
            <w:col w:w="11420"/>
          </w:cols>
          <w:pgMar w:left="240" w:top="121" w:right="239" w:bottom="1440" w:gutter="0" w:footer="0" w:header="0"/>
        </w:sectPr>
      </w:pPr>
    </w:p>
    <w:bookmarkStart w:id="75" w:name="page76"/>
    <w:bookmarkEnd w:id="75"/>
    <w:p>
      <w:pPr>
        <w:jc w:val="both"/>
        <w:ind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76" w:name="page77"/>
    <w:bookmarkEnd w:id="7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CEG and CWEN have each caused this Amendment to be executed and delivered in their names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CLEARWAY ENERGY GROUP LLC</w:t>
      </w:r>
    </w:p>
    <w:p>
      <w:pPr>
        <w:spacing w:after="0" w:line="200" w:lineRule="exact"/>
        <w:rPr>
          <w:sz w:val="20"/>
          <w:szCs w:val="20"/>
          <w:color w:val="auto"/>
        </w:rPr>
      </w:pPr>
    </w:p>
    <w:p>
      <w:pPr>
        <w:spacing w:after="0" w:line="29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75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Craig Cornelius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9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755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Christopher Sotos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Right of First Offer Agreement</w:t>
      </w:r>
    </w:p>
    <w:p>
      <w:pPr>
        <w:sectPr>
          <w:pgSz w:w="11900" w:h="16838" w:orient="portrait"/>
          <w:cols w:equalWidth="0" w:num="1">
            <w:col w:w="11420"/>
          </w:cols>
          <w:pgMar w:left="240" w:top="364" w:right="239" w:bottom="1440" w:gutter="0" w:footer="0" w:header="0"/>
        </w:sectPr>
      </w:pPr>
    </w:p>
    <w:bookmarkStart w:id="77" w:name="page78"/>
    <w:bookmarkEnd w:id="77"/>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ectPr>
          <w:pgSz w:w="11900" w:h="16838" w:orient="portrait"/>
          <w:cols w:equalWidth="0" w:num="1">
            <w:col w:w="11420"/>
          </w:cols>
          <w:pgMar w:left="240" w:top="661" w:right="239" w:bottom="1440" w:gutter="0" w:footer="0" w:header="0"/>
        </w:sectPr>
      </w:pPr>
    </w:p>
    <w:bookmarkStart w:id="78" w:name="page79"/>
    <w:bookmarkEnd w:id="78"/>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ectPr>
          <w:pgSz w:w="11900" w:h="16838" w:orient="portrait"/>
          <w:cols w:equalWidth="0" w:num="1">
            <w:col w:w="11420"/>
          </w:cols>
          <w:pgMar w:left="240" w:top="661" w:right="239" w:bottom="1440" w:gutter="0" w:footer="0" w:header="0"/>
        </w:sectPr>
      </w:pPr>
    </w:p>
    <w:bookmarkStart w:id="79" w:name="page80"/>
    <w:bookmarkEnd w:id="79"/>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Clearway Energy LLC on Form 10-Q for the quarter ended June 30,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5"/>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upperLetter"/>
      <w:start w:val="6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2019-12-28T08:59:07Z</dcterms:created>
  <dcterms:modified xsi:type="dcterms:W3CDTF">2019-12-28T08:59:07Z</dcterms:modified>
</cp:coreProperties>
</file>