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7,111</w:t>
            </w:r>
            <w:r>
              <w:rPr>
                <w:rFonts w:ascii="Arial" w:cs="Arial" w:eastAsia="Arial" w:hAnsi="Arial"/>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32,363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93"/>
              <w:spacing w:after="0"/>
              <w:rPr>
                <w:sz w:val="20"/>
                <w:szCs w:val="20"/>
                <w:color w:val="auto"/>
              </w:rPr>
            </w:pPr>
            <w:r>
              <w:rPr>
                <w:rFonts w:ascii="Arial" w:cs="Arial" w:eastAsia="Arial" w:hAnsi="Arial"/>
                <w:sz w:val="17"/>
                <w:szCs w:val="17"/>
                <w:color w:val="0000FF"/>
              </w:rPr>
              <w:t>398</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32,761</w:t>
            </w:r>
            <w:r>
              <w:rPr>
                <w:rFonts w:ascii="Arial" w:cs="Arial" w:eastAsia="Arial" w:hAnsi="Arial"/>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7,111 Deferred Stock Units issued to the reporting person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2,150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2021-06-03T16:20:44Z</dcterms:created>
  <dcterms:modified xsi:type="dcterms:W3CDTF">2021-06-03T16:20:44Z</dcterms:modified>
</cp:coreProperties>
</file>