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29"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3"/>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20" w:type="dxa"/>
            <w:vAlign w:val="bottom"/>
            <w:gridSpan w:val="7"/>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Global Infrastructure Investors III, LLC</w:t>
              </w:r>
            </w:hyperlink>
          </w:p>
        </w:tc>
        <w:tc>
          <w:tcPr>
            <w:tcW w:w="2840" w:type="dxa"/>
            <w:vAlign w:val="bottom"/>
            <w:gridSpan w:val="9"/>
          </w:tcPr>
          <w:p>
            <w:pPr>
              <w:ind w:left="80"/>
              <w:spacing w:after="0" w:line="18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6"/>
          </w:tcPr>
          <w:p>
            <w:pPr>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5"/>
                <w:szCs w:val="15"/>
                <w:color w:val="auto"/>
              </w:rPr>
            </w:pPr>
          </w:p>
        </w:tc>
        <w:tc>
          <w:tcPr>
            <w:tcW w:w="1660" w:type="dxa"/>
            <w:vAlign w:val="bottom"/>
            <w:gridSpan w:val="6"/>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7"/>
            <w:vMerge w:val="continue"/>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11"/>
                <w:szCs w:val="11"/>
                <w:color w:val="auto"/>
              </w:rPr>
            </w:pPr>
          </w:p>
        </w:tc>
        <w:tc>
          <w:tcPr>
            <w:tcW w:w="16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gridSpan w:val="3"/>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6"/>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66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66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80" w:type="dxa"/>
            <w:vAlign w:val="bottom"/>
            <w:gridSpan w:val="10"/>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5"/>
                <w:szCs w:val="15"/>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1345 AVENUE OF THE AMERICAS, 30TH</w:t>
            </w:r>
          </w:p>
        </w:tc>
        <w:tc>
          <w:tcPr>
            <w:tcW w:w="120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08/31/2020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7"/>
            <w:vMerge w:val="continue"/>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gridSpan w:val="1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3"/>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09/02/2020</w:t>
            </w: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4"/>
            <w:vMerge w:val="continue"/>
          </w:tcPr>
          <w:p>
            <w:pPr>
              <w:spacing w:after="0"/>
              <w:rPr>
                <w:sz w:val="14"/>
                <w:szCs w:val="14"/>
                <w:color w:val="auto"/>
              </w:rPr>
            </w:pPr>
          </w:p>
        </w:tc>
        <w:tc>
          <w:tcPr>
            <w:tcW w:w="2980" w:type="dxa"/>
            <w:vAlign w:val="bottom"/>
            <w:gridSpan w:val="9"/>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10105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9"/>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5"/>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20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2"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vMerge w:val="continue"/>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(D)</w:t>
            </w:r>
          </w:p>
        </w:tc>
        <w:tc>
          <w:tcPr>
            <w:tcW w:w="4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4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color w:val="0000FF"/>
              </w:rPr>
              <w:t>08/31/2020</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5,355</w:t>
            </w:r>
          </w:p>
        </w:tc>
        <w:tc>
          <w:tcPr>
            <w:tcW w:w="140" w:type="dxa"/>
            <w:vAlign w:val="bottom"/>
          </w:tcPr>
          <w:p>
            <w:pPr>
              <w:spacing w:after="0"/>
              <w:rPr>
                <w:sz w:val="21"/>
                <w:szCs w:val="2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gridSpan w:val="3"/>
            <w:vMerge w:val="restart"/>
          </w:tcPr>
          <w:p>
            <w:pP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25.51</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16,646</w:t>
            </w:r>
            <w:r>
              <w:rPr>
                <w:rFonts w:ascii="Times New Roman" w:cs="Times New Roman" w:eastAsia="Times New Roman" w:hAnsi="Times New Roman"/>
                <w:sz w:val="22"/>
                <w:szCs w:val="22"/>
                <w:color w:val="008000"/>
                <w:vertAlign w:val="superscript"/>
              </w:rPr>
              <w:t>(4)</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520" w:type="dxa"/>
            <w:vAlign w:val="bottom"/>
            <w:gridSpan w:val="1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5"/>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92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Global Infrastructure Investors III, LLC</w:t>
              </w:r>
            </w:hyperlink>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1345 AVENUE OF THE AMERICAS, 30TH FLOOR</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Global Infrastructure GP III, L.P.</w:t>
              </w:r>
            </w:hyperlink>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1345 AVENUE OF THE AMERICAS, 30TH FLOOR</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GIP III Zephyr Acquisition Partners L.P.</w:t>
              </w:r>
            </w:hyperlink>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-7091680</wp:posOffset>
            </wp:positionV>
            <wp:extent cx="7031355" cy="7547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031355" cy="7547610"/>
                    </a:xfrm>
                    <a:prstGeom prst="rect">
                      <a:avLst/>
                    </a:prstGeom>
                    <a:noFill/>
                  </pic:spPr>
                </pic:pic>
              </a:graphicData>
            </a:graphic>
          </wp:anchor>
        </w:drawing>
      </w:r>
    </w:p>
    <w:p>
      <w:pPr>
        <w:sectPr>
          <w:pgSz w:w="11900" w:h="16838" w:orient="portrait"/>
          <w:cols w:equalWidth="0" w:num="1">
            <w:col w:w="11080"/>
          </w:cols>
          <w:pgMar w:left="460" w:top="219" w:right="359" w:bottom="29"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147320</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19" w:right="359" w:bottom="2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0"/>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8"/>
        </w:trPr>
        <w:tc>
          <w:tcPr>
            <w:tcW w:w="100" w:type="dxa"/>
            <w:vAlign w:val="bottom"/>
          </w:tcPr>
          <w:p>
            <w:pPr>
              <w:spacing w:after="0"/>
              <w:rPr>
                <w:sz w:val="24"/>
                <w:szCs w:val="24"/>
                <w:color w:val="auto"/>
              </w:rPr>
            </w:pPr>
          </w:p>
        </w:tc>
        <w:tc>
          <w:tcPr>
            <w:tcW w:w="2680" w:type="dxa"/>
            <w:vAlign w:val="bottom"/>
            <w:gridSpan w:val="2"/>
          </w:tcPr>
          <w:p>
            <w:pPr>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Clearway Energy Group LLC</w:t>
              </w:r>
            </w:hyperlink>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-1261745</wp:posOffset>
            </wp:positionV>
            <wp:extent cx="2783840" cy="2276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783840" cy="227647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349" w:lineRule="exact"/>
        <w:rPr>
          <w:sz w:val="20"/>
          <w:szCs w:val="20"/>
          <w:color w:val="auto"/>
        </w:rPr>
      </w:pPr>
    </w:p>
    <w:tbl>
      <w:tblPr>
        <w:tblLayout w:type="fixed"/>
        <w:tblInd w:w="60" w:type="dxa"/>
        <w:tblCellMar>
          <w:top w:w="0" w:type="dxa"/>
          <w:left w:w="0" w:type="dxa"/>
          <w:bottom w:w="0" w:type="dxa"/>
          <w:right w:w="0" w:type="dxa"/>
        </w:tblCellMar>
      </w:tblPr>
      <w:tr>
        <w:trPr>
          <w:trHeight w:val="17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w:t>
      </w:r>
    </w:p>
    <w:p>
      <w:pPr>
        <w:spacing w:after="0" w:line="7" w:lineRule="exact"/>
        <w:rPr>
          <w:rFonts w:ascii="Times New Roman" w:cs="Times New Roman" w:eastAsia="Times New Roman" w:hAnsi="Times New Roman"/>
          <w:sz w:val="13"/>
          <w:szCs w:val="13"/>
          <w:color w:val="008000"/>
        </w:rPr>
      </w:pPr>
    </w:p>
    <w:p>
      <w:pPr>
        <w:jc w:val="both"/>
        <w:ind w:left="20" w:righ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6"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2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21"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reflects the number of securities beneficially owned by Clearway Energy Group after the reported transaction on August 31, 2020.</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ind w:left="20" w:right="340"/>
        <w:spacing w:after="0" w:line="272" w:lineRule="auto"/>
        <w:rPr>
          <w:sz w:val="20"/>
          <w:szCs w:val="20"/>
          <w:color w:val="auto"/>
        </w:rPr>
      </w:pPr>
      <w:r>
        <w:rPr>
          <w:rFonts w:ascii="Times New Roman" w:cs="Times New Roman" w:eastAsia="Times New Roman" w:hAnsi="Times New Roman"/>
          <w:sz w:val="13"/>
          <w:szCs w:val="13"/>
          <w:color w:val="008000"/>
        </w:rPr>
        <w:t>This Form 4/A amends and restates the original Form 4 filed by the Reporting Persons on September 2, 2020 to correct the number of shares withheld on August 31, 2020 to satisfy tax withholding obligations. This amendment is deemed to correct the balance of securities beneficially owned by the Reporting Persons in Forms 4 filed by them after September 2, 2020 through the date hereof.</w:t>
      </w:r>
    </w:p>
    <w:p>
      <w:pPr>
        <w:sectPr>
          <w:pgSz w:w="11900" w:h="16838" w:orient="portrait"/>
          <w:cols w:equalWidth="0" w:num="1">
            <w:col w:w="10840"/>
          </w:cols>
          <w:pgMar w:left="480" w:top="121" w:right="579" w:bottom="1440"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00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696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95" w:lineRule="exact"/>
        <w:rPr>
          <w:sz w:val="20"/>
          <w:szCs w:val="20"/>
          <w:color w:val="auto"/>
        </w:rPr>
      </w:pPr>
    </w:p>
    <w:p>
      <w:pPr>
        <w:sectPr>
          <w:pgSz w:w="11900" w:h="16838" w:orient="portrait"/>
          <w:cols w:equalWidth="0" w:num="2">
            <w:col w:w="8700" w:space="60"/>
            <w:col w:w="2080"/>
          </w:cols>
          <w:pgMar w:left="480" w:top="121" w:right="57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21"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13" Type="http://schemas.openxmlformats.org/officeDocument/2006/relationships/hyperlink" Target="http://www.sec.gov/cgi-bin/browse-edgar?action=getcompany&amp;CIK=000174719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752556" TargetMode="External"/><Relationship Id="rId19"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2020-11-24T19:23:56Z</dcterms:created>
  <dcterms:modified xsi:type="dcterms:W3CDTF">2020-11-24T19:23:56Z</dcterms:modified>
</cp:coreProperties>
</file>