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Global Infrastructure Investors III,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04/01/2024</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3"/>
          </w:tcPr>
          <w:p>
            <w:pPr>
              <w:ind w:left="1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4"/>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1140" w:type="dxa"/>
            <w:vAlign w:val="bottom"/>
            <w:tcBorders>
              <w:top w:val="single" w:sz="8" w:color="2C2C2C"/>
            </w:tcBorders>
            <w:gridSpan w:val="2"/>
            <w:vMerge w:val="restart"/>
          </w:tcPr>
          <w:p>
            <w:pPr>
              <w:ind w:left="8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40" w:type="dxa"/>
            <w:vAlign w:val="bottom"/>
            <w:vMerge w:val="restart"/>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140" w:type="dxa"/>
            <w:vAlign w:val="bottom"/>
            <w:gridSpan w:val="2"/>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1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04/01/2024</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440" w:type="dxa"/>
            <w:vAlign w:val="bottom"/>
          </w:tcPr>
          <w:p>
            <w:pPr>
              <w:spacing w:after="0"/>
              <w:rPr>
                <w:sz w:val="21"/>
                <w:szCs w:val="21"/>
                <w:color w:val="auto"/>
              </w:rPr>
            </w:pPr>
          </w:p>
        </w:tc>
        <w:tc>
          <w:tcPr>
            <w:tcW w:w="780" w:type="dxa"/>
            <w:vAlign w:val="bottom"/>
            <w:vMerge w:val="restart"/>
          </w:tcPr>
          <w:p>
            <w:pPr>
              <w:jc w:val="right"/>
              <w:ind w:right="72"/>
              <w:spacing w:after="0"/>
              <w:rPr>
                <w:sz w:val="20"/>
                <w:szCs w:val="20"/>
                <w:color w:val="auto"/>
              </w:rPr>
            </w:pPr>
            <w:r>
              <w:rPr>
                <w:rFonts w:ascii="Times New Roman" w:cs="Times New Roman" w:eastAsia="Times New Roman" w:hAnsi="Times New Roman"/>
                <w:sz w:val="17"/>
                <w:szCs w:val="17"/>
                <w:color w:val="0000FF"/>
              </w:rPr>
              <w:t>67,728</w:t>
            </w:r>
          </w:p>
        </w:tc>
        <w:tc>
          <w:tcPr>
            <w:tcW w:w="3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w w:val="81"/>
              </w:rPr>
              <w:t>A</w:t>
            </w:r>
          </w:p>
        </w:tc>
        <w:tc>
          <w:tcPr>
            <w:tcW w:w="820" w:type="dxa"/>
            <w:vAlign w:val="bottom"/>
            <w:vMerge w:val="restart"/>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23.07</w:t>
            </w:r>
          </w:p>
        </w:tc>
        <w:tc>
          <w:tcPr>
            <w:tcW w:w="40" w:type="dxa"/>
            <w:vAlign w:val="bottom"/>
          </w:tcPr>
          <w:p>
            <w:pPr>
              <w:spacing w:after="0"/>
              <w:rPr>
                <w:sz w:val="21"/>
                <w:szCs w:val="21"/>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362,963</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100" w:type="dxa"/>
            <w:vAlign w:val="bottom"/>
            <w:tcBorders>
              <w:top w:val="single" w:sz="8" w:color="2C2C2C"/>
            </w:tcBorders>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04/01/2024</w:t>
            </w:r>
          </w:p>
        </w:tc>
        <w:tc>
          <w:tcPr>
            <w:tcW w:w="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(2)</w:t>
            </w:r>
          </w:p>
        </w:tc>
        <w:tc>
          <w:tcPr>
            <w:tcW w:w="4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right"/>
              <w:ind w:right="32"/>
              <w:spacing w:after="0"/>
              <w:rPr>
                <w:sz w:val="20"/>
                <w:szCs w:val="20"/>
                <w:color w:val="auto"/>
              </w:rPr>
            </w:pPr>
            <w:r>
              <w:rPr>
                <w:rFonts w:ascii="Times New Roman" w:cs="Times New Roman" w:eastAsia="Times New Roman" w:hAnsi="Times New Roman"/>
                <w:sz w:val="17"/>
                <w:szCs w:val="17"/>
                <w:color w:val="0000FF"/>
              </w:rPr>
              <w:t>320,872</w:t>
            </w:r>
          </w:p>
        </w:tc>
        <w:tc>
          <w:tcPr>
            <w:tcW w:w="32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7"/>
                <w:szCs w:val="17"/>
                <w:color w:val="0000FF"/>
                <w:w w:val="81"/>
              </w:rPr>
              <w:t>D</w:t>
            </w:r>
          </w:p>
        </w:tc>
        <w:tc>
          <w:tcPr>
            <w:tcW w:w="820" w:type="dxa"/>
            <w:vAlign w:val="bottom"/>
            <w:tcBorders>
              <w:top w:val="single" w:sz="8" w:color="2C2C2C"/>
            </w:tcBorders>
            <w:vMerge w:val="restart"/>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23.07</w:t>
            </w:r>
          </w:p>
        </w:tc>
        <w:tc>
          <w:tcPr>
            <w:tcW w:w="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0000FF"/>
              </w:rPr>
              <w:t>42,091</w:t>
            </w:r>
          </w:p>
        </w:tc>
        <w:tc>
          <w:tcPr>
            <w:tcW w:w="920" w:type="dxa"/>
            <w:vAlign w:val="bottom"/>
            <w:tcBorders>
              <w:top w:val="single" w:sz="8" w:color="2C2C2C"/>
            </w:tcBorders>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(3)(4)(5)</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12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0" w:type="dxa"/>
            <w:vAlign w:val="bottom"/>
            <w:gridSpan w:val="18"/>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80" w:type="dxa"/>
            <w:vAlign w:val="bottom"/>
            <w:gridSpan w:val="16"/>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gridSpan w:val="2"/>
          </w:tcPr>
          <w:p>
            <w:pPr>
              <w:ind w:left="40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86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6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Global Infrastructure Investors III, LLC</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Zephyr Holdings GP, LLC</w:t>
              </w:r>
            </w:hyperlink>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34"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Global Infrastructure GP III,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-134620</wp:posOffset>
            </wp:positionV>
            <wp:extent cx="2809240" cy="69767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6976745"/>
                    </a:xfrm>
                    <a:prstGeom prst="rect">
                      <a:avLst/>
                    </a:prstGeom>
                    <a:noFill/>
                  </pic:spPr>
                </pic:pic>
              </a:graphicData>
            </a:graphic>
          </wp:anchor>
        </w:drawing>
      </w:r>
    </w:p>
    <w:p>
      <w:pPr>
        <w:spacing w:after="0" w:line="314"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18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18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GIP III Zephyr Midco Holdings,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18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18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GIP III Zephyr Acquisition Partners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Clearway Energy Group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4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withholding of shares to satisfy tax withholding obligations in connection with the vesting of restricted stock of the Issuer previously granted by Clearway Energy Group under its Long Term Equity Incentive Program to certain of its employees.</w:t>
      </w:r>
    </w:p>
    <w:p>
      <w:pPr>
        <w:spacing w:after="0" w:line="7" w:lineRule="exact"/>
        <w:rPr>
          <w:rFonts w:ascii="Times New Roman" w:cs="Times New Roman" w:eastAsia="Times New Roman" w:hAnsi="Times New Roman"/>
          <w:sz w:val="13"/>
          <w:szCs w:val="13"/>
          <w:color w:val="008000"/>
        </w:rPr>
      </w:pPr>
    </w:p>
    <w:p>
      <w:pPr>
        <w:ind w:left="20" w:right="4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grant of shares of restricted stock of the Issuer granted by Clearway Energy Group under its Long Term Equity Incentive Program to one or more of its employees. The Reporting Persons have agreed to voluntarily disgorge any profits deemed realized from such transactions to the Issuer.</w:t>
      </w:r>
    </w:p>
    <w:p>
      <w:pPr>
        <w:spacing w:after="0" w:line="7" w:lineRule="exact"/>
        <w:rPr>
          <w:rFonts w:ascii="Times New Roman" w:cs="Times New Roman" w:eastAsia="Times New Roman" w:hAnsi="Times New Roman"/>
          <w:sz w:val="13"/>
          <w:szCs w:val="13"/>
          <w:color w:val="008000"/>
        </w:rPr>
      </w:pPr>
    </w:p>
    <w:p>
      <w:pPr>
        <w:ind w:left="20" w:right="6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p>
      <w:pPr>
        <w:spacing w:after="0" w:line="24"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By: /s/  04/03/2024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61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  04/03/2024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0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Gregg Myers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5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4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30"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GIP III ZEPHYR MIDCO</w:t>
            </w:r>
          </w:p>
        </w:tc>
        <w:tc>
          <w:tcPr>
            <w:tcW w:w="36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0000FF"/>
              </w:rPr>
              <w:t>04/03/2024</w:t>
            </w:r>
          </w:p>
        </w:tc>
      </w:tr>
    </w:tbl>
    <w:p>
      <w:pPr>
        <w:sectPr>
          <w:pgSz w:w="11900" w:h="16838" w:orient="portrait"/>
          <w:cols w:equalWidth="0" w:num="1">
            <w:col w:w="10900"/>
          </w:cols>
          <w:pgMar w:left="480" w:top="111" w:right="519" w:bottom="0" w:gutter="0" w:footer="0" w:header="0"/>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HOLDINGS,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17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Infrastructure GP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90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60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Infrastructure Investors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07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0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52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696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93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By: 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9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87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GROUP LLC By: /s/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23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Name: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93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Title: VP,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Operations &amp;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99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1440"/>
          </w:cols>
          <w:pgMar w:left="500" w:top="12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2977" TargetMode="External"/><Relationship Id="rId16" Type="http://schemas.openxmlformats.org/officeDocument/2006/relationships/hyperlink" Target="http://www.sec.gov/cgi-bin/browse-edgar?action=getcompany&amp;CIK=0001747185" TargetMode="External"/><Relationship Id="rId18" Type="http://schemas.openxmlformats.org/officeDocument/2006/relationships/hyperlink" Target="http://www.sec.gov/cgi-bin/browse-edgar?action=getcompany&amp;CIK=0001945888" TargetMode="External"/><Relationship Id="rId19" Type="http://schemas.openxmlformats.org/officeDocument/2006/relationships/hyperlink" Target="http://www.sec.gov/cgi-bin/browse-edgar?action=getcompany&amp;CIK=0001752556" TargetMode="External"/><Relationship Id="rId20"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2024-04-03T15:35:53Z</dcterms:created>
  <dcterms:modified xsi:type="dcterms:W3CDTF">2024-04-03T15:35:53Z</dcterms:modified>
</cp:coreProperties>
</file>