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 2021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0" w:lineRule="exact"/>
        <w:rPr>
          <w:sz w:val="24"/>
          <w:szCs w:val="24"/>
          <w:color w:val="auto"/>
        </w:rPr>
      </w:pPr>
    </w:p>
    <w:tbl>
      <w:tblPr>
        <w:tblLayout w:type="fixed"/>
        <w:tblInd w:w="300" w:type="dxa"/>
        <w:tblCellMar>
          <w:top w:w="0" w:type="dxa"/>
          <w:left w:w="0" w:type="dxa"/>
          <w:bottom w:w="0" w:type="dxa"/>
          <w:right w:w="0" w:type="dxa"/>
        </w:tblCellMar>
      </w:tblPr>
      <w:tr>
        <w:trPr>
          <w:trHeight w:val="261"/>
        </w:trPr>
        <w:tc>
          <w:tcPr>
            <w:tcW w:w="3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89"/>
        </w:trPr>
        <w:tc>
          <w:tcPr>
            <w:tcW w:w="368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3"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3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right="2940" w:firstLine="48"/>
        <w:spacing w:after="0" w:line="2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388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7"/>
              </w:rPr>
              <w:t>CWEN.A</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4"/>
              </w:rPr>
              <w:t>CWEN</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bl>
    <w:p>
      <w:pPr>
        <w:spacing w:after="0" w:line="310"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8"/>
          <w:szCs w:val="18"/>
          <w:color w:val="auto"/>
        </w:rPr>
        <w:t xml:space="preserve">On August 3, 2021, Clearway Energy, Inc. issued a press release announcing its financial results for the quarter ended June 30, 2021. A copy of the press release is furnished as Exhibit 99.1 to this report on Form 8-K and is hereby incorporated by reference. </w:t>
      </w:r>
      <w:r>
        <w:rPr>
          <w:rFonts w:ascii="Arial" w:cs="Arial" w:eastAsia="Arial" w:hAnsi="Arial"/>
          <w:sz w:val="18"/>
          <w:szCs w:val="18"/>
          <w:color w:val="212529"/>
        </w:rPr>
        <w:t>In accordance with General Instruction B.2 of</w:t>
      </w:r>
      <w:r>
        <w:rPr>
          <w:rFonts w:ascii="Arial" w:cs="Arial" w:eastAsia="Arial" w:hAnsi="Arial"/>
          <w:sz w:val="18"/>
          <w:szCs w:val="18"/>
          <w:color w:val="auto"/>
        </w:rPr>
        <w:t xml:space="preserve"> </w:t>
      </w:r>
      <w:r>
        <w:rPr>
          <w:rFonts w:ascii="Arial" w:cs="Arial" w:eastAsia="Arial" w:hAnsi="Arial"/>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212529"/>
        </w:rPr>
        <w:t>In accordance with General Instruction B.2 of Form 8-K, the information set forth in the attached exhibit is deemed to be furnished and shall not</w:t>
      </w:r>
    </w:p>
    <w:p>
      <w:pPr>
        <w:spacing w:after="0" w:line="46" w:lineRule="exact"/>
        <w:rPr>
          <w:sz w:val="20"/>
          <w:szCs w:val="20"/>
          <w:color w:val="auto"/>
        </w:rPr>
      </w:pPr>
    </w:p>
    <w:p>
      <w:pPr>
        <w:spacing w:after="0"/>
        <w:tabs>
          <w:tab w:leader="none" w:pos="660" w:val="left"/>
          <w:tab w:leader="none" w:pos="1740" w:val="left"/>
          <w:tab w:leader="none" w:pos="2380" w:val="left"/>
          <w:tab w:leader="none" w:pos="3060" w:val="left"/>
          <w:tab w:leader="none" w:pos="4060" w:val="left"/>
          <w:tab w:leader="none" w:pos="4760" w:val="left"/>
          <w:tab w:leader="none" w:pos="5920" w:val="left"/>
          <w:tab w:leader="none" w:pos="6580" w:val="left"/>
          <w:tab w:leader="none" w:pos="7620" w:val="left"/>
          <w:tab w:leader="none" w:pos="8300" w:val="left"/>
          <w:tab w:leader="none" w:pos="8960" w:val="left"/>
          <w:tab w:leader="none" w:pos="9700" w:val="left"/>
          <w:tab w:leader="none" w:pos="10900" w:val="left"/>
        </w:tabs>
        <w:rPr>
          <w:sz w:val="20"/>
          <w:szCs w:val="20"/>
          <w:color w:val="auto"/>
        </w:rPr>
      </w:pPr>
      <w:r>
        <w:rPr>
          <w:rFonts w:ascii="Arial" w:cs="Arial" w:eastAsia="Arial" w:hAnsi="Arial"/>
          <w:sz w:val="18"/>
          <w:szCs w:val="18"/>
          <w:color w:val="212529"/>
        </w:rPr>
        <w:t>be</w:t>
      </w:r>
      <w:r>
        <w:rPr>
          <w:sz w:val="20"/>
          <w:szCs w:val="20"/>
          <w:color w:val="auto"/>
        </w:rPr>
        <w:tab/>
      </w:r>
      <w:r>
        <w:rPr>
          <w:rFonts w:ascii="Arial" w:cs="Arial" w:eastAsia="Arial" w:hAnsi="Arial"/>
          <w:sz w:val="18"/>
          <w:szCs w:val="18"/>
          <w:color w:val="212529"/>
        </w:rPr>
        <w:t>deemed</w:t>
      </w:r>
      <w:r>
        <w:rPr>
          <w:sz w:val="20"/>
          <w:szCs w:val="20"/>
          <w:color w:val="auto"/>
        </w:rPr>
        <w:tab/>
      </w:r>
      <w:r>
        <w:rPr>
          <w:rFonts w:ascii="Arial" w:cs="Arial" w:eastAsia="Arial" w:hAnsi="Arial"/>
          <w:sz w:val="18"/>
          <w:szCs w:val="18"/>
          <w:color w:val="212529"/>
        </w:rPr>
        <w:t>to</w:t>
      </w:r>
      <w:r>
        <w:rPr>
          <w:sz w:val="20"/>
          <w:szCs w:val="20"/>
          <w:color w:val="auto"/>
        </w:rPr>
        <w:tab/>
      </w:r>
      <w:r>
        <w:rPr>
          <w:rFonts w:ascii="Arial" w:cs="Arial" w:eastAsia="Arial" w:hAnsi="Arial"/>
          <w:sz w:val="18"/>
          <w:szCs w:val="18"/>
          <w:color w:val="212529"/>
        </w:rPr>
        <w:t>be</w:t>
      </w:r>
      <w:r>
        <w:rPr>
          <w:sz w:val="20"/>
          <w:szCs w:val="20"/>
          <w:color w:val="auto"/>
        </w:rPr>
        <w:tab/>
      </w:r>
      <w:r>
        <w:rPr>
          <w:rFonts w:ascii="Arial" w:cs="Arial" w:eastAsia="Arial" w:hAnsi="Arial"/>
          <w:sz w:val="18"/>
          <w:szCs w:val="18"/>
          <w:color w:val="212529"/>
        </w:rPr>
        <w:t>“filed”</w:t>
      </w:r>
      <w:r>
        <w:rPr>
          <w:sz w:val="20"/>
          <w:szCs w:val="20"/>
          <w:color w:val="auto"/>
        </w:rPr>
        <w:tab/>
      </w:r>
      <w:r>
        <w:rPr>
          <w:rFonts w:ascii="Arial" w:cs="Arial" w:eastAsia="Arial" w:hAnsi="Arial"/>
          <w:sz w:val="18"/>
          <w:szCs w:val="18"/>
          <w:color w:val="212529"/>
        </w:rPr>
        <w:t>for</w:t>
      </w:r>
      <w:r>
        <w:rPr>
          <w:sz w:val="20"/>
          <w:szCs w:val="20"/>
          <w:color w:val="auto"/>
        </w:rPr>
        <w:tab/>
      </w:r>
      <w:r>
        <w:rPr>
          <w:rFonts w:ascii="Arial" w:cs="Arial" w:eastAsia="Arial" w:hAnsi="Arial"/>
          <w:sz w:val="18"/>
          <w:szCs w:val="18"/>
          <w:color w:val="212529"/>
        </w:rPr>
        <w:t>purposes</w:t>
      </w:r>
      <w:r>
        <w:rPr>
          <w:sz w:val="20"/>
          <w:szCs w:val="20"/>
          <w:color w:val="auto"/>
        </w:rPr>
        <w:tab/>
      </w:r>
      <w:r>
        <w:rPr>
          <w:rFonts w:ascii="Arial" w:cs="Arial" w:eastAsia="Arial" w:hAnsi="Arial"/>
          <w:sz w:val="18"/>
          <w:szCs w:val="18"/>
          <w:color w:val="212529"/>
        </w:rPr>
        <w:t>of</w:t>
      </w:r>
      <w:r>
        <w:rPr>
          <w:sz w:val="20"/>
          <w:szCs w:val="20"/>
          <w:color w:val="auto"/>
        </w:rPr>
        <w:tab/>
      </w:r>
      <w:r>
        <w:rPr>
          <w:rFonts w:ascii="Arial" w:cs="Arial" w:eastAsia="Arial" w:hAnsi="Arial"/>
          <w:sz w:val="18"/>
          <w:szCs w:val="18"/>
          <w:color w:val="212529"/>
        </w:rPr>
        <w:t>Section</w:t>
      </w:r>
      <w:r>
        <w:rPr>
          <w:sz w:val="20"/>
          <w:szCs w:val="20"/>
          <w:color w:val="auto"/>
        </w:rPr>
        <w:tab/>
      </w:r>
      <w:r>
        <w:rPr>
          <w:rFonts w:ascii="Arial" w:cs="Arial" w:eastAsia="Arial" w:hAnsi="Arial"/>
          <w:sz w:val="18"/>
          <w:szCs w:val="18"/>
          <w:color w:val="212529"/>
        </w:rPr>
        <w:t>18</w:t>
      </w:r>
      <w:r>
        <w:rPr>
          <w:sz w:val="20"/>
          <w:szCs w:val="20"/>
          <w:color w:val="auto"/>
        </w:rPr>
        <w:tab/>
      </w:r>
      <w:r>
        <w:rPr>
          <w:rFonts w:ascii="Arial" w:cs="Arial" w:eastAsia="Arial" w:hAnsi="Arial"/>
          <w:sz w:val="18"/>
          <w:szCs w:val="18"/>
          <w:color w:val="212529"/>
        </w:rPr>
        <w:t>of</w:t>
      </w:r>
      <w:r>
        <w:rPr>
          <w:sz w:val="20"/>
          <w:szCs w:val="20"/>
          <w:color w:val="auto"/>
        </w:rPr>
        <w:tab/>
      </w:r>
      <w:r>
        <w:rPr>
          <w:rFonts w:ascii="Arial" w:cs="Arial" w:eastAsia="Arial" w:hAnsi="Arial"/>
          <w:sz w:val="18"/>
          <w:szCs w:val="18"/>
          <w:color w:val="212529"/>
        </w:rPr>
        <w:t>the</w:t>
      </w:r>
      <w:r>
        <w:rPr>
          <w:sz w:val="20"/>
          <w:szCs w:val="20"/>
          <w:color w:val="auto"/>
        </w:rPr>
        <w:tab/>
      </w:r>
      <w:r>
        <w:rPr>
          <w:rFonts w:ascii="Arial" w:cs="Arial" w:eastAsia="Arial" w:hAnsi="Arial"/>
          <w:sz w:val="18"/>
          <w:szCs w:val="18"/>
          <w:color w:val="212529"/>
        </w:rPr>
        <w:t>Exchange</w:t>
      </w:r>
      <w:r>
        <w:rPr>
          <w:sz w:val="20"/>
          <w:szCs w:val="20"/>
          <w:color w:val="auto"/>
        </w:rPr>
        <w:tab/>
      </w:r>
      <w:r>
        <w:rPr>
          <w:rFonts w:ascii="Arial" w:cs="Arial" w:eastAsia="Arial" w:hAnsi="Arial"/>
          <w:sz w:val="18"/>
          <w:szCs w:val="18"/>
          <w:color w:val="212529"/>
        </w:rPr>
        <w:t>Act.</w:t>
      </w:r>
    </w:p>
    <w:p>
      <w:pPr>
        <w:sectPr>
          <w:pgSz w:w="11900" w:h="16838" w:orient="portrait"/>
          <w:cols w:equalWidth="0" w:num="1">
            <w:col w:w="11240"/>
          </w:cols>
          <w:pgMar w:left="320" w:top="1296" w:right="339" w:bottom="1440" w:gutter="0" w:footer="0" w:header="0"/>
        </w:sectPr>
      </w:pPr>
    </w:p>
    <w:p>
      <w:pPr>
        <w:spacing w:after="0" w:line="20"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6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99.1</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17145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August 3, 2021</w:t>
        </w:r>
      </w:hyperlink>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22" w:lineRule="exact"/>
        <w:rPr>
          <w:sz w:val="20"/>
          <w:szCs w:val="20"/>
          <w:color w:val="auto"/>
        </w:rPr>
      </w:pPr>
    </w:p>
    <w:p>
      <w:pPr>
        <w:sectPr>
          <w:pgSz w:w="11900" w:h="16838" w:orient="portrait"/>
          <w:cols w:equalWidth="0" w:num="2">
            <w:col w:w="2400" w:space="720"/>
            <w:col w:w="8120"/>
          </w:cols>
          <w:pgMar w:left="320" w:top="1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222"/>
        </w:trPr>
        <w:tc>
          <w:tcPr>
            <w:tcW w:w="5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Kevin P. Malcarney</w:t>
            </w:r>
          </w:p>
        </w:tc>
      </w:tr>
      <w:tr>
        <w:trPr>
          <w:trHeight w:val="230"/>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Second Quarter 2021 Financial Results</w:t>
      </w:r>
    </w:p>
    <w:p>
      <w:pPr>
        <w:spacing w:after="0" w:line="2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18"/>
          <w:szCs w:val="18"/>
          <w:b w:val="1"/>
          <w:bCs w:val="1"/>
          <w:color w:val="auto"/>
        </w:rPr>
        <w:t>2Q21 results in-line with seasonal expectations</w:t>
      </w:r>
    </w:p>
    <w:p>
      <w:pPr>
        <w:spacing w:after="0" w:line="1" w:lineRule="exact"/>
        <w:rPr>
          <w:rFonts w:ascii="Arial" w:cs="Arial" w:eastAsia="Arial" w:hAnsi="Arial"/>
          <w:sz w:val="22"/>
          <w:szCs w:val="22"/>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Committed investments with 2H21 COD targets remain on track for closing by year end</w:t>
      </w:r>
    </w:p>
    <w:p>
      <w:pPr>
        <w:spacing w:after="0" w:line="10"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Maintaining 2021 CAFD guidance and pro forma CAFD outlook</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Increasing the quarterly dividend by 1.7% to $0.3345 per share in the third quarter of 2021; On track to achieve the upper end of 5-8% annual growth target by year end</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3, 2021</w:t>
      </w:r>
      <w:r>
        <w:rPr>
          <w:rFonts w:ascii="Arial" w:cs="Arial" w:eastAsia="Arial" w:hAnsi="Arial"/>
          <w:sz w:val="18"/>
          <w:szCs w:val="18"/>
          <w:color w:val="auto"/>
        </w:rPr>
        <w:t>— Clearway Energy, Inc. (NYSE: CWEN, CWEN.A) today reported second quarter 2021 financial results,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of $32 million, Adjusted EBITDA of $365 million, Cash from Operating Activities of $194 million, and Cash Available for Distribution (CAFD) of $155 million.</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"Clearway’s near-term outlook remains on track as the Company’s diversified platform delivered second quarter financial results in-line with seasonal expectations. Additionally, our sponsor, Clearway Group remains on target to have the remaining 2021 construction projects achieve COD by the end of the year," said Christopher Sotos, Clearway Energy, Inc.’s President and Chief Executive Officer. "In regard to the Company’s long-term outlook, we continue to focus on the re-contracting of the California natural gas assets with further progress expected in the third quarter. We also continue to partner with our sponsor on setting the foundation for future growth investments and are pleased to see further advancement on the next co-investment opportunity of an over 1 GW portfolio of wind and solar projects as well as an expansion in its renewable development pipeline by over 6 GW since last quarter. Clearway continues to be well positioned to achieve its 5% to 8% annual dividend growth objective over the long-term.”</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Table 1: Net Income/(Loss)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2"/>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6/30/21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6/30/20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6/30/21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6/30/20</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9"/>
              </w:rPr>
              <w:t>73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Arial" w:cs="Arial" w:eastAsia="Arial" w:hAnsi="Arial"/>
                <w:sz w:val="18"/>
                <w:szCs w:val="18"/>
                <w:color w:val="auto"/>
                <w:w w:val="93"/>
              </w:rPr>
              <w:t>(29)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Arial" w:cs="Arial" w:eastAsia="Arial" w:hAnsi="Arial"/>
                <w:sz w:val="18"/>
                <w:szCs w:val="18"/>
                <w:color w:val="auto"/>
                <w:w w:val="93"/>
              </w:rPr>
              <w:t>(98)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3"/>
              </w:rPr>
              <w:t>(44)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Table 2: Adjusted EBITDA</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2"/>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Pr>
          <w:p>
            <w:pPr>
              <w:spacing w:after="0"/>
              <w:rPr>
                <w:sz w:val="21"/>
                <w:szCs w:val="21"/>
                <w:color w:val="auto"/>
              </w:rPr>
            </w:pP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6/30/21</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6/30/20</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6/30/21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6/30/20</w:t>
            </w:r>
          </w:p>
        </w:tc>
        <w:tc>
          <w:tcPr>
            <w:tcW w:w="360" w:type="dxa"/>
            <w:vAlign w:val="bottom"/>
          </w:tcPr>
          <w:p>
            <w:pPr>
              <w:spacing w:after="0"/>
              <w:rPr>
                <w:sz w:val="20"/>
                <w:szCs w:val="20"/>
                <w:color w:val="auto"/>
              </w:rPr>
            </w:pP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360</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340</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(14)</w:t>
            </w:r>
          </w:p>
        </w:tc>
      </w:tr>
      <w:tr>
        <w:trPr>
          <w:trHeight w:val="223"/>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563</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6/30/21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6/30/20</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50"/>
        </w:trPr>
        <w:tc>
          <w:tcPr>
            <w:tcW w:w="432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1"/>
                <w:szCs w:val="21"/>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second quarter of 2021, the Company reported Net Income of $32 million, Adjusted EBITDA of $365 million, Cash from Operating Activities of $194 million, and CAFD of $155 million. Net Income decreased versus the second quarter of 2020 primarily due to the one-time gain from the divestiture of the Company's residential solar portfolio in the second quarter of 2020. Adjusted EBITDA results in the second quarter of 2021 were higher than 2020 primarily due to the contribution from growth investments, improved renewable energy conditions primarily on the west coast versus last year, and higher volumetric sales at the Thermal segment. In the second quarter of 2021, CAFD results were higher than 2020 primarily due to the Adjusted EBITDA results and the timing of corporate interest payments from the March 2021 refinancing of the 2025 Senior Notes and issuance of 2031 Senior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Due to the COVID-19 pandemic, the Company has implemented measures and developed corporate and regional response plans to protect its employees and to maintain safe and reliable operations at its facilities. The Company does not currently anticipate any material impact to its financial conditions resulting from the pandemic, however it has seen some degradation in volumetric sales on a weather normalized basis at certain Thermal locations. The Company continues to anticipate that there will be lower volumetric sales on a weather normalized basis at the Thermal segment through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Operational Performance</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2"/>
        </w:trPr>
        <w:tc>
          <w:tcPr>
            <w:tcW w:w="424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00" w:type="dxa"/>
            <w:vAlign w:val="bottom"/>
            <w:gridSpan w:val="4"/>
          </w:tcPr>
          <w:p>
            <w:pPr>
              <w:ind w:left="820"/>
              <w:spacing w:after="0"/>
              <w:rPr>
                <w:sz w:val="20"/>
                <w:szCs w:val="20"/>
                <w:color w:val="auto"/>
              </w:rPr>
            </w:pPr>
            <w:r>
              <w:rPr>
                <w:rFonts w:ascii="Arial" w:cs="Arial" w:eastAsia="Arial" w:hAnsi="Arial"/>
                <w:sz w:val="18"/>
                <w:szCs w:val="18"/>
                <w:b w:val="1"/>
                <w:bCs w:val="1"/>
                <w:color w:val="auto"/>
              </w:rPr>
              <w:t>Three Months Ended</w:t>
            </w:r>
          </w:p>
        </w:tc>
        <w:tc>
          <w:tcPr>
            <w:tcW w:w="334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0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6/30/21</w:t>
            </w: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6/30/20</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6/30/21</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6/30/20</w:t>
            </w:r>
          </w:p>
        </w:tc>
      </w:tr>
      <w:tr>
        <w:trPr>
          <w:trHeight w:val="250"/>
        </w:trPr>
        <w:tc>
          <w:tcPr>
            <w:tcW w:w="408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Conventional Equivalent Availability Factor</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97.2 %</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90.2 %</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92.0 %</w:t>
            </w:r>
          </w:p>
        </w:tc>
      </w:tr>
      <w:tr>
        <w:trPr>
          <w:trHeight w:val="256"/>
        </w:trPr>
        <w:tc>
          <w:tcPr>
            <w:tcW w:w="42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5,900</w:t>
            </w:r>
          </w:p>
        </w:tc>
        <w:tc>
          <w:tcPr>
            <w:tcW w:w="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3,934</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second quarter of 2021, availability at the Conventional segment was higher than the second quarter of 2020 primarily due to the timing of outages in 2020. Generation in the Renewables segment during the second quarter of 2021 was 50% higher than the second quarter of 2020 primarily due to the execution of growth investments and improved renewable energy conditions on the west coast during the second quarter of 2021. These growth investments included the acquisition of the 35% interest in Agua Caliente and the additional interest in the Distributed Generation partnerships where results for both are now consolidated due to the resulting change in ownership. Thermal generation sold was 16% higher during the second quarter of 2021 versus last year primarily due to favorable weather conditions for the segment and the effects of the COVID-19 pandemic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8" w:lineRule="exact"/>
        <w:rPr>
          <w:sz w:val="20"/>
          <w:szCs w:val="20"/>
          <w:color w:val="auto"/>
        </w:rPr>
      </w:pPr>
    </w:p>
    <w:p>
      <w:pPr>
        <w:ind w:right="180" w:firstLine="8"/>
        <w:spacing w:after="0" w:line="201"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Includes adjustments to reflect CAFD generated by unconsolidated investments that were not able to distribute project dividends prior to PG&amp;E's emergence from bankruptcy on July 1, 2020 and subsequent release post-bankruptcy</w:t>
      </w:r>
    </w:p>
    <w:p>
      <w:pPr>
        <w:spacing w:after="0" w:line="1" w:lineRule="exact"/>
        <w:rPr>
          <w:rFonts w:ascii="Arial" w:cs="Arial" w:eastAsia="Arial" w:hAnsi="Arial"/>
          <w:sz w:val="23"/>
          <w:szCs w:val="23"/>
          <w:color w:val="auto"/>
          <w:vertAlign w:val="superscript"/>
        </w:rPr>
      </w:pPr>
    </w:p>
    <w:p>
      <w:pPr>
        <w:spacing w:after="0" w:line="184"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Excludes unconsolidated projects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Generation sold excludes MWh that are reimbursable for economic curtailment</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 party equity investors, the Company recorded a reduction of approximately $50 million in revenue in the first quarter of 2021 to settle obligations for wind facilities during the extreme weather conditions. After factoring in third party equity investor contributions, the cash impact during the first quarter of 2021 was approximately $25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2"/>
                <w:szCs w:val="22"/>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6/30/2021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12/31/2020</w:t>
            </w: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22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accounts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liquidity as of June 30, 2021 was $810 million, which was $84 million lower than as of December 31, 2020 primarily due to the execution of growth investments and the redemption of the 2025 Senior Notes. This was partially offset by the issuance of the 2031 Senior Notes.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$332 million</w:t>
      </w:r>
      <w:r>
        <w:rPr>
          <w:rFonts w:ascii="Arial" w:cs="Arial" w:eastAsia="Arial" w:hAnsi="Arial"/>
          <w:sz w:val="18"/>
          <w:szCs w:val="18"/>
          <w:color w:val="231F20"/>
        </w:rPr>
        <w:t xml:space="preserve"> of restricted cash as of June 30, 2021.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June 30, 2021, these restricted funds were</w:t>
      </w:r>
      <w:r>
        <w:rPr>
          <w:rFonts w:ascii="Arial" w:cs="Arial" w:eastAsia="Arial" w:hAnsi="Arial"/>
          <w:sz w:val="18"/>
          <w:szCs w:val="18"/>
          <w:color w:val="231F20"/>
        </w:rPr>
        <w:t xml:space="preserve"> </w:t>
      </w:r>
      <w:r>
        <w:rPr>
          <w:rFonts w:ascii="Arial" w:cs="Arial" w:eastAsia="Arial" w:hAnsi="Arial"/>
          <w:sz w:val="18"/>
          <w:szCs w:val="18"/>
          <w:color w:val="000000"/>
        </w:rPr>
        <w:t>comprised of $131 million designated to fund operating expenses, approximately $38 million designated for current debt service payments, and $130 million of reserves for debt service, performance obligations and other items including capital expenditures. The remaining $33 million is held in distribution reserve accounts.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availability under the revolving credit facility, which stands at $420 million as of July 30, 2021, asset dispositions, and, subject to market conditions, new corporate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Equity Partnership in a 1.6 GW Portfolio</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2020, the Company announced agreements providing for Clearway’s co-investment in a 1,204 MW portfolio of renewable energy projects developed by Clearway Group (CEG) consisting of i) 1,012 MW from five geographically diversified wind, solar, and solar plus storage assets under development and ii) the 192 MW Rosamond Central solar project which commenced operations in early 2021. Additionally, the parties amended the existing partnership agreement for the 419 MW Mesquite Star wind project providing the Company an additional 27.51% of the project’s cash flows after the first half of 2031. Approximately 90% of the generation from the projects are contracted with a diverse group of primarily investment grade counterparties and the portfolio has a greater than 14-year blended average contract length. Subject to closing adjustments and the projects achieving certain milestones, the Company now expects to invest approximately $238 million in net corporate capital by the first half of 2023 of which the Company has funded $19 million to date, which is inclusive of a purchase price adjustment of $5 million received concurrent with a partnership agreement amendment for the additional interest in Mesquite Star. Based on the current expected timing of the projects achieving COD, the Company expects, before corporate financing costs, the asset CAFD contribution from the investments to be immaterial in 2021, approximately $9 million in 2022, and $22 million on a 5-year average basis beginning on January 1, 2023.</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3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04"/>
        </w:trPr>
        <w:tc>
          <w:tcPr>
            <w:tcW w:w="3380" w:type="dxa"/>
            <w:vAlign w:val="bottom"/>
          </w:tcPr>
          <w:p>
            <w:pPr>
              <w:spacing w:after="0"/>
              <w:rPr>
                <w:sz w:val="20"/>
                <w:szCs w:val="20"/>
                <w:color w:val="auto"/>
              </w:rPr>
            </w:pPr>
            <w:r>
              <w:rPr>
                <w:rFonts w:ascii="Arial" w:cs="Arial" w:eastAsia="Arial" w:hAnsi="Arial"/>
                <w:sz w:val="18"/>
                <w:szCs w:val="18"/>
                <w:color w:val="auto"/>
              </w:rPr>
              <w:t>The assets in the partnership include:</w:t>
            </w:r>
            <w:r>
              <w:rPr>
                <w:rFonts w:ascii="Arial" w:cs="Arial" w:eastAsia="Arial" w:hAnsi="Arial"/>
                <w:sz w:val="23"/>
                <w:szCs w:val="23"/>
                <w:color w:val="FFFFFF"/>
                <w:vertAlign w:val="superscript"/>
              </w:rPr>
              <w:t>4,5</w:t>
            </w:r>
          </w:p>
        </w:tc>
        <w:tc>
          <w:tcPr>
            <w:tcW w:w="196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CWEN Cash</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2"/>
              </w:rPr>
              <w:t>Target Financial</w:t>
            </w:r>
          </w:p>
        </w:tc>
        <w:tc>
          <w:tcPr>
            <w:tcW w:w="0" w:type="dxa"/>
            <w:vAlign w:val="bottom"/>
          </w:tcPr>
          <w:p>
            <w:pPr>
              <w:spacing w:after="0"/>
              <w:rPr>
                <w:sz w:val="1"/>
                <w:szCs w:val="1"/>
                <w:color w:val="auto"/>
              </w:rPr>
            </w:pPr>
          </w:p>
        </w:tc>
      </w:tr>
      <w:tr>
        <w:trPr>
          <w:trHeight w:val="107"/>
        </w:trPr>
        <w:tc>
          <w:tcPr>
            <w:tcW w:w="338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Asset</w:t>
            </w:r>
          </w:p>
        </w:tc>
        <w:tc>
          <w:tcPr>
            <w:tcW w:w="19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Project Type</w:t>
            </w:r>
          </w:p>
        </w:tc>
        <w:tc>
          <w:tcPr>
            <w:tcW w:w="1800" w:type="dxa"/>
            <w:vAlign w:val="bottom"/>
            <w:vMerge w:val="continue"/>
          </w:tcPr>
          <w:p>
            <w:pPr>
              <w:spacing w:after="0"/>
              <w:rPr>
                <w:sz w:val="9"/>
                <w:szCs w:val="9"/>
                <w:color w:val="auto"/>
              </w:rPr>
            </w:pPr>
          </w:p>
        </w:tc>
        <w:tc>
          <w:tcPr>
            <w:tcW w:w="12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MW</w:t>
            </w:r>
            <w:r>
              <w:rPr>
                <w:rFonts w:ascii="Arial" w:cs="Arial" w:eastAsia="Arial" w:hAnsi="Arial"/>
                <w:sz w:val="23"/>
                <w:szCs w:val="23"/>
                <w:b w:val="1"/>
                <w:bCs w:val="1"/>
                <w:color w:val="auto"/>
                <w:vertAlign w:val="superscript"/>
              </w:rPr>
              <w:t>4</w:t>
            </w:r>
          </w:p>
        </w:tc>
        <w:tc>
          <w:tcPr>
            <w:tcW w:w="11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0"/>
              </w:rPr>
              <w:t>State</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Allocation</w:t>
            </w:r>
          </w:p>
        </w:tc>
        <w:tc>
          <w:tcPr>
            <w:tcW w:w="12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Additional Interest in Mesquite Star</w:t>
            </w:r>
            <w:r>
              <w:rPr>
                <w:rFonts w:ascii="Arial" w:cs="Arial" w:eastAsia="Arial" w:hAnsi="Arial"/>
                <w:sz w:val="23"/>
                <w:szCs w:val="23"/>
                <w:color w:val="auto"/>
                <w:vertAlign w:val="superscript"/>
              </w:rPr>
              <w:t>5</w:t>
            </w:r>
          </w:p>
        </w:tc>
        <w:tc>
          <w:tcPr>
            <w:tcW w:w="19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Utility Wind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419</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TX</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Rosamond Central</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0"/>
              </w:rPr>
              <w:t>Solar</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3"/>
              </w:rPr>
              <w:t>192</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5"/>
              </w:rPr>
              <w:t>CA</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Mesquite Sky</w:t>
            </w:r>
          </w:p>
        </w:tc>
        <w:tc>
          <w:tcPr>
            <w:tcW w:w="19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Utility Wind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345</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TX</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2H21</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Black Rock</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99"/>
              </w:rPr>
              <w:t>Utility Wind</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86"/>
              </w:rPr>
              <w:t>115</w:t>
            </w:r>
          </w:p>
        </w:tc>
        <w:tc>
          <w:tcPr>
            <w:tcW w:w="1140" w:type="dxa"/>
            <w:vAlign w:val="bottom"/>
          </w:tcPr>
          <w:p>
            <w:pPr>
              <w:jc w:val="center"/>
              <w:ind w:left="150"/>
              <w:spacing w:after="0"/>
              <w:rPr>
                <w:sz w:val="20"/>
                <w:szCs w:val="20"/>
                <w:color w:val="auto"/>
              </w:rPr>
            </w:pPr>
            <w:r>
              <w:rPr>
                <w:rFonts w:ascii="Arial" w:cs="Arial" w:eastAsia="Arial" w:hAnsi="Arial"/>
                <w:sz w:val="18"/>
                <w:szCs w:val="18"/>
                <w:color w:val="auto"/>
              </w:rPr>
              <w:t>WV</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92"/>
              </w:rPr>
              <w:t>2H21</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Waiawa</w:t>
            </w:r>
          </w:p>
        </w:tc>
        <w:tc>
          <w:tcPr>
            <w:tcW w:w="19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Solar/Storage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36</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HI</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2H22</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Mililani</w:t>
            </w:r>
          </w:p>
        </w:tc>
        <w:tc>
          <w:tcPr>
            <w:tcW w:w="1960" w:type="dxa"/>
            <w:vAlign w:val="bottom"/>
          </w:tcPr>
          <w:p>
            <w:pPr>
              <w:jc w:val="center"/>
              <w:ind w:left="50"/>
              <w:spacing w:after="0"/>
              <w:rPr>
                <w:sz w:val="20"/>
                <w:szCs w:val="20"/>
                <w:color w:val="auto"/>
              </w:rPr>
            </w:pPr>
            <w:r>
              <w:rPr>
                <w:rFonts w:ascii="Arial" w:cs="Arial" w:eastAsia="Arial" w:hAnsi="Arial"/>
                <w:sz w:val="18"/>
                <w:szCs w:val="18"/>
                <w:color w:val="auto"/>
                <w:w w:val="89"/>
              </w:rPr>
              <w:t>Solar/Storage</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89"/>
              </w:rPr>
              <w:t>39</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rPr>
              <w:t>HI</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92"/>
              </w:rPr>
              <w:t>2H22</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Daggett Solar</w:t>
            </w:r>
          </w:p>
        </w:tc>
        <w:tc>
          <w:tcPr>
            <w:tcW w:w="19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Solar/Storage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482</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5"/>
              </w:rPr>
              <w:t>CA</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2H22/1H23</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Definitive agreements relating to the Daggett project remain subject to certain conditions and the review and approval by CWEN’s Independent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Pinnacle Wind Repowering</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26, 2021, the Company, through an indirect subsidiary, entered into an amended partnership agreement with CEG to repower the Pinnacle Wind Project, a 55 net MW wind facility located in Mineral County, WV. The amended agreement commits the Company to invest an estimated $67 million in net corporate capital, subject to closing adjustments. The existing Pinnacle Wind power purchase agreements will continue to run through 2031. Commercial operations and corporate capital funding for the Pinnacle Wind Repowering Partnership are expected to occur in the second half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Offer (ROFO) Amendment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 2021, the Clearway Group (CEG) ROFO Agreement was amended to remove the 100 MW Wildflower utility scale solar project from the ROFO pipeline.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23, 2021, Clearway Energy, Inc.’s Board of Directors declared a quarterly dividend on Class A and Class C common stock of $0.3345 per share payable on September 15, 2021, to stockholders of record as of September 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Clearway Energy, Inc.’s quarterly operating results are impacted by seasonal factors, as well as weather variability which can impact renewable energy resource and volumetric sales of steam and chilled water at the Thermal segment.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distributions from unconsolidated affiliates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MW capacity is subject to change prior to COD; excludes 328 MW/1,312 MWh of co-located storage assets at Daggett, Waiawa, and Mililani</w:t>
      </w:r>
    </w:p>
    <w:p>
      <w:pPr>
        <w:spacing w:after="0" w:line="34" w:lineRule="exact"/>
        <w:rPr>
          <w:sz w:val="20"/>
          <w:szCs w:val="20"/>
          <w:color w:val="auto"/>
        </w:rPr>
      </w:pPr>
    </w:p>
    <w:p>
      <w:pPr>
        <w:ind w:firstLine="8"/>
        <w:spacing w:after="0" w:line="201" w:lineRule="auto"/>
        <w:tabs>
          <w:tab w:leader="none" w:pos="103"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The 50% cash allocation percentage for Mesquite Star represents CWEN’s total cash allocation percentage in the project inclusive of its September 1, 2020 acquisition of its initial interest in the project.</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7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Financial Guidance and Pro Forma CAFD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reiterating its 2021 full year CAFD guidance of $325 million.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2021 financial guidance factors in the contribution of committed growth investments based on current expected closing timelines, the change in cash interest payments due to the issuance of the 2031 Senior Notes and the repayment of the 2025 Senior Notes in March of this year, estimates for potential impacts on Thermal volumes related to the COVID-19 pandemic, and the first quarter 2021 impact from the February 2021 severe weather event in Texas. 2021 CAFD guidance does not factor in the timing of when CAFD is realized from new growth investments pursuant to 5-year averages beyond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effects above, the timing of CAFD realization pursuant to 5-year averages, asset CAFD across all segments being materially in-line with current profiles, the Company is maintaining its pro forma CAFD outlook expectations of approximately $395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guidance and the pro forma CAFD outlook continue to be based on median renewable energy production estimates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3, 2021,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estimated impact of recent weather events on the Company, its operations, its facilities and its financial results, any potential disposition of the Company's Thermal platform, impacts related to COVID-19 or any other pandemic, the benefits of the relationship with Global Infrastructure Partners III (GIP) and GIP’s expertise, the Company’s future relationship and arrangements with GIP and Clearway Energy Group, as well as the Company's dividend expectations,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August 3, 2021,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jc w:val="center"/>
        <w:ind w:right="34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Cost of operations, exclusive of depreciation, amortization and</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accretion shown separately below</w:t>
            </w: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5"/>
        </w:trPr>
        <w:tc>
          <w:tcPr>
            <w:tcW w:w="5280" w:type="dxa"/>
            <w:vAlign w:val="bottom"/>
          </w:tcPr>
          <w:p>
            <w:pPr>
              <w:ind w:left="120"/>
              <w:spacing w:after="0" w:line="176" w:lineRule="exact"/>
              <w:rPr>
                <w:sz w:val="20"/>
                <w:szCs w:val="20"/>
                <w:color w:val="auto"/>
              </w:rPr>
            </w:pPr>
            <w:r>
              <w:rPr>
                <w:rFonts w:ascii="Arial" w:cs="Arial" w:eastAsia="Arial" w:hAnsi="Arial"/>
                <w:sz w:val="18"/>
                <w:szCs w:val="18"/>
                <w:color w:val="auto"/>
              </w:rPr>
              <w:t>Less: (Loss) income attributable to noncontrolling interests and</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redeemable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7"/>
              </w:rPr>
              <w:t>Earnings Per Share Attributable to Clearway Energy, Inc. Class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b w:val="1"/>
                <w:bCs w:val="1"/>
                <w:color w:val="auto"/>
              </w:rPr>
              <w:t>A and Class C Common 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Weighted average number of Class A common shares outstanding - basic and diluted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4"/>
                <w:szCs w:val="14"/>
                <w:color w:val="auto"/>
                <w:w w:val="96"/>
              </w:rPr>
              <w:t>Weighted average number of Class C common shares outstanding - basic and diluted</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8"/>
              </w:rPr>
              <w:t>Earnings per Weighted Average Class A and Class C Common</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Share - Basic and 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A Common Share</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0.420</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C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00"/>
          </w:cols>
          <w:pgMar w:left="66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93"/>
              <w:spacing w:after="0" w:line="14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5"/>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3"/>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3"/>
              </w:rPr>
              <w:t>(44)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Unrealized gain (loss) on derivatives, net of income tax expense (benefit) of $—,</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ind w:left="575"/>
              <w:spacing w:after="0"/>
              <w:rPr>
                <w:sz w:val="20"/>
                <w:szCs w:val="20"/>
                <w:color w:val="auto"/>
              </w:rPr>
            </w:pPr>
            <w:r>
              <w:rPr>
                <w:rFonts w:ascii="Arial" w:cs="Arial" w:eastAsia="Arial" w:hAnsi="Arial"/>
                <w:sz w:val="18"/>
                <w:szCs w:val="18"/>
                <w:color w:val="auto"/>
                <w:w w:val="89"/>
              </w:rPr>
              <w:t>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 $2 and $(1)</w:t>
            </w: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575"/>
              <w:spacing w:after="0"/>
              <w:rPr>
                <w:sz w:val="20"/>
                <w:szCs w:val="20"/>
                <w:color w:val="auto"/>
              </w:rPr>
            </w:pPr>
            <w:r>
              <w:rPr>
                <w:rFonts w:ascii="Arial" w:cs="Arial" w:eastAsia="Arial" w:hAnsi="Arial"/>
                <w:sz w:val="18"/>
                <w:szCs w:val="18"/>
                <w:color w:val="auto"/>
                <w:w w:val="89"/>
              </w:rPr>
              <w:t>11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3"/>
              </w:rPr>
              <w:t>(33)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3"/>
              </w:rPr>
              <w:t>Less: Comprehensive (loss) income attributable to noncontrolling interests and</w:t>
            </w:r>
          </w:p>
        </w:tc>
        <w:tc>
          <w:tcPr>
            <w:tcW w:w="260" w:type="dxa"/>
            <w:vAlign w:val="bottom"/>
          </w:tcPr>
          <w:p>
            <w:pPr>
              <w:spacing w:after="0"/>
              <w:rPr>
                <w:sz w:val="15"/>
                <w:szCs w:val="15"/>
                <w:color w:val="auto"/>
              </w:rPr>
            </w:pPr>
          </w:p>
        </w:tc>
        <w:tc>
          <w:tcPr>
            <w:tcW w:w="1000" w:type="dxa"/>
            <w:vAlign w:val="bottom"/>
            <w:vMerge w:val="restart"/>
          </w:tcPr>
          <w:p>
            <w:pPr>
              <w:ind w:left="76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center"/>
              <w:ind w:left="535"/>
              <w:spacing w:after="0"/>
              <w:rPr>
                <w:sz w:val="20"/>
                <w:szCs w:val="20"/>
                <w:color w:val="auto"/>
              </w:rPr>
            </w:pPr>
            <w:r>
              <w:rPr>
                <w:rFonts w:ascii="Arial" w:cs="Arial" w:eastAsia="Arial" w:hAnsi="Arial"/>
                <w:sz w:val="18"/>
                <w:szCs w:val="18"/>
                <w:color w:val="auto"/>
                <w:w w:val="93"/>
              </w:rPr>
              <w:t>(75)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redeemable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Clearway Energy,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2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December 31, 2020</w:t>
            </w:r>
          </w:p>
        </w:tc>
      </w:tr>
      <w:tr>
        <w:trPr>
          <w:trHeight w:val="197"/>
        </w:trPr>
        <w:tc>
          <w:tcPr>
            <w:tcW w:w="7320" w:type="dxa"/>
            <w:vAlign w:val="bottom"/>
          </w:tcPr>
          <w:p>
            <w:pPr>
              <w:ind w:left="336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Accounts receivable — affiliates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0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7,217</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 of use assets,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3"/>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10"/>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w:t>
            </w:r>
          </w:p>
        </w:tc>
      </w:tr>
      <w:tr>
        <w:trPr>
          <w:trHeight w:val="212"/>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ind w:left="19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732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affiliates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32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19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r>
      <w:tr>
        <w:trPr>
          <w:trHeight w:val="213"/>
        </w:trPr>
        <w:tc>
          <w:tcPr>
            <w:tcW w:w="7320" w:type="dxa"/>
            <w:vAlign w:val="bottom"/>
          </w:tcPr>
          <w:p>
            <w:pPr>
              <w:ind w:left="12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lease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3"/>
        </w:trPr>
        <w:tc>
          <w:tcPr>
            <w:tcW w:w="7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12"/>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7,243</w:t>
            </w:r>
          </w:p>
        </w:tc>
      </w:tr>
      <w:tr>
        <w:trPr>
          <w:trHeight w:val="207"/>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7,877</w:t>
            </w:r>
          </w:p>
        </w:tc>
      </w:tr>
      <w:tr>
        <w:trPr>
          <w:trHeight w:val="19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5"/>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w w:val="95"/>
              </w:rPr>
              <w:t>Class A, Class B, Class C and Class D common stock, $0.01 par value; 3,000,000,000 shares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rPr>
              <w:t>authorized (Class A 500,000,000, Class B 500,000,000, Class C 1,000,000,000, Class D</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w w:val="99"/>
              </w:rPr>
              <w:t>1,000,000,000); 201,836,708 shares issued and outstanding (Class A 34,599,645, Class B</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w w:val="93"/>
              </w:rPr>
              <w:t>42,738,750, Class C 81,759,563, Class D 42,738,750) at June 30, 2021 and 201,635,990 shares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7320" w:type="dxa"/>
            <w:vAlign w:val="bottom"/>
          </w:tcPr>
          <w:p>
            <w:pPr>
              <w:ind w:left="120"/>
              <w:spacing w:after="0" w:line="176" w:lineRule="exact"/>
              <w:rPr>
                <w:sz w:val="20"/>
                <w:szCs w:val="20"/>
                <w:color w:val="auto"/>
              </w:rPr>
            </w:pPr>
            <w:r>
              <w:rPr>
                <w:rFonts w:ascii="Arial" w:cs="Arial" w:eastAsia="Arial" w:hAnsi="Arial"/>
                <w:sz w:val="18"/>
                <w:szCs w:val="18"/>
                <w:color w:val="auto"/>
                <w:w w:val="94"/>
              </w:rPr>
              <w:t>issued and outstanding (Class A 34,599,645, Class B 42,738,750, Class C 81,558,845, Class D</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9"/>
        </w:trPr>
        <w:tc>
          <w:tcPr>
            <w:tcW w:w="7320" w:type="dxa"/>
            <w:vAlign w:val="bottom"/>
          </w:tcPr>
          <w:p>
            <w:pPr>
              <w:ind w:left="120"/>
              <w:spacing w:after="0"/>
              <w:rPr>
                <w:sz w:val="20"/>
                <w:szCs w:val="20"/>
                <w:color w:val="auto"/>
              </w:rPr>
            </w:pPr>
            <w:r>
              <w:rPr>
                <w:rFonts w:ascii="Arial" w:cs="Arial" w:eastAsia="Arial" w:hAnsi="Arial"/>
                <w:sz w:val="18"/>
                <w:szCs w:val="18"/>
                <w:color w:val="auto"/>
              </w:rPr>
              <w:t>42,738,750) at December 31, 2020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r>
      <w:tr>
        <w:trPr>
          <w:trHeight w:val="213"/>
        </w:trPr>
        <w:tc>
          <w:tcPr>
            <w:tcW w:w="73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7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20"/>
          </w:cols>
          <w:pgMar w:left="540" w:top="769" w:right="339" w:bottom="1440" w:gutter="0" w:footer="0" w:header="0"/>
        </w:sectPr>
      </w:pPr>
    </w:p>
    <w:bookmarkStart w:id="12" w:name="page13"/>
    <w:bookmarkEnd w:id="12"/>
    <w:p>
      <w:pPr>
        <w:jc w:val="center"/>
        <w:ind w:right="58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8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212"/>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56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 (increase) in carrying amount of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deferred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Changes in derivative instruments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used in changes in other working capital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working capital</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Drop Down Asset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Consolidation of DGPV Holdco 3 LLC</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Asset purchase from affiliate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receipts from notes receivable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Net contributions from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Buyout of Repowering Partnership II LLC noncontrolling interest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Net proceeds from the issuance of common stock</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Payments of debt issuance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Payments for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60"/>
          </w:cols>
          <w:pgMar w:left="900" w:top="769" w:right="339" w:bottom="1440" w:gutter="0" w:footer="0" w:header="0"/>
        </w:sectPr>
      </w:pPr>
    </w:p>
    <w:bookmarkStart w:id="13" w:name="page14"/>
    <w:bookmarkEnd w:id="13"/>
    <w:p>
      <w:pPr>
        <w:jc w:val="center"/>
        <w:ind w:right="3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For the Six Months Ended June 30, 2021</w:t>
      </w:r>
    </w:p>
    <w:p>
      <w:pPr>
        <w:spacing w:after="0" w:line="16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12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0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Noncontrolling</w:t>
            </w: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8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080" w:type="dxa"/>
            <w:vAlign w:val="bottom"/>
            <w:gridSpan w:val="3"/>
            <w:vMerge w:val="continue"/>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7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gain on derivatives, net of tax</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Contributions from CEG, non-cash</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Contributions from CEG, cash</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6"/>
        </w:trPr>
        <w:tc>
          <w:tcPr>
            <w:tcW w:w="3760" w:type="dxa"/>
            <w:vAlign w:val="bottom"/>
          </w:tcPr>
          <w:p>
            <w:pPr>
              <w:ind w:left="24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4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3760" w:type="dxa"/>
            <w:vAlign w:val="bottom"/>
          </w:tcPr>
          <w:p>
            <w:pPr>
              <w:ind w:left="240"/>
              <w:spacing w:after="0"/>
              <w:rPr>
                <w:sz w:val="20"/>
                <w:szCs w:val="20"/>
                <w:color w:val="auto"/>
              </w:rPr>
            </w:pPr>
            <w:r>
              <w:rPr>
                <w:rFonts w:ascii="Arial" w:cs="Arial" w:eastAsia="Arial" w:hAnsi="Arial"/>
                <w:sz w:val="16"/>
                <w:szCs w:val="16"/>
                <w:color w:val="auto"/>
              </w:rPr>
              <w:t>distributions, cash</w:t>
            </w:r>
          </w:p>
        </w:tc>
        <w:tc>
          <w:tcPr>
            <w:tcW w:w="1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Agua Caliente acquisition</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Rattlesnake Drop Down</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3760" w:type="dxa"/>
            <w:vAlign w:val="bottom"/>
          </w:tcPr>
          <w:p>
            <w:pPr>
              <w:ind w:left="240"/>
              <w:spacing w:after="0" w:line="166" w:lineRule="exact"/>
              <w:rPr>
                <w:sz w:val="20"/>
                <w:szCs w:val="20"/>
                <w:color w:val="auto"/>
              </w:rPr>
            </w:pPr>
            <w:r>
              <w:rPr>
                <w:rFonts w:ascii="Arial" w:cs="Arial" w:eastAsia="Arial" w:hAnsi="Arial"/>
                <w:sz w:val="16"/>
                <w:szCs w:val="16"/>
                <w:color w:val="auto"/>
                <w:w w:val="94"/>
              </w:rPr>
              <w:t>Dividends to common stockholders and distributions</w:t>
            </w:r>
          </w:p>
        </w:tc>
        <w:tc>
          <w:tcPr>
            <w:tcW w:w="14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 CEG</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(loss) on derivatives, net of tax</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6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3760" w:type="dxa"/>
            <w:vAlign w:val="bottom"/>
          </w:tcPr>
          <w:p>
            <w:pPr>
              <w:ind w:left="20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4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376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60" w:type="dxa"/>
            <w:vAlign w:val="bottom"/>
          </w:tcPr>
          <w:p>
            <w:pPr>
              <w:ind w:left="200"/>
              <w:spacing w:after="0"/>
              <w:rPr>
                <w:sz w:val="20"/>
                <w:szCs w:val="20"/>
                <w:color w:val="auto"/>
              </w:rPr>
            </w:pPr>
            <w:r>
              <w:rPr>
                <w:rFonts w:ascii="Arial" w:cs="Arial" w:eastAsia="Arial" w:hAnsi="Arial"/>
                <w:sz w:val="16"/>
                <w:szCs w:val="16"/>
                <w:color w:val="auto"/>
              </w:rPr>
              <w:t>Rattlesnake Drop Down</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3760" w:type="dxa"/>
            <w:vAlign w:val="bottom"/>
          </w:tcPr>
          <w:p>
            <w:pPr>
              <w:ind w:left="200"/>
              <w:spacing w:after="0" w:line="166" w:lineRule="exact"/>
              <w:rPr>
                <w:sz w:val="20"/>
                <w:szCs w:val="20"/>
                <w:color w:val="auto"/>
              </w:rPr>
            </w:pPr>
            <w:r>
              <w:rPr>
                <w:rFonts w:ascii="Arial" w:cs="Arial" w:eastAsia="Arial" w:hAnsi="Arial"/>
                <w:sz w:val="16"/>
                <w:szCs w:val="16"/>
                <w:color w:val="auto"/>
                <w:w w:val="95"/>
              </w:rPr>
              <w:t>Dividends to common stockholders and distributions</w:t>
            </w:r>
          </w:p>
        </w:tc>
        <w:tc>
          <w:tcPr>
            <w:tcW w:w="14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 CEG</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860"/>
          </w:cols>
          <w:pgMar w:left="700" w:top="769" w:right="339" w:bottom="1440" w:gutter="0" w:footer="0" w:header="0"/>
        </w:sectPr>
      </w:pPr>
    </w:p>
    <w:bookmarkStart w:id="14" w:name="page15"/>
    <w:bookmarkEnd w:id="14"/>
    <w:p>
      <w:pPr>
        <w:jc w:val="center"/>
        <w:ind w:right="3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For the Six Months Ended June 30, 2020</w:t>
      </w:r>
    </w:p>
    <w:p>
      <w:pPr>
        <w:spacing w:after="0" w:line="16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center"/>
              <w:ind w:right="10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6"/>
              </w:rPr>
              <w:t>Non-controlling</w:t>
            </w: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Paid-In</w:t>
            </w: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120" w:type="dxa"/>
            <w:vAlign w:val="bottom"/>
            <w:gridSpan w:val="3"/>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78"/>
              </w:rPr>
              <w:t>Loss</w:t>
            </w:r>
          </w:p>
        </w:tc>
        <w:tc>
          <w:tcPr>
            <w:tcW w:w="2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1"/>
                <w:szCs w:val="11"/>
                <w:color w:val="auto"/>
              </w:rPr>
            </w:pPr>
          </w:p>
        </w:tc>
        <w:tc>
          <w:tcPr>
            <w:tcW w:w="72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Contributions from CEG, cash</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cash</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gridSpan w:val="2"/>
          </w:tcPr>
          <w:p>
            <w:pPr>
              <w:ind w:left="180"/>
              <w:spacing w:after="0" w:line="166" w:lineRule="exact"/>
              <w:rPr>
                <w:sz w:val="20"/>
                <w:szCs w:val="20"/>
                <w:color w:val="auto"/>
              </w:rPr>
            </w:pPr>
            <w:r>
              <w:rPr>
                <w:rFonts w:ascii="Arial" w:cs="Arial" w:eastAsia="Arial" w:hAnsi="Arial"/>
                <w:sz w:val="16"/>
                <w:szCs w:val="16"/>
                <w:color w:val="auto"/>
              </w:rPr>
              <w:t>Net proceeds from the issuance of common stock</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under the ATM Program</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 non-cash</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gridSpan w:val="2"/>
          </w:tcPr>
          <w:p>
            <w:pPr>
              <w:ind w:left="180"/>
              <w:spacing w:after="0" w:line="166" w:lineRule="exact"/>
              <w:rPr>
                <w:sz w:val="20"/>
                <w:szCs w:val="20"/>
                <w:color w:val="auto"/>
              </w:rPr>
            </w:pPr>
            <w:r>
              <w:rPr>
                <w:rFonts w:ascii="Arial" w:cs="Arial" w:eastAsia="Arial" w:hAnsi="Arial"/>
                <w:sz w:val="16"/>
                <w:szCs w:val="16"/>
                <w:color w:val="auto"/>
                <w:w w:val="95"/>
              </w:rPr>
              <w:t>Dividends to common stockholders and distributions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 CEG</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gridSpan w:val="2"/>
          </w:tcPr>
          <w:p>
            <w:pPr>
              <w:ind w:left="180"/>
              <w:spacing w:after="0" w:line="166" w:lineRule="exact"/>
              <w:rPr>
                <w:sz w:val="20"/>
                <w:szCs w:val="20"/>
                <w:color w:val="auto"/>
              </w:rPr>
            </w:pPr>
            <w:r>
              <w:rPr>
                <w:rFonts w:ascii="Arial" w:cs="Arial" w:eastAsia="Arial" w:hAnsi="Arial"/>
                <w:sz w:val="16"/>
                <w:szCs w:val="16"/>
                <w:color w:val="auto"/>
              </w:rPr>
              <w:t>Distributions from noncontrolling interests, net of</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contribution, cash</w:t>
            </w: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Consolidation of DGPV Holdco 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gridSpan w:val="2"/>
          </w:tcPr>
          <w:p>
            <w:pPr>
              <w:ind w:left="180"/>
              <w:spacing w:after="0" w:line="166" w:lineRule="exact"/>
              <w:rPr>
                <w:sz w:val="20"/>
                <w:szCs w:val="20"/>
                <w:color w:val="auto"/>
              </w:rPr>
            </w:pPr>
            <w:r>
              <w:rPr>
                <w:rFonts w:ascii="Arial" w:cs="Arial" w:eastAsia="Arial" w:hAnsi="Arial"/>
                <w:sz w:val="16"/>
                <w:szCs w:val="16"/>
                <w:color w:val="auto"/>
              </w:rPr>
              <w:t>Buyout of Repowering Partnership II LLC</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Non-cash adjustment for change in tax basis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6"/>
                <w:szCs w:val="16"/>
                <w:color w:val="auto"/>
              </w:rPr>
              <w:t>Net proceeds from the issuance of common stock</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under the ATM Program</w:t>
            </w: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gridSpan w:val="2"/>
          </w:tcPr>
          <w:p>
            <w:pPr>
              <w:ind w:left="180"/>
              <w:spacing w:after="0" w:line="166" w:lineRule="exact"/>
              <w:rPr>
                <w:sz w:val="20"/>
                <w:szCs w:val="20"/>
                <w:color w:val="auto"/>
              </w:rPr>
            </w:pPr>
            <w:r>
              <w:rPr>
                <w:rFonts w:ascii="Arial" w:cs="Arial" w:eastAsia="Arial" w:hAnsi="Arial"/>
                <w:sz w:val="16"/>
                <w:szCs w:val="16"/>
                <w:color w:val="auto"/>
                <w:w w:val="95"/>
              </w:rPr>
              <w:t>Dividends to common stockholders and distributions</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 CEG</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June 30, 2020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880"/>
          </w:cols>
          <w:pgMar w:left="680" w:top="769"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 xml:space="preserve">Appendix Table A-1: </w:t>
      </w:r>
      <w:r>
        <w:rPr>
          <w:rFonts w:ascii="Arial" w:cs="Arial" w:eastAsia="Arial" w:hAnsi="Arial"/>
          <w:sz w:val="17"/>
          <w:szCs w:val="17"/>
          <w:b w:val="1"/>
          <w:bCs w:val="1"/>
          <w:color w:val="auto"/>
        </w:rPr>
        <w:t>Three Months Ended June 30, 2021</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June 30,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A-3: Six Months Ended June 30, 2021,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Six Months Ended June 30,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Mark to Market (MtM) Losses</w:t>
            </w:r>
          </w:p>
        </w:tc>
        <w:tc>
          <w:tcPr>
            <w:tcW w:w="16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20"/>
              <w:spacing w:after="0"/>
              <w:rPr>
                <w:sz w:val="20"/>
                <w:szCs w:val="20"/>
                <w:color w:val="auto"/>
              </w:rPr>
            </w:pPr>
            <w:r>
              <w:rPr>
                <w:rFonts w:ascii="Arial" w:cs="Arial" w:eastAsia="Arial" w:hAnsi="Arial"/>
                <w:sz w:val="18"/>
                <w:szCs w:val="18"/>
                <w:color w:val="auto"/>
              </w:rPr>
              <w:t>on economic hedges</w:t>
            </w: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46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6/30/21</w:t>
            </w: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6/30/21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6/30/20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Cash interest paid</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(83)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Changes in working capital and other</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Changes in working capital and other</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3"/>
                <w:szCs w:val="23"/>
                <w:color w:val="auto"/>
                <w:vertAlign w:val="superscript"/>
              </w:rPr>
              <w:t>7</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8</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76"/>
        </w:trPr>
        <w:tc>
          <w:tcPr>
            <w:tcW w:w="518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reflect CAFD generated by unconsolidated</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140"/>
              <w:spacing w:after="0" w:line="176" w:lineRule="exact"/>
              <w:rPr>
                <w:sz w:val="20"/>
                <w:szCs w:val="20"/>
                <w:color w:val="auto"/>
              </w:rPr>
            </w:pPr>
            <w:r>
              <w:rPr>
                <w:rFonts w:ascii="Arial" w:cs="Arial" w:eastAsia="Arial" w:hAnsi="Arial"/>
                <w:sz w:val="18"/>
                <w:szCs w:val="18"/>
                <w:color w:val="auto"/>
                <w:w w:val="92"/>
              </w:rPr>
              <w:t>investments that are unable to distribute project dividends due to the</w:t>
            </w:r>
          </w:p>
        </w:tc>
        <w:tc>
          <w:tcPr>
            <w:tcW w:w="3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PG&amp;E bankruptcy</w:t>
            </w:r>
          </w:p>
        </w:tc>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Primarily relates to Thermal Development Expenses</w:t>
      </w:r>
    </w:p>
    <w:p>
      <w:pPr>
        <w:ind w:left="120" w:hanging="112"/>
        <w:spacing w:after="0" w:line="187" w:lineRule="auto"/>
        <w:tabs>
          <w:tab w:leader="none" w:pos="12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2021 excludes $107 million of contributions related to funding of Rattlesnake; 2020 excludes $152 million of contributions relating to funding of Repowering 1.0 Partnership</w:t>
      </w:r>
    </w:p>
    <w:p>
      <w:pPr>
        <w:spacing w:after="0" w:line="32" w:lineRule="exact"/>
        <w:rPr>
          <w:sz w:val="20"/>
          <w:szCs w:val="20"/>
          <w:color w:val="auto"/>
        </w:rPr>
      </w:pPr>
    </w:p>
    <w:p>
      <w:pPr>
        <w:ind w:right="80" w:firstLine="8"/>
        <w:spacing w:after="0" w:line="211" w:lineRule="auto"/>
        <w:tabs>
          <w:tab w:leader="none" w:pos="103"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2021 excludes $868 million total consideration for the redemption of Corporate Notes and revolver payments, $52 million in connection with Pinnacle repowering; 2020 excludes $260 million for the repayment of construction financing in connection with the Repowering 1.0 Partnership and $135 million total consideration for the redemption of Corporate Notes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008" w:right="339" w:bottom="1440" w:gutter="0" w:footer="0" w:header="0"/>
        </w:sectPr>
      </w:pPr>
    </w:p>
    <w:bookmarkStart w:id="18" w:name="page19"/>
    <w:bookmarkEnd w:id="18"/>
    <w:p>
      <w:pPr>
        <w:ind w:right="4300"/>
        <w:spacing w:after="0" w:line="323" w:lineRule="auto"/>
        <w:rPr>
          <w:sz w:val="20"/>
          <w:szCs w:val="20"/>
          <w:color w:val="auto"/>
        </w:rPr>
      </w:pPr>
      <w:r>
        <w:rPr>
          <w:rFonts w:ascii="Arial" w:cs="Arial" w:eastAsia="Arial" w:hAnsi="Arial"/>
          <w:sz w:val="18"/>
          <w:szCs w:val="18"/>
          <w:b w:val="1"/>
          <w:bCs w:val="1"/>
          <w:color w:val="auto"/>
        </w:rPr>
        <w:t xml:space="preserve">Appendix Table A-6: </w:t>
      </w:r>
      <w:r>
        <w:rPr>
          <w:rFonts w:ascii="Arial" w:cs="Arial" w:eastAsia="Arial" w:hAnsi="Arial"/>
          <w:sz w:val="15"/>
          <w:szCs w:val="15"/>
          <w:b w:val="1"/>
          <w:bCs w:val="1"/>
          <w:color w:val="auto"/>
        </w:rPr>
        <w:t>Six Months Ended June 30, 2021</w:t>
      </w:r>
      <w:r>
        <w:rPr>
          <w:rFonts w:ascii="Arial" w:cs="Arial" w:eastAsia="Arial" w:hAnsi="Arial"/>
          <w:sz w:val="18"/>
          <w:szCs w:val="18"/>
          <w:b w:val="1"/>
          <w:bCs w:val="1"/>
          <w:color w:val="auto"/>
        </w:rPr>
        <w:t xml:space="preserve">, Sources and Uses of Liquidity </w:t>
      </w:r>
      <w:r>
        <w:rPr>
          <w:rFonts w:ascii="Arial" w:cs="Arial" w:eastAsia="Arial" w:hAnsi="Arial"/>
          <w:sz w:val="18"/>
          <w:szCs w:val="18"/>
          <w:color w:val="auto"/>
        </w:rPr>
        <w:t>The following table summarizes the sources and uses of liquidity in 2021:</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90347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Sources: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revolving credit facility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180" w:right="2320"/>
        <w:spacing w:after="0" w:line="328" w:lineRule="auto"/>
        <w:rPr>
          <w:sz w:val="20"/>
          <w:szCs w:val="20"/>
          <w:color w:val="auto"/>
        </w:rPr>
      </w:pPr>
      <w:r>
        <w:rPr>
          <w:rFonts w:ascii="Arial" w:cs="Arial" w:eastAsia="Arial" w:hAnsi="Arial"/>
          <w:sz w:val="16"/>
          <w:szCs w:val="16"/>
          <w:color w:val="auto"/>
        </w:rPr>
        <w:t>Return of investment from unconsolidated affiliates 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490347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03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490347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03470" cy="15430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for the revolving credit facility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 of Drop Down Asset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expenditures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3780"/>
        <w:spacing w:after="0"/>
        <w:rPr>
          <w:sz w:val="20"/>
          <w:szCs w:val="20"/>
          <w:color w:val="auto"/>
        </w:rPr>
      </w:pPr>
      <w:r>
        <w:rPr>
          <w:rFonts w:ascii="Arial" w:cs="Arial" w:eastAsia="Arial" w:hAnsi="Arial"/>
          <w:sz w:val="16"/>
          <w:szCs w:val="16"/>
          <w:b w:val="1"/>
          <w:bCs w:val="1"/>
          <w:color w:val="auto"/>
        </w:rPr>
        <w:t>Six Months</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Ended</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6/30/21</w:t>
      </w:r>
    </w:p>
    <w:p>
      <w:pPr>
        <w:spacing w:after="0" w:line="251"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1,016</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300</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265</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241</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7"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(1,028)</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(233)</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(132)</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(132)</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(93)</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ectPr>
          <w:pgSz w:w="11900" w:h="16838" w:orient="portrait"/>
          <w:cols w:equalWidth="0" w:num="2">
            <w:col w:w="5860" w:space="720"/>
            <w:col w:w="4660"/>
          </w:cols>
          <w:pgMar w:left="320" w:top="1008" w:right="339" w:bottom="1440" w:gutter="0" w:footer="0" w:header="0"/>
          <w:type w:val="continuous"/>
        </w:sectPr>
      </w:pPr>
    </w:p>
    <w:p>
      <w:pPr>
        <w:spacing w:after="0" w:line="92" w:lineRule="exact"/>
        <w:rPr>
          <w:sz w:val="20"/>
          <w:szCs w:val="20"/>
          <w:color w:val="auto"/>
        </w:rPr>
      </w:pPr>
    </w:p>
    <w:p>
      <w:pPr>
        <w:ind w:left="20"/>
        <w:spacing w:after="0"/>
        <w:tabs>
          <w:tab w:leader="none" w:pos="6320" w:val="left"/>
          <w:tab w:leader="none" w:pos="7560" w:val="left"/>
        </w:tabs>
        <w:rPr>
          <w:sz w:val="20"/>
          <w:szCs w:val="20"/>
          <w:color w:val="auto"/>
        </w:rPr>
      </w:pPr>
      <w:r>
        <w:rPr>
          <w:rFonts w:ascii="Arial" w:cs="Arial" w:eastAsia="Arial" w:hAnsi="Arial"/>
          <w:sz w:val="16"/>
          <w:szCs w:val="16"/>
          <w:b w:val="1"/>
          <w:bCs w:val="1"/>
          <w:color w:val="auto"/>
        </w:rPr>
        <w:t>Change in total cash, cash equivalents, and restricted cash</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5</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00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Appendix Table A-7: Adjusted EBITDA and Cash Available for Distribution Guidance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b w:val="1"/>
                <w:bCs w:val="1"/>
                <w:color w:val="auto"/>
              </w:rPr>
              <w:t>2021 Full</w:t>
            </w:r>
          </w:p>
        </w:tc>
        <w:tc>
          <w:tcPr>
            <w:tcW w:w="160" w:type="dxa"/>
            <w:vAlign w:val="bottom"/>
          </w:tcPr>
          <w:p>
            <w:pPr>
              <w:spacing w:after="0"/>
              <w:rPr>
                <w:sz w:val="17"/>
                <w:szCs w:val="17"/>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restart"/>
          </w:tcPr>
          <w:p>
            <w:pPr>
              <w:jc w:val="right"/>
              <w:ind w:right="258"/>
              <w:spacing w:after="0" w:line="176" w:lineRule="exact"/>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CAFD Outlook</w:t>
            </w:r>
          </w:p>
        </w:tc>
        <w:tc>
          <w:tcPr>
            <w:tcW w:w="0" w:type="dxa"/>
            <w:vAlign w:val="bottom"/>
          </w:tcPr>
          <w:p>
            <w:pPr>
              <w:spacing w:after="0"/>
              <w:rPr>
                <w:sz w:val="1"/>
                <w:szCs w:val="1"/>
                <w:color w:val="auto"/>
              </w:rPr>
            </w:pPr>
          </w:p>
        </w:tc>
      </w:tr>
      <w:tr>
        <w:trPr>
          <w:trHeight w:val="140"/>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w w:val="92"/>
              </w:rPr>
              <w:t>Guidance</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76"/>
        </w:trPr>
        <w:tc>
          <w:tcPr>
            <w:tcW w:w="52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 to reflect CWEN share of Adjusted EBITDA in</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1,185</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1,335</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7"/>
        </w:trPr>
        <w:tc>
          <w:tcPr>
            <w:tcW w:w="52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Adjustment to reflect sale-type lease</w:t>
            </w:r>
            <w:r>
              <w:rPr>
                <w:rFonts w:ascii="Arial" w:cs="Arial" w:eastAsia="Arial" w:hAnsi="Arial"/>
                <w:sz w:val="23"/>
                <w:szCs w:val="23"/>
                <w:color w:val="auto"/>
                <w:vertAlign w:val="superscript"/>
              </w:rPr>
              <w:t>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7"/>
        </w:trPr>
        <w:tc>
          <w:tcPr>
            <w:tcW w:w="52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10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Payment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w:t>
            </w: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978</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52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Net distributions to non-controlling interest</w:t>
            </w:r>
            <w:r>
              <w:rPr>
                <w:rFonts w:ascii="Arial" w:cs="Arial" w:eastAsia="Arial" w:hAnsi="Arial"/>
                <w:sz w:val="23"/>
                <w:szCs w:val="23"/>
                <w:color w:val="auto"/>
                <w:vertAlign w:val="superscript"/>
              </w:rPr>
              <w:t>12</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Add Back: Principal amortization of indebtedness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Cash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Adjustment to reflect cash generated from sales-type lease projects</w:t>
      </w:r>
    </w:p>
    <w:p>
      <w:pPr>
        <w:ind w:left="160" w:hanging="152"/>
        <w:spacing w:after="0" w:line="222" w:lineRule="auto"/>
        <w:tabs>
          <w:tab w:leader="none" w:pos="16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19" w:lineRule="exact"/>
        <w:rPr>
          <w:rFonts w:ascii="Arial" w:cs="Arial" w:eastAsia="Arial" w:hAnsi="Arial"/>
          <w:sz w:val="20"/>
          <w:szCs w:val="20"/>
          <w:color w:val="auto"/>
          <w:vertAlign w:val="superscript"/>
        </w:rPr>
      </w:pPr>
    </w:p>
    <w:p>
      <w:pPr>
        <w:ind w:left="160" w:hanging="152"/>
        <w:spacing w:after="0" w:line="186"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Primarily relates to Thermal Development Expenses</w:t>
      </w:r>
    </w:p>
    <w:p>
      <w:pPr>
        <w:spacing w:after="0" w:line="19" w:lineRule="exact"/>
        <w:rPr>
          <w:rFonts w:ascii="Arial" w:cs="Arial" w:eastAsia="Arial" w:hAnsi="Arial"/>
          <w:sz w:val="19"/>
          <w:szCs w:val="19"/>
          <w:color w:val="auto"/>
          <w:vertAlign w:val="superscript"/>
        </w:rPr>
      </w:pPr>
    </w:p>
    <w:p>
      <w:pPr>
        <w:ind w:left="160" w:hanging="152"/>
        <w:spacing w:after="0" w:line="186"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Includes tax equity proceeds and distributions to tax equity partners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Appendix Table A-8: Growth Investments 5 Year Average CAFD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restart"/>
          </w:tcPr>
          <w:p>
            <w:pPr>
              <w:jc w:val="center"/>
              <w:ind w:right="17"/>
              <w:spacing w:after="0"/>
              <w:rPr>
                <w:sz w:val="20"/>
                <w:szCs w:val="20"/>
                <w:color w:val="auto"/>
              </w:rPr>
            </w:pPr>
            <w:r>
              <w:rPr>
                <w:rFonts w:ascii="Arial" w:cs="Arial" w:eastAsia="Arial" w:hAnsi="Arial"/>
                <w:sz w:val="18"/>
                <w:szCs w:val="18"/>
                <w:b w:val="1"/>
                <w:bCs w:val="1"/>
                <w:color w:val="auto"/>
                <w:w w:val="91"/>
              </w:rPr>
              <w:t>Co-Investment in</w:t>
            </w:r>
          </w:p>
        </w:tc>
        <w:tc>
          <w:tcPr>
            <w:tcW w:w="120" w:type="dxa"/>
            <w:vAlign w:val="bottom"/>
          </w:tcPr>
          <w:p>
            <w:pPr>
              <w:spacing w:after="0"/>
              <w:rPr>
                <w:sz w:val="17"/>
                <w:szCs w:val="17"/>
                <w:color w:val="auto"/>
              </w:rPr>
            </w:pPr>
          </w:p>
        </w:tc>
        <w:tc>
          <w:tcPr>
            <w:tcW w:w="1460" w:type="dxa"/>
            <w:vAlign w:val="bottom"/>
          </w:tcPr>
          <w:p>
            <w:pPr>
              <w:jc w:val="center"/>
              <w:ind w:right="37"/>
              <w:spacing w:after="0"/>
              <w:rPr>
                <w:sz w:val="20"/>
                <w:szCs w:val="20"/>
                <w:color w:val="auto"/>
              </w:rPr>
            </w:pPr>
            <w:r>
              <w:rPr>
                <w:rFonts w:ascii="Arial" w:cs="Arial" w:eastAsia="Arial" w:hAnsi="Arial"/>
                <w:sz w:val="18"/>
                <w:szCs w:val="18"/>
                <w:b w:val="1"/>
                <w:bCs w:val="1"/>
                <w:color w:val="auto"/>
                <w:w w:val="91"/>
              </w:rPr>
              <w:t>Co-Investment in</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restart"/>
          </w:tcPr>
          <w:p>
            <w:pPr>
              <w:jc w:val="center"/>
              <w:ind w:right="37"/>
              <w:spacing w:after="0" w:line="176" w:lineRule="exact"/>
              <w:rPr>
                <w:sz w:val="20"/>
                <w:szCs w:val="20"/>
                <w:color w:val="auto"/>
              </w:rPr>
            </w:pPr>
            <w:r>
              <w:rPr>
                <w:rFonts w:ascii="Arial" w:cs="Arial" w:eastAsia="Arial" w:hAnsi="Arial"/>
                <w:sz w:val="18"/>
                <w:szCs w:val="18"/>
                <w:b w:val="1"/>
                <w:bCs w:val="1"/>
                <w:color w:val="auto"/>
                <w:w w:val="93"/>
              </w:rPr>
              <w:t>1.6GW Portfolio</w:t>
            </w:r>
          </w:p>
        </w:tc>
        <w:tc>
          <w:tcPr>
            <w:tcW w:w="0" w:type="dxa"/>
            <w:vAlign w:val="bottom"/>
          </w:tcPr>
          <w:p>
            <w:pPr>
              <w:spacing w:after="0"/>
              <w:rPr>
                <w:sz w:val="1"/>
                <w:szCs w:val="1"/>
                <w:color w:val="auto"/>
              </w:rPr>
            </w:pPr>
          </w:p>
        </w:tc>
      </w:tr>
      <w:tr>
        <w:trPr>
          <w:trHeight w:val="94"/>
        </w:trPr>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restart"/>
          </w:tcPr>
          <w:p>
            <w:pPr>
              <w:jc w:val="center"/>
              <w:ind w:right="17"/>
              <w:spacing w:after="0" w:line="176" w:lineRule="exact"/>
              <w:rPr>
                <w:sz w:val="20"/>
                <w:szCs w:val="20"/>
                <w:color w:val="auto"/>
              </w:rPr>
            </w:pPr>
            <w:r>
              <w:rPr>
                <w:rFonts w:ascii="Arial" w:cs="Arial" w:eastAsia="Arial" w:hAnsi="Arial"/>
                <w:sz w:val="18"/>
                <w:szCs w:val="18"/>
                <w:b w:val="1"/>
                <w:bCs w:val="1"/>
                <w:color w:val="auto"/>
                <w:w w:val="93"/>
              </w:rPr>
              <w:t>1.6GW Portfolio</w:t>
            </w:r>
          </w:p>
        </w:tc>
        <w:tc>
          <w:tcPr>
            <w:tcW w:w="1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80" w:type="dxa"/>
            <w:vAlign w:val="bottom"/>
            <w:gridSpan w:val="2"/>
            <w:vMerge w:val="restart"/>
          </w:tcPr>
          <w:p>
            <w:pPr>
              <w:jc w:val="center"/>
              <w:spacing w:after="0" w:line="176" w:lineRule="exact"/>
              <w:rPr>
                <w:sz w:val="20"/>
                <w:szCs w:val="20"/>
                <w:color w:val="auto"/>
              </w:rPr>
            </w:pPr>
            <w:r>
              <w:rPr>
                <w:rFonts w:ascii="Arial" w:cs="Arial" w:eastAsia="Arial" w:hAnsi="Arial"/>
                <w:sz w:val="18"/>
                <w:szCs w:val="18"/>
                <w:b w:val="1"/>
                <w:bCs w:val="1"/>
                <w:color w:val="auto"/>
                <w:w w:val="90"/>
              </w:rPr>
              <w:t>5 Year Ave. - 2023-</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- 2022</w:t>
            </w:r>
          </w:p>
        </w:tc>
        <w:tc>
          <w:tcPr>
            <w:tcW w:w="1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6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17"/>
              <w:spacing w:after="0"/>
              <w:rPr>
                <w:sz w:val="20"/>
                <w:szCs w:val="20"/>
                <w:color w:val="auto"/>
              </w:rPr>
            </w:pPr>
            <w:r>
              <w:rPr>
                <w:rFonts w:ascii="Arial" w:cs="Arial" w:eastAsia="Arial" w:hAnsi="Arial"/>
                <w:sz w:val="18"/>
                <w:szCs w:val="18"/>
                <w:b w:val="1"/>
                <w:bCs w:val="1"/>
                <w:color w:val="auto"/>
                <w:w w:val="89"/>
              </w:rPr>
              <w:t>2027</w:t>
            </w:r>
          </w:p>
        </w:tc>
        <w:tc>
          <w:tcPr>
            <w:tcW w:w="0" w:type="dxa"/>
            <w:vAlign w:val="bottom"/>
          </w:tcPr>
          <w:p>
            <w:pPr>
              <w:spacing w:after="0"/>
              <w:rPr>
                <w:sz w:val="1"/>
                <w:szCs w:val="1"/>
                <w:color w:val="auto"/>
              </w:rPr>
            </w:pPr>
          </w:p>
        </w:tc>
      </w:tr>
      <w:tr>
        <w:trPr>
          <w:trHeight w:val="90"/>
        </w:trPr>
        <w:tc>
          <w:tcPr>
            <w:tcW w:w="4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ARO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interest paid</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distributions from non-controlling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Maintenance capital expenditures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Principal amortization of indebtedness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non-GAAP measure, Cash Available for Distribution is defined as of June 30, 2021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7"/>
      <w:numFmt w:val="bullet"/>
      <w:start w:val="1"/>
    </w:lvl>
  </w:abstractNum>
  <w:abstractNum w:abstractNumId="8">
    <w:nsid w:val="216231B"/>
    <w:multiLevelType w:val="hybridMultilevel"/>
    <w:lvl w:ilvl="0">
      <w:lvlJc w:val="left"/>
      <w:lvlText w:val="8"/>
      <w:numFmt w:val="bullet"/>
      <w:start w:val="1"/>
    </w:lvl>
  </w:abstractNum>
  <w:abstractNum w:abstractNumId="9">
    <w:nsid w:val="1F16E9E8"/>
    <w:multiLevelType w:val="hybridMultilevel"/>
    <w:lvl w:ilvl="0">
      <w:lvlJc w:val="left"/>
      <w:lvlText w:val="9"/>
      <w:numFmt w:val="bullet"/>
      <w:start w:val="1"/>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2021-08-03T05:44:20Z</dcterms:created>
  <dcterms:modified xsi:type="dcterms:W3CDTF">2021-08-03T05:44:20Z</dcterms:modified>
</cp:coreProperties>
</file>