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 2020</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1"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1"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511"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6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4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None</w:t>
            </w:r>
          </w:p>
        </w:tc>
        <w:tc>
          <w:tcPr>
            <w:tcW w:w="32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7"/>
              </w:rPr>
              <w:t>None</w:t>
            </w:r>
          </w:p>
        </w:tc>
        <w:tc>
          <w:tcPr>
            <w:tcW w:w="41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7600"/>
        <w:spacing w:after="0" w:line="207" w:lineRule="exact"/>
        <w:tabs>
          <w:tab w:leader="none" w:pos="97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Fourteenth Supplemental Indenture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 2020, Clearway Energy Operating LLC (“Clearway Operating LLC”), a subsidiary of Clearway Energy LLC (“Clearway LLC”), the guarantors currently party to the 2026 Notes Indenture (defined below), Ocotillo Windpower Holdings LLC(the “Guaranteeing Subsidiary”) and Delaware Trust Company (as successor in interest to Law Debenture Trust Company of New York), as trustee (the “Trustee”), entered into the fourteenth supplemental indenture (the “Fourteenth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Fourteenth Supplemental Indenture, the Guaranteeing Subsidiary became a guarantor of Clearway Operating LLC’s obligations under the 2026 Notes.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Fourteenth Supplemental Indenture does not purport to be complete and is qualified in its entirety by reference to the Fourteenth Supplemental Indenture, which is attached as Exhibit 4.1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Tenth Supplemental Indenture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 2020, Clearway Operating LLC, the guarantors currently party to the 2025 Notes Indenture (defined below), the Guaranteeing Subsidiary and the Trustee also entered into the tenth supplemental indenture (the “Tenth Supplemental Indenture”), supplementing the indenture, dated as of October 1, 2018 (as amended or supplemented to the date hereof, the “2025 Notes Indenture”), by and among Clearway Operating LLC, the guarantors party thereto and the Trustee, pursuant to which Clearway Operating LLC issued $600,000,000 in aggregate principal amount of its 5.750% Senior Notes due 2025 (the “2025 Notes”). Pursuant to the Tenth Supplemental Indenture, the Guaranteeing Subsidiary became a guarantor of Clearway Operating LLC’s obligations under the 2025 Notes.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Tenth Supplemental Indenture does not purport to be complete and is qualified in its entirety by reference to the Tenth Supplemental Indenture, which is attached as Exhibit 4.2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Sixth Supplemental Indenture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 2020, Clearway Operating LLC, the guarantors currently party to the 2028 Notes Indenture (defined below), the Guaranteeing Subsidiary and the Trustee also entered into the sixth supplemental indenture (the “Sixth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Sixth Supplemental Indenture, the Guaranteeing Subsidiary became a guarantor of Clearway Operating LLC’s obligations under the 2028 Notes.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Sixth Supplemental Indenture does not purport to be complete and is qualified in its entirety by reference to the Sixth Supplemental Indenture, which is attached as Exhibit 4.3 to this Current Report on Form 8-K and is incorporated by reference herein.</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7" w:lineRule="exact"/>
        <w:rPr>
          <w:sz w:val="20"/>
          <w:szCs w:val="20"/>
          <w:color w:val="auto"/>
        </w:rPr>
      </w:pPr>
    </w:p>
    <w:p>
      <w:pPr>
        <w:ind w:left="620" w:hanging="612"/>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180" w:type="dxa"/>
            <w:vAlign w:val="bottom"/>
          </w:tcPr>
          <w:p>
            <w:pPr>
              <w:spacing w:after="0"/>
              <w:rPr>
                <w:sz w:val="20"/>
                <w:szCs w:val="20"/>
                <w:color w:val="auto"/>
              </w:rPr>
            </w:pPr>
          </w:p>
        </w:tc>
        <w:tc>
          <w:tcPr>
            <w:tcW w:w="7700" w:type="dxa"/>
            <w:vAlign w:val="bottom"/>
            <w:gridSpan w:val="4"/>
          </w:tcPr>
          <w:p>
            <w:pPr>
              <w:ind w:left="236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1140" w:type="dxa"/>
            <w:vAlign w:val="bottom"/>
            <w:tcBorders>
              <w:top w:val="single" w:sz="8" w:color="auto"/>
            </w:tcBorders>
          </w:tcPr>
          <w:p>
            <w:pPr>
              <w:jc w:val="right"/>
              <w:ind w:right="37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4.1</w:t>
              </w:r>
            </w:hyperlink>
          </w:p>
        </w:tc>
        <w:tc>
          <w:tcPr>
            <w:tcW w:w="220" w:type="dxa"/>
            <w:vAlign w:val="bottom"/>
          </w:tcPr>
          <w:p>
            <w:pPr>
              <w:spacing w:after="0"/>
              <w:rPr>
                <w:sz w:val="24"/>
                <w:szCs w:val="24"/>
                <w:color w:val="auto"/>
              </w:rPr>
            </w:pPr>
          </w:p>
        </w:tc>
        <w:tc>
          <w:tcPr>
            <w:tcW w:w="9880" w:type="dxa"/>
            <w:vAlign w:val="bottom"/>
            <w:tcBorders>
              <w:top w:val="single" w:sz="8" w:color="auto"/>
            </w:tcBorders>
            <w:gridSpan w:val="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Fourteenth Supplemental Indenture, dated as of December 1, 2020, among Clearway Energy Operating LLC, the guarantors named</w:t>
              </w:r>
            </w:hyperlink>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40" w:type="dxa"/>
            <w:vAlign w:val="bottom"/>
            <w:tcBorders>
              <w:top w:val="single" w:sz="8" w:color="0000EE"/>
            </w:tcBorders>
            <w:gridSpan w:val="2"/>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therein and Delaware Trust Company (as successor in interest to Law Debenture Trust Company of New York).</w:t>
              </w:r>
            </w:hyperlink>
          </w:p>
        </w:tc>
        <w:tc>
          <w:tcPr>
            <w:tcW w:w="440" w:type="dxa"/>
            <w:vAlign w:val="bottom"/>
            <w:gridSpan w:val="3"/>
          </w:tcPr>
          <w:p>
            <w:pPr>
              <w:spacing w:after="0"/>
              <w:rPr>
                <w:sz w:val="18"/>
                <w:szCs w:val="18"/>
                <w:color w:val="auto"/>
              </w:rPr>
            </w:pPr>
          </w:p>
        </w:tc>
      </w:tr>
      <w:tr>
        <w:trPr>
          <w:trHeight w:val="194"/>
        </w:trPr>
        <w:tc>
          <w:tcPr>
            <w:tcW w:w="1140" w:type="dxa"/>
            <w:vAlign w:val="bottom"/>
          </w:tcPr>
          <w:p>
            <w:pPr>
              <w:jc w:val="right"/>
              <w:ind w:right="370"/>
              <w:spacing w:after="0" w:line="194" w:lineRule="exact"/>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4.2</w:t>
              </w:r>
            </w:hyperlink>
          </w:p>
        </w:tc>
        <w:tc>
          <w:tcPr>
            <w:tcW w:w="220" w:type="dxa"/>
            <w:vAlign w:val="bottom"/>
          </w:tcPr>
          <w:p>
            <w:pPr>
              <w:spacing w:after="0"/>
              <w:rPr>
                <w:sz w:val="16"/>
                <w:szCs w:val="16"/>
                <w:color w:val="auto"/>
              </w:rPr>
            </w:pPr>
          </w:p>
        </w:tc>
        <w:tc>
          <w:tcPr>
            <w:tcW w:w="9880" w:type="dxa"/>
            <w:vAlign w:val="bottom"/>
            <w:gridSpan w:val="5"/>
          </w:tcPr>
          <w:p>
            <w:pPr>
              <w:spacing w:after="0" w:line="194"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Tenth Supplemental Indenture, dated as of December 1, 2020, among Clearway Energy Operating LLC, the guarantors named therein</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and Delaware Trust Company.</w:t>
              </w:r>
            </w:hyperlink>
          </w:p>
        </w:tc>
        <w:tc>
          <w:tcPr>
            <w:tcW w:w="2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1140" w:type="dxa"/>
            <w:vAlign w:val="bottom"/>
          </w:tcPr>
          <w:p>
            <w:pPr>
              <w:jc w:val="right"/>
              <w:ind w:right="370"/>
              <w:spacing w:after="0" w:line="196" w:lineRule="exact"/>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4.3</w:t>
              </w:r>
            </w:hyperlink>
          </w:p>
        </w:tc>
        <w:tc>
          <w:tcPr>
            <w:tcW w:w="220" w:type="dxa"/>
            <w:vAlign w:val="bottom"/>
          </w:tcPr>
          <w:p>
            <w:pPr>
              <w:spacing w:after="0"/>
              <w:rPr>
                <w:sz w:val="17"/>
                <w:szCs w:val="17"/>
                <w:color w:val="auto"/>
              </w:rPr>
            </w:pPr>
          </w:p>
        </w:tc>
        <w:tc>
          <w:tcPr>
            <w:tcW w:w="96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Sixth Supplemental Indenture, dated as of December 1, 2020, among Clearway Energy Operating LLC, the guarantors named therein</w:t>
              </w:r>
            </w:hyperlink>
          </w:p>
        </w:tc>
        <w:tc>
          <w:tcPr>
            <w:tcW w:w="2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5"/>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and Delaware Trust Company.</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3360" w:hanging="5140"/>
        <w:spacing w:after="0" w:line="783" w:lineRule="auto"/>
        <w:tabs>
          <w:tab w:leader="none" w:pos="13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4, 2020</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FOURTEENTH SUPPLEMENTAL INDENTURE</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FOURTEENTH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December 1, 2020, among Ocotillo Windpower Holdings LLC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a subsidiary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August 18, 2016 providing for the issuance of 5.000% Senior Notes due 2026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76" w:lineRule="exact"/>
        <w:rPr>
          <w:sz w:val="20"/>
          <w:szCs w:val="20"/>
          <w:color w:val="auto"/>
        </w:rPr>
      </w:pPr>
    </w:p>
    <w:p>
      <w:pPr>
        <w:ind w:left="1340" w:hanging="684"/>
        <w:spacing w:after="0"/>
        <w:tabs>
          <w:tab w:leader="none" w:pos="1340"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431"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79"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336"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left="-60" w:firstLine="656"/>
        <w:spacing w:after="0" w:line="266" w:lineRule="auto"/>
        <w:tabs>
          <w:tab w:leader="none" w:pos="1317"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75" w:lineRule="exact"/>
        <w:rPr>
          <w:rFonts w:ascii="Times New Roman" w:cs="Times New Roman" w:eastAsia="Times New Roman" w:hAnsi="Times New Roman"/>
          <w:sz w:val="18"/>
          <w:szCs w:val="18"/>
          <w:color w:val="010000"/>
        </w:rPr>
      </w:pPr>
    </w:p>
    <w:p>
      <w:pPr>
        <w:ind w:left="-60" w:firstLine="656"/>
        <w:spacing w:after="0" w:line="282" w:lineRule="auto"/>
        <w:tabs>
          <w:tab w:leader="none" w:pos="1357"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010000"/>
        </w:rPr>
      </w:pPr>
    </w:p>
    <w:p>
      <w:pPr>
        <w:ind w:left="1280" w:hanging="684"/>
        <w:spacing w:after="0"/>
        <w:tabs>
          <w:tab w:leader="none" w:pos="1280"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010000"/>
        </w:rPr>
      </w:pPr>
    </w:p>
    <w:p>
      <w:pPr>
        <w:jc w:val="both"/>
        <w:ind w:left="-60" w:firstLine="656"/>
        <w:spacing w:after="0" w:line="266" w:lineRule="auto"/>
        <w:tabs>
          <w:tab w:leader="none" w:pos="1371"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5" w:lineRule="exact"/>
        <w:rPr>
          <w:rFonts w:ascii="Times New Roman" w:cs="Times New Roman" w:eastAsia="Times New Roman" w:hAnsi="Times New Roman"/>
          <w:sz w:val="18"/>
          <w:szCs w:val="18"/>
          <w:color w:val="010000"/>
        </w:rPr>
      </w:pPr>
    </w:p>
    <w:p>
      <w:pPr>
        <w:jc w:val="both"/>
        <w:ind w:left="-60" w:firstLine="656"/>
        <w:spacing w:after="0" w:line="261" w:lineRule="auto"/>
        <w:tabs>
          <w:tab w:leader="none" w:pos="1317"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79" w:lineRule="exact"/>
        <w:rPr>
          <w:rFonts w:ascii="Times New Roman" w:cs="Times New Roman" w:eastAsia="Times New Roman" w:hAnsi="Times New Roman"/>
          <w:sz w:val="18"/>
          <w:szCs w:val="18"/>
          <w:color w:val="010000"/>
        </w:rPr>
      </w:pPr>
    </w:p>
    <w:p>
      <w:pPr>
        <w:jc w:val="both"/>
        <w:ind w:left="-60" w:firstLine="656"/>
        <w:spacing w:after="0" w:line="252" w:lineRule="auto"/>
        <w:tabs>
          <w:tab w:leader="none" w:pos="1290"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5" w:name="page6"/>
    <w:bookmarkEnd w:id="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OCOTILLO WINDPOWER HOLDINGS LLC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Senior Vice President, Chief Financial Officer &amp;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Fourteenth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450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MESQUITE STAR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INFRASTRUCTURE DEVELOPMENT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UTAH SOLAR MASTER HOLDCO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Fourteenth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4" w:right="7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39" w:lineRule="exact"/>
        <w:rPr>
          <w:sz w:val="20"/>
          <w:szCs w:val="20"/>
          <w:color w:val="auto"/>
        </w:rPr>
      </w:pPr>
    </w:p>
    <w:p>
      <w:pPr>
        <w:jc w:val="right"/>
        <w:ind w:right="8199"/>
        <w:spacing w:after="0"/>
        <w:rPr>
          <w:sz w:val="20"/>
          <w:szCs w:val="20"/>
          <w:color w:val="auto"/>
        </w:rPr>
      </w:pPr>
      <w:r>
        <w:rPr>
          <w:rFonts w:ascii="Times New Roman" w:cs="Times New Roman" w:eastAsia="Times New Roman" w:hAnsi="Times New Roman"/>
          <w:sz w:val="18"/>
          <w:szCs w:val="18"/>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jc w:val="right"/>
        <w:ind w:right="8199"/>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3" w:lineRule="exact"/>
        <w:rPr>
          <w:sz w:val="20"/>
          <w:szCs w:val="20"/>
          <w:color w:val="auto"/>
        </w:rPr>
      </w:pPr>
    </w:p>
    <w:p>
      <w:pPr>
        <w:jc w:val="right"/>
        <w:ind w:right="24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Fourteenth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TENTH SUPPLEMENTAL INDENTURE</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TENTH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December 1, 2020, among Ocotillo Windpower Holdings LLC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a subsidiary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October 1, 2018 providing for the issuance of 5.750% Senior Notes due 2025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76" w:lineRule="exact"/>
        <w:rPr>
          <w:sz w:val="20"/>
          <w:szCs w:val="20"/>
          <w:color w:val="auto"/>
        </w:rPr>
      </w:pPr>
    </w:p>
    <w:p>
      <w:pPr>
        <w:ind w:left="1340" w:hanging="684"/>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ind w:left="-656" w:firstLine="656"/>
        <w:spacing w:after="0" w:line="282" w:lineRule="auto"/>
        <w:tabs>
          <w:tab w:leader="none" w:pos="7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7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7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6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427355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120" w:right="33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OCOTILLO WINDPOWER HOLDINGS LLC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Senior Vice President, Chief Financial Officer &amp; Treasurer</w:t>
      </w:r>
    </w:p>
    <w:p>
      <w:pPr>
        <w:spacing w:after="0" w:line="20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Tenth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320" w:top="904" w:right="899" w:bottom="1440" w:gutter="0" w:footer="0" w:header="0"/>
        </w:sectPr>
      </w:pPr>
    </w:p>
    <w:bookmarkStart w:id="11" w:name="page12"/>
    <w:bookmarkEnd w:id="11"/>
    <w:p>
      <w:pPr>
        <w:ind w:left="450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MESQUITE STAR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INFRASTRUCTURE DEVELOPMENT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UB FUEL CELL, LLC UTAH SOLAR MASTER HOLDCO LLC</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4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Tenth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4" w:right="7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Benjamin Hancock</w:t>
      </w:r>
    </w:p>
    <w:p>
      <w:pPr>
        <w:spacing w:after="0" w:line="36" w:lineRule="exact"/>
        <w:rPr>
          <w:sz w:val="20"/>
          <w:szCs w:val="20"/>
          <w:color w:val="auto"/>
        </w:rPr>
      </w:pPr>
    </w:p>
    <w:p>
      <w:pPr>
        <w:jc w:val="right"/>
        <w:ind w:right="8059"/>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-127635</wp:posOffset>
            </wp:positionV>
            <wp:extent cx="32746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3"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Tenth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SIXTH SUPPLEMENTAL INDENTURE</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SIXTH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December 1, 2020, among Ocotillo Windpower Holdings LLC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a subsidiary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December 11, 2019 providing for the issuance of 4.750% Senior Notes due 2028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76" w:lineRule="exact"/>
        <w:rPr>
          <w:sz w:val="20"/>
          <w:szCs w:val="20"/>
          <w:color w:val="auto"/>
        </w:rPr>
      </w:pPr>
    </w:p>
    <w:p>
      <w:pPr>
        <w:ind w:left="1340" w:hanging="684"/>
        <w:spacing w:after="0"/>
        <w:tabs>
          <w:tab w:leader="none" w:pos="134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431"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79"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336"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ind w:firstLine="656"/>
        <w:spacing w:after="0" w:line="266" w:lineRule="auto"/>
        <w:tabs>
          <w:tab w:leader="none" w:pos="1377"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75" w:lineRule="exact"/>
        <w:rPr>
          <w:rFonts w:ascii="Times New Roman" w:cs="Times New Roman" w:eastAsia="Times New Roman" w:hAnsi="Times New Roman"/>
          <w:sz w:val="18"/>
          <w:szCs w:val="18"/>
          <w:color w:val="010000"/>
        </w:rPr>
      </w:pPr>
    </w:p>
    <w:p>
      <w:pPr>
        <w:ind w:firstLine="656"/>
        <w:spacing w:after="0" w:line="282" w:lineRule="auto"/>
        <w:tabs>
          <w:tab w:leader="none" w:pos="1417"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010000"/>
        </w:rPr>
      </w:pPr>
    </w:p>
    <w:p>
      <w:pPr>
        <w:ind w:left="1340" w:hanging="684"/>
        <w:spacing w:after="0"/>
        <w:tabs>
          <w:tab w:leader="none" w:pos="1340"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431"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377"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79" w:lineRule="exact"/>
        <w:rPr>
          <w:rFonts w:ascii="Times New Roman" w:cs="Times New Roman" w:eastAsia="Times New Roman" w:hAnsi="Times New Roman"/>
          <w:sz w:val="18"/>
          <w:szCs w:val="18"/>
          <w:color w:val="010000"/>
        </w:rPr>
      </w:pPr>
    </w:p>
    <w:p>
      <w:pPr>
        <w:jc w:val="both"/>
        <w:ind w:firstLine="656"/>
        <w:spacing w:after="0" w:line="252" w:lineRule="auto"/>
        <w:tabs>
          <w:tab w:leader="none" w:pos="1350"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OCOTILLO WINDPOWER HOLDINGS LLC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Senior Vice President, Chief Financial Officer &amp;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Sixth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left="450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DG-CS HOLDINGS LLC DG SREC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FUEL CELL HOLDINGS LLC MESQUITE STAR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FLAGSTAFF ONE LLC SOLAR IGUANA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INFRASTRUCTURE DEVELOPMENT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UB FUEL CELL, LLC UTAH SOLAR MASTER HOLDCO LLC</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4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Sixth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4" w:right="7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Benjamin Hancock</w:t>
      </w:r>
    </w:p>
    <w:p>
      <w:pPr>
        <w:spacing w:after="0" w:line="36" w:lineRule="exact"/>
        <w:rPr>
          <w:sz w:val="20"/>
          <w:szCs w:val="20"/>
          <w:color w:val="auto"/>
        </w:rPr>
      </w:pPr>
    </w:p>
    <w:p>
      <w:pPr>
        <w:jc w:val="right"/>
        <w:ind w:right="8059"/>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-127635</wp:posOffset>
            </wp:positionV>
            <wp:extent cx="32746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3"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Sixth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04"/>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2020-12-04T15:09:15Z</dcterms:created>
  <dcterms:modified xsi:type="dcterms:W3CDTF">2020-12-04T15:09:15Z</dcterms:modified>
</cp:coreProperties>
</file>