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66"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6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3"/>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7"/>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Global Infrastructure Investors III, LLC</w:t>
              </w:r>
            </w:hyperlink>
          </w:p>
        </w:tc>
        <w:tc>
          <w:tcPr>
            <w:tcW w:w="2960" w:type="dxa"/>
            <w:vAlign w:val="bottom"/>
            <w:gridSpan w:val="9"/>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Clearway Energy,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6"/>
            <w:vMerge w:val="restart"/>
          </w:tcPr>
          <w:p>
            <w:pPr>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20" w:type="dxa"/>
            <w:vAlign w:val="bottom"/>
            <w:gridSpan w:val="7"/>
            <w:vMerge w:val="continue"/>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gridSpan w:val="6"/>
            <w:vMerge w:val="continue"/>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20" w:type="dxa"/>
            <w:vAlign w:val="bottom"/>
            <w:gridSpan w:val="7"/>
            <w:vMerge w:val="continue"/>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13"/>
                <w:szCs w:val="13"/>
                <w:color w:val="auto"/>
              </w:rPr>
            </w:pPr>
          </w:p>
        </w:tc>
        <w:tc>
          <w:tcPr>
            <w:tcW w:w="1660" w:type="dxa"/>
            <w:vAlign w:val="bottom"/>
            <w:gridSpan w:val="6"/>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6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gridSpan w:val="3"/>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6"/>
            <w:vMerge w:val="restart"/>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3"/>
            <w:vMerge w:val="continue"/>
          </w:tcPr>
          <w:p>
            <w:pPr>
              <w:spacing w:after="0"/>
              <w:rPr>
                <w:sz w:val="2"/>
                <w:szCs w:val="2"/>
                <w:color w:val="auto"/>
              </w:rPr>
            </w:pPr>
          </w:p>
        </w:tc>
        <w:tc>
          <w:tcPr>
            <w:tcW w:w="1660" w:type="dxa"/>
            <w:vAlign w:val="bottom"/>
            <w:gridSpan w:val="6"/>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gridSpan w:val="3"/>
            <w:vMerge w:val="continue"/>
          </w:tcPr>
          <w:p>
            <w:pPr>
              <w:spacing w:after="0"/>
              <w:rPr>
                <w:sz w:val="3"/>
                <w:szCs w:val="3"/>
                <w:color w:val="auto"/>
              </w:rPr>
            </w:pPr>
          </w:p>
        </w:tc>
        <w:tc>
          <w:tcPr>
            <w:tcW w:w="166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960" w:type="dxa"/>
            <w:vAlign w:val="bottom"/>
            <w:gridSpan w:val="9"/>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3"/>
                <w:szCs w:val="13"/>
                <w:color w:val="auto"/>
              </w:rPr>
            </w:pPr>
          </w:p>
        </w:tc>
        <w:tc>
          <w:tcPr>
            <w:tcW w:w="88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vMerge w:val="restart"/>
          </w:tcPr>
          <w:p>
            <w:pPr>
              <w:spacing w:after="0"/>
              <w:rPr>
                <w:sz w:val="20"/>
                <w:szCs w:val="20"/>
                <w:color w:val="auto"/>
              </w:rPr>
            </w:pPr>
            <w:r>
              <w:rPr>
                <w:rFonts w:ascii="Arial" w:cs="Arial" w:eastAsia="Arial" w:hAnsi="Arial"/>
                <w:sz w:val="17"/>
                <w:szCs w:val="17"/>
                <w:color w:val="0000FF"/>
              </w:rPr>
              <w:t>1345 AVENUE OF THE AMERICAS, 30TH</w:t>
            </w:r>
          </w:p>
        </w:tc>
        <w:tc>
          <w:tcPr>
            <w:tcW w:w="1300" w:type="dxa"/>
            <w:vAlign w:val="bottom"/>
            <w:gridSpan w:val="5"/>
          </w:tcPr>
          <w:p>
            <w:pPr>
              <w:ind w:left="80"/>
              <w:spacing w:after="0"/>
              <w:rPr>
                <w:sz w:val="20"/>
                <w:szCs w:val="20"/>
                <w:color w:val="auto"/>
              </w:rPr>
            </w:pPr>
            <w:r>
              <w:rPr>
                <w:rFonts w:ascii="Arial" w:cs="Arial" w:eastAsia="Arial" w:hAnsi="Arial"/>
                <w:sz w:val="17"/>
                <w:szCs w:val="17"/>
                <w:color w:val="0000FF"/>
              </w:rPr>
              <w:t>04/01/2020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720" w:type="dxa"/>
            <w:vAlign w:val="bottom"/>
            <w:gridSpan w:val="7"/>
            <w:vMerge w:val="continue"/>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line="182" w:lineRule="exact"/>
              <w:rPr>
                <w:sz w:val="20"/>
                <w:szCs w:val="20"/>
                <w:color w:val="auto"/>
              </w:rPr>
            </w:pPr>
            <w:r>
              <w:rPr>
                <w:rFonts w:ascii="Arial" w:cs="Arial" w:eastAsia="Arial" w:hAnsi="Arial"/>
                <w:sz w:val="17"/>
                <w:szCs w:val="17"/>
                <w:color w:val="0000FF"/>
              </w:rPr>
              <w:t>FLOOR</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1340" w:type="dxa"/>
            <w:vAlign w:val="bottom"/>
            <w:tcBorders>
              <w:bottom w:val="single" w:sz="8" w:color="9A9A9A"/>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900" w:type="dxa"/>
            <w:vAlign w:val="bottom"/>
            <w:gridSpan w:val="12"/>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3"/>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4"/>
          </w:tcPr>
          <w:p>
            <w:pPr>
              <w:spacing w:after="0" w:line="120" w:lineRule="exact"/>
              <w:rPr>
                <w:sz w:val="20"/>
                <w:szCs w:val="20"/>
                <w:color w:val="auto"/>
              </w:rPr>
            </w:pPr>
            <w:r>
              <w:rPr>
                <w:rFonts w:ascii="Arial" w:cs="Arial" w:eastAsia="Arial" w:hAnsi="Arial"/>
                <w:sz w:val="13"/>
                <w:szCs w:val="13"/>
                <w:color w:val="auto"/>
              </w:rPr>
              <w:t>Line)</w:t>
            </w:r>
          </w:p>
        </w:tc>
        <w:tc>
          <w:tcPr>
            <w:tcW w:w="2960" w:type="dxa"/>
            <w:vAlign w:val="bottom"/>
            <w:gridSpan w:val="9"/>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NY</w:t>
            </w:r>
          </w:p>
        </w:tc>
        <w:tc>
          <w:tcPr>
            <w:tcW w:w="1340" w:type="dxa"/>
            <w:vAlign w:val="bottom"/>
          </w:tcPr>
          <w:p>
            <w:pPr>
              <w:ind w:left="140"/>
              <w:spacing w:after="0"/>
              <w:rPr>
                <w:sz w:val="20"/>
                <w:szCs w:val="20"/>
                <w:color w:val="auto"/>
              </w:rPr>
            </w:pPr>
            <w:r>
              <w:rPr>
                <w:rFonts w:ascii="Arial" w:cs="Arial" w:eastAsia="Arial" w:hAnsi="Arial"/>
                <w:sz w:val="17"/>
                <w:szCs w:val="17"/>
                <w:color w:val="0000FF"/>
              </w:rPr>
              <w:t>10105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960" w:type="dxa"/>
            <w:vAlign w:val="bottom"/>
            <w:gridSpan w:val="9"/>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gridSpan w:val="2"/>
          </w:tcPr>
          <w:p>
            <w:pPr>
              <w:spacing w:after="0"/>
              <w:rPr>
                <w:sz w:val="11"/>
                <w:szCs w:val="11"/>
                <w:color w:val="auto"/>
              </w:rPr>
            </w:pPr>
          </w:p>
        </w:tc>
        <w:tc>
          <w:tcPr>
            <w:tcW w:w="252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gridSpan w:val="4"/>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22"/>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360" w:type="dxa"/>
            <w:vAlign w:val="bottom"/>
            <w:gridSpan w:val="6"/>
          </w:tcPr>
          <w:p>
            <w:pPr>
              <w:ind w:left="24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6"/>
          </w:tcPr>
          <w:p>
            <w:pPr>
              <w:ind w:left="24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80" w:type="dxa"/>
            <w:vAlign w:val="bottom"/>
            <w:gridSpan w:val="7"/>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gridSpan w:val="6"/>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5"/>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1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1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860" w:type="dxa"/>
            <w:vAlign w:val="bottom"/>
            <w:gridSpan w:val="4"/>
            <w:vMerge w:val="restart"/>
          </w:tcPr>
          <w:p>
            <w:pPr>
              <w:ind w:left="640"/>
              <w:spacing w:after="0"/>
              <w:rPr>
                <w:sz w:val="20"/>
                <w:szCs w:val="20"/>
                <w:color w:val="auto"/>
              </w:rPr>
            </w:pPr>
            <w:r>
              <w:rPr>
                <w:rFonts w:ascii="Arial" w:cs="Arial" w:eastAsia="Arial" w:hAnsi="Arial"/>
                <w:sz w:val="17"/>
                <w:szCs w:val="17"/>
                <w:color w:val="0000FF"/>
              </w:rPr>
              <w:t>04/01/2020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vMerge w:val="restart"/>
          </w:tcPr>
          <w:p>
            <w:pPr>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860" w:type="dxa"/>
            <w:vAlign w:val="bottom"/>
            <w:vMerge w:val="restart"/>
          </w:tcPr>
          <w:p>
            <w:pPr>
              <w:jc w:val="right"/>
              <w:ind w:right="192"/>
              <w:spacing w:after="0"/>
              <w:rPr>
                <w:sz w:val="20"/>
                <w:szCs w:val="20"/>
                <w:color w:val="auto"/>
              </w:rPr>
            </w:pPr>
            <w:r>
              <w:rPr>
                <w:rFonts w:ascii="Arial" w:cs="Arial" w:eastAsia="Arial" w:hAnsi="Arial"/>
                <w:sz w:val="17"/>
                <w:szCs w:val="17"/>
                <w:color w:val="0000FF"/>
              </w:rPr>
              <w:t>2,691</w:t>
            </w: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A</w:t>
            </w:r>
          </w:p>
        </w:tc>
        <w:tc>
          <w:tcPr>
            <w:tcW w:w="6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17.9</w:t>
            </w:r>
            <w:r>
              <w:rPr>
                <w:rFonts w:ascii="Arial" w:cs="Arial" w:eastAsia="Arial" w:hAnsi="Arial"/>
                <w:sz w:val="22"/>
                <w:szCs w:val="22"/>
                <w:color w:val="008000"/>
                <w:w w:val="92"/>
                <w:vertAlign w:val="superscript"/>
              </w:rPr>
              <w:t>(1)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7"/>
                <w:szCs w:val="17"/>
                <w:color w:val="0000FF"/>
                <w:w w:val="94"/>
              </w:rPr>
              <w:t>171,417</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8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860" w:type="dxa"/>
            <w:vAlign w:val="bottom"/>
            <w:tcBorders>
              <w:top w:val="single" w:sz="8" w:color="2C2C2C"/>
            </w:tcBorders>
            <w:gridSpan w:val="4"/>
            <w:vMerge w:val="restart"/>
          </w:tcPr>
          <w:p>
            <w:pPr>
              <w:ind w:left="640"/>
              <w:spacing w:after="0"/>
              <w:rPr>
                <w:sz w:val="20"/>
                <w:szCs w:val="20"/>
                <w:color w:val="auto"/>
              </w:rPr>
            </w:pPr>
            <w:r>
              <w:rPr>
                <w:rFonts w:ascii="Arial" w:cs="Arial" w:eastAsia="Arial" w:hAnsi="Arial"/>
                <w:sz w:val="17"/>
                <w:szCs w:val="17"/>
                <w:color w:val="0000FF"/>
              </w:rPr>
              <w:t>04/01/2020</w:t>
            </w: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(4)</w:t>
            </w:r>
          </w:p>
        </w:tc>
        <w:tc>
          <w:tcPr>
            <w:tcW w:w="860" w:type="dxa"/>
            <w:vAlign w:val="bottom"/>
            <w:tcBorders>
              <w:top w:val="single" w:sz="8" w:color="2C2C2C"/>
            </w:tcBorders>
            <w:vMerge w:val="restart"/>
          </w:tcPr>
          <w:p>
            <w:pPr>
              <w:jc w:val="right"/>
              <w:ind w:right="112"/>
              <w:spacing w:after="0"/>
              <w:rPr>
                <w:sz w:val="20"/>
                <w:szCs w:val="20"/>
                <w:color w:val="auto"/>
              </w:rPr>
            </w:pPr>
            <w:r>
              <w:rPr>
                <w:rFonts w:ascii="Arial" w:cs="Arial" w:eastAsia="Arial" w:hAnsi="Arial"/>
                <w:sz w:val="17"/>
                <w:szCs w:val="17"/>
                <w:color w:val="0000FF"/>
              </w:rPr>
              <w:t>159,327</w:t>
            </w:r>
          </w:p>
        </w:tc>
        <w:tc>
          <w:tcPr>
            <w:tcW w:w="440" w:type="dxa"/>
            <w:vAlign w:val="bottom"/>
            <w:tcBorders>
              <w:top w:val="single" w:sz="8" w:color="2C2C2C"/>
            </w:tcBorders>
            <w:vMerge w:val="restart"/>
          </w:tcPr>
          <w:p>
            <w:pPr>
              <w:ind w:left="120"/>
              <w:spacing w:after="0"/>
              <w:rPr>
                <w:sz w:val="20"/>
                <w:szCs w:val="20"/>
                <w:color w:val="auto"/>
              </w:rPr>
            </w:pPr>
            <w:r>
              <w:rPr>
                <w:rFonts w:ascii="Arial" w:cs="Arial" w:eastAsia="Arial" w:hAnsi="Arial"/>
                <w:sz w:val="17"/>
                <w:szCs w:val="17"/>
                <w:color w:val="0000FF"/>
              </w:rPr>
              <w:t>D</w:t>
            </w:r>
          </w:p>
        </w:tc>
        <w:tc>
          <w:tcPr>
            <w:tcW w:w="4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gridSpan w:val="2"/>
            <w:vMerge w:val="restart"/>
          </w:tcPr>
          <w:p>
            <w:pPr>
              <w:jc w:val="right"/>
              <w:ind w:right="320"/>
              <w:spacing w:after="0"/>
              <w:rPr>
                <w:sz w:val="20"/>
                <w:szCs w:val="20"/>
                <w:color w:val="auto"/>
              </w:rPr>
            </w:pPr>
            <w:r>
              <w:rPr>
                <w:rFonts w:ascii="Arial" w:cs="Arial" w:eastAsia="Arial" w:hAnsi="Arial"/>
                <w:sz w:val="17"/>
                <w:szCs w:val="17"/>
                <w:color w:val="0000FF"/>
              </w:rPr>
              <w:t>12,090</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86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20" w:type="dxa"/>
            <w:vAlign w:val="bottom"/>
            <w:gridSpan w:val="1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8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5"/>
          </w:tcPr>
          <w:p>
            <w:pPr>
              <w:ind w:left="1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10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3760" w:type="dxa"/>
            <w:vAlign w:val="bottom"/>
            <w:tcBorders>
              <w:bottom w:val="single" w:sz="8" w:color="2C2C2C"/>
            </w:tcBorders>
            <w:gridSpan w:val="7"/>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Global Infrastructure Investors III, LLC</w:t>
              </w:r>
            </w:hyperlink>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11"/>
          </w:tcPr>
          <w:p>
            <w:pPr>
              <w:spacing w:after="0"/>
              <w:rPr>
                <w:sz w:val="20"/>
                <w:szCs w:val="20"/>
                <w:color w:val="auto"/>
              </w:rPr>
            </w:pPr>
            <w:r>
              <w:rPr>
                <w:rFonts w:ascii="Arial" w:cs="Arial" w:eastAsia="Arial" w:hAnsi="Arial"/>
                <w:sz w:val="17"/>
                <w:szCs w:val="17"/>
                <w:color w:val="0000FF"/>
              </w:rPr>
              <w:t>1345 AVENUE OF THE AMERICAS, 30TH FLOOR</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340" w:type="dxa"/>
            <w:vAlign w:val="bottom"/>
          </w:tcPr>
          <w:p>
            <w:pPr>
              <w:ind w:left="500"/>
              <w:spacing w:after="0"/>
              <w:rPr>
                <w:sz w:val="20"/>
                <w:szCs w:val="20"/>
                <w:color w:val="auto"/>
              </w:rPr>
            </w:pPr>
            <w:r>
              <w:rPr>
                <w:rFonts w:ascii="Arial" w:cs="Arial" w:eastAsia="Arial" w:hAnsi="Arial"/>
                <w:sz w:val="17"/>
                <w:szCs w:val="17"/>
                <w:color w:val="0000FF"/>
              </w:rPr>
              <w:t>10105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820" w:type="dxa"/>
            <w:vAlign w:val="bottom"/>
            <w:tcBorders>
              <w:bottom w:val="single" w:sz="8" w:color="2C2C2C"/>
            </w:tcBorders>
            <w:gridSpan w:val="8"/>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Global Infrastructure GP III, L.P.</w:t>
              </w:r>
            </w:hyperlink>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11"/>
          </w:tcPr>
          <w:p>
            <w:pPr>
              <w:spacing w:after="0"/>
              <w:rPr>
                <w:sz w:val="20"/>
                <w:szCs w:val="20"/>
                <w:color w:val="auto"/>
              </w:rPr>
            </w:pPr>
            <w:r>
              <w:rPr>
                <w:rFonts w:ascii="Arial" w:cs="Arial" w:eastAsia="Arial" w:hAnsi="Arial"/>
                <w:sz w:val="17"/>
                <w:szCs w:val="17"/>
                <w:color w:val="0000FF"/>
              </w:rPr>
              <w:t>1345 AVENUE OF THE AMERICAS, 30TH FLOOR</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340" w:type="dxa"/>
            <w:vAlign w:val="bottom"/>
          </w:tcPr>
          <w:p>
            <w:pPr>
              <w:ind w:left="500"/>
              <w:spacing w:after="0"/>
              <w:rPr>
                <w:sz w:val="20"/>
                <w:szCs w:val="20"/>
                <w:color w:val="auto"/>
              </w:rPr>
            </w:pPr>
            <w:r>
              <w:rPr>
                <w:rFonts w:ascii="Arial" w:cs="Arial" w:eastAsia="Arial" w:hAnsi="Arial"/>
                <w:sz w:val="17"/>
                <w:szCs w:val="17"/>
                <w:color w:val="0000FF"/>
              </w:rPr>
              <w:t>10105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820" w:type="dxa"/>
            <w:vAlign w:val="bottom"/>
            <w:tcBorders>
              <w:bottom w:val="single" w:sz="8" w:color="2C2C2C"/>
            </w:tcBorders>
            <w:gridSpan w:val="8"/>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GIP III Zephyr Acquisition Partners L.P.</w:t>
              </w:r>
            </w:hyperlink>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-7360920</wp:posOffset>
            </wp:positionV>
            <wp:extent cx="7031355" cy="7547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7031355" cy="7547610"/>
                    </a:xfrm>
                    <a:prstGeom prst="rect">
                      <a:avLst/>
                    </a:prstGeom>
                    <a:noFill/>
                  </pic:spPr>
                </pic:pic>
              </a:graphicData>
            </a:graphic>
          </wp:anchor>
        </w:drawing>
      </w:r>
    </w:p>
    <w:p>
      <w:pPr>
        <w:sectPr>
          <w:pgSz w:w="11900" w:h="16866" w:orient="portrait"/>
          <w:cols w:equalWidth="0" w:num="1">
            <w:col w:w="11080"/>
          </w:cols>
          <w:pgMar w:left="460" w:top="225" w:right="359" w:bottom="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1345 AVENUE OF THE AMERICAS, 30TH FLOOR</w:t>
      </w:r>
    </w:p>
    <w:p>
      <w:pPr>
        <w:sectPr>
          <w:pgSz w:w="11900" w:h="16866"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00" w:type="dxa"/>
            <w:vAlign w:val="bottom"/>
          </w:tcPr>
          <w:p>
            <w:pPr>
              <w:ind w:left="220"/>
              <w:spacing w:after="0"/>
              <w:rPr>
                <w:sz w:val="20"/>
                <w:szCs w:val="20"/>
                <w:color w:val="auto"/>
              </w:rPr>
            </w:pPr>
            <w:r>
              <w:rPr>
                <w:rFonts w:ascii="Arial" w:cs="Arial" w:eastAsia="Arial" w:hAnsi="Arial"/>
                <w:sz w:val="17"/>
                <w:szCs w:val="17"/>
                <w:color w:val="0000FF"/>
              </w:rPr>
              <w:t>NY</w:t>
            </w:r>
          </w:p>
        </w:tc>
        <w:tc>
          <w:tcPr>
            <w:tcW w:w="1480" w:type="dxa"/>
            <w:vAlign w:val="bottom"/>
          </w:tcPr>
          <w:p>
            <w:pPr>
              <w:ind w:left="12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2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gridSpan w:val="2"/>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2680" w:type="dxa"/>
            <w:vAlign w:val="bottom"/>
            <w:gridSpan w:val="2"/>
          </w:tcPr>
          <w:p>
            <w:pPr>
              <w:spacing w:after="0"/>
              <w:rPr>
                <w:rFonts w:ascii="Arial" w:cs="Arial" w:eastAsia="Arial" w:hAnsi="Arial"/>
                <w:sz w:val="21"/>
                <w:szCs w:val="21"/>
                <w:u w:val="single" w:color="auto"/>
                <w:color w:val="0000EE"/>
                <w:w w:val="99"/>
              </w:rPr>
            </w:pPr>
            <w:hyperlink r:id="rId18">
              <w:r>
                <w:rPr>
                  <w:rFonts w:ascii="Arial" w:cs="Arial" w:eastAsia="Arial" w:hAnsi="Arial"/>
                  <w:sz w:val="21"/>
                  <w:szCs w:val="21"/>
                  <w:u w:val="single" w:color="auto"/>
                  <w:color w:val="0000EE"/>
                  <w:w w:val="99"/>
                </w:rPr>
                <w:t>Clearway Energy Group LLC</w:t>
              </w:r>
            </w:hyperlink>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2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24790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783840" cy="247904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7"/>
          <w:szCs w:val="17"/>
          <w:color w:val="0000FF"/>
        </w:rPr>
        <w:t>1345 AVENUE OF THE AMERICAS, 30TH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6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withholding of shares to satisfy tax withholding obligations in connection with the vesting of restricted stock of the Issuer previously granted by Clearway Energy Group LLC ("Clearway Energy Group") under its Long Term Equity Incentive Program to certain of its employees.</w:t>
      </w:r>
    </w:p>
    <w:p>
      <w:pPr>
        <w:spacing w:after="0" w:line="15" w:lineRule="exact"/>
        <w:rPr>
          <w:rFonts w:ascii="Arial" w:cs="Arial" w:eastAsia="Arial" w:hAnsi="Arial"/>
          <w:sz w:val="13"/>
          <w:szCs w:val="13"/>
          <w:color w:val="008000"/>
        </w:rPr>
      </w:pPr>
    </w:p>
    <w:p>
      <w:pPr>
        <w:jc w:val="both"/>
        <w:ind w:left="20" w:right="20" w:firstLine="7"/>
        <w:spacing w:after="0" w:line="243"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securities held directly by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and, pursuant to Rule 16a-1(a)</w:t>
      </w:r>
    </w:p>
    <w:p>
      <w:pPr>
        <w:spacing w:after="0" w:line="18" w:lineRule="exact"/>
        <w:rPr>
          <w:rFonts w:ascii="Arial" w:cs="Arial" w:eastAsia="Arial" w:hAnsi="Arial"/>
          <w:sz w:val="12"/>
          <w:szCs w:val="12"/>
          <w:color w:val="008000"/>
        </w:rPr>
      </w:pPr>
    </w:p>
    <w:p>
      <w:pPr>
        <w:ind w:left="20" w:right="220"/>
        <w:spacing w:after="0" w:line="250" w:lineRule="auto"/>
        <w:rPr>
          <w:rFonts w:ascii="Arial" w:cs="Arial" w:eastAsia="Arial" w:hAnsi="Arial"/>
          <w:sz w:val="12"/>
          <w:szCs w:val="12"/>
          <w:color w:val="008000"/>
        </w:rPr>
      </w:pPr>
      <w:r>
        <w:rPr>
          <w:rFonts w:ascii="Arial" w:cs="Arial" w:eastAsia="Arial" w:hAnsi="Arial"/>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pacing w:after="0" w:line="25" w:lineRule="exact"/>
        <w:rPr>
          <w:rFonts w:ascii="Arial" w:cs="Arial" w:eastAsia="Arial" w:hAnsi="Arial"/>
          <w:sz w:val="12"/>
          <w:szCs w:val="12"/>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grants of shares of restricted stock of the Issuer granted by Clearway Energy Group under its Long Term Equity Incentive Program to certain of its employees.</w:t>
      </w:r>
    </w:p>
    <w:p>
      <w:pPr>
        <w:sectPr>
          <w:pgSz w:w="11900" w:h="16838" w:orient="portrait"/>
          <w:cols w:equalWidth="0" w:num="1">
            <w:col w:w="10840"/>
          </w:cols>
          <w:pgMar w:left="480" w:top="459" w:right="579" w:bottom="1440" w:gutter="0" w:footer="0" w:header="0"/>
        </w:sectPr>
      </w:pPr>
    </w:p>
    <w:p>
      <w:pPr>
        <w:spacing w:after="0" w:line="77"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700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696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93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531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687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04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29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0000FF"/>
        </w:rPr>
        <w:t>04/03/2020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04/03/2020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04/03/2020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04/03/2020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8700" w:space="60"/>
            <w:col w:w="2080"/>
          </w:cols>
          <w:pgMar w:left="480" w:top="459" w:right="57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2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480" w:top="459"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13" Type="http://schemas.openxmlformats.org/officeDocument/2006/relationships/hyperlink" Target="http://www.sec.gov/cgi-bin/browse-edgar?action=getcompany&amp;CIK=0001747194" TargetMode="External"/><Relationship Id="rId14" Type="http://schemas.openxmlformats.org/officeDocument/2006/relationships/hyperlink" Target="http://www.sec.gov/cgi-bin/browse-edgar?action=getcompany&amp;CIK=0001567683" TargetMode="External"/><Relationship Id="rId15" Type="http://schemas.openxmlformats.org/officeDocument/2006/relationships/hyperlink" Target="http://www.sec.gov/cgi-bin/browse-edgar?action=getcompany&amp;CIK=0001747185" TargetMode="External"/><Relationship Id="rId16" Type="http://schemas.openxmlformats.org/officeDocument/2006/relationships/hyperlink" Target="http://www.sec.gov/cgi-bin/browse-edgar?action=getcompany&amp;CIK=0001752556" TargetMode="External"/><Relationship Id="rId18"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2020-04-03T18:53:48Z</dcterms:created>
  <dcterms:modified xsi:type="dcterms:W3CDTF">2020-04-03T18:53:48Z</dcterms:modified>
</cp:coreProperties>
</file>