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As Filed Pursuant to Rule 424 (b)(3)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333-217815</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2243455</wp:posOffset>
            </wp:positionH>
            <wp:positionV relativeFrom="paragraph">
              <wp:posOffset>152400</wp:posOffset>
            </wp:positionV>
            <wp:extent cx="2778760"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8760"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NRG Yield Operating LLC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Exchange Offer for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$350,000,000 5.000% Senior Notes due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142240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We are offering to exchange: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up to $350,000,000 of our new 5.000% Senior Notes due 2026</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(which we refer to as the "Exchange Notes")</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 like amount of our outstanding 5.000% Senior Notes due 2026</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(which we refer to as the "Old Notes")</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We refer to the Exchange Notes and Old Notes collectively as the "notes."</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Material Terms of Exchange Offer:</w:t>
      </w:r>
    </w:p>
    <w:p>
      <w:pPr>
        <w:spacing w:after="0" w:line="229" w:lineRule="exact"/>
        <w:rPr>
          <w:sz w:val="24"/>
          <w:szCs w:val="24"/>
          <w:color w:val="auto"/>
        </w:rPr>
      </w:pPr>
    </w:p>
    <w:p>
      <w:pPr>
        <w:ind w:left="1080" w:right="4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terms of the Exchange Notes to be issued in the exchange offer are substantially identical to the Old Notes, except that the transfer restrictions and registration rights relating to the Old Notes will not apply to the Exchange Notes.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Exchange Notes will be guaranteed on a full and unconditional and joint and several basis by each of our current and future subsidiaries that guarantees indebtedness under our Revolving Credit Facility (as defined herein).</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is no existing public market for the Old Notes or the Exchange Notes. We do not intend to list the Exchange Notes on any securities exchange or seek approval for quotation through any automated trading system.</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You may withdraw your tender of Old Notes at any time before the expiration of the exchange offer. We will exchange all of the Old Notes that are validly tendered and not withdrawn.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exchange offer expires at 12:00 midnight, New York City time, on June 23, 2017, unless extended.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exchange of Old Notes will not be a taxable event for U.S. federal income tax purposes.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exchange offer is subject to certain customary conditions, including that it not violate applicable law or any applicable interpretation of the Staff of the Securities and Exchange Commission (the "SEC").</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not receive any proceeds from the exchange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right="740" w:firstLine="351"/>
        <w:spacing w:after="0" w:line="256" w:lineRule="auto"/>
        <w:rPr>
          <w:sz w:val="20"/>
          <w:szCs w:val="20"/>
          <w:color w:val="auto"/>
        </w:rPr>
      </w:pPr>
      <w:r>
        <w:rPr>
          <w:rFonts w:ascii="Arial" w:cs="Arial" w:eastAsia="Arial" w:hAnsi="Arial"/>
          <w:sz w:val="22"/>
          <w:szCs w:val="22"/>
          <w:b w:val="1"/>
          <w:bCs w:val="1"/>
          <w:color w:val="auto"/>
        </w:rPr>
        <w:t>For a discussion of certain factors that you should consider before participating in this exchange offer, see "Risk Factors" beginning on page 15 of this prospectus.</w:t>
      </w:r>
    </w:p>
    <w:p>
      <w:pPr>
        <w:spacing w:after="0" w:line="182" w:lineRule="exact"/>
        <w:rPr>
          <w:sz w:val="24"/>
          <w:szCs w:val="24"/>
          <w:color w:val="auto"/>
        </w:rPr>
      </w:pPr>
    </w:p>
    <w:p>
      <w:pPr>
        <w:ind w:right="440" w:firstLine="351"/>
        <w:spacing w:after="0" w:line="268" w:lineRule="auto"/>
        <w:rPr>
          <w:sz w:val="20"/>
          <w:szCs w:val="20"/>
          <w:color w:val="auto"/>
        </w:rPr>
      </w:pPr>
      <w:r>
        <w:rPr>
          <w:rFonts w:ascii="Arial" w:cs="Arial" w:eastAsia="Arial" w:hAnsi="Arial"/>
          <w:sz w:val="18"/>
          <w:szCs w:val="18"/>
          <w:color w:val="auto"/>
        </w:rPr>
        <w:t>Neither the SEC nor any state securities commission has approved the notes to be distributed in the exchange offer, nor have any of these organizations determined that this prospectus is truthful or complete. Any representation to the contrary is a criminal offense.</w:t>
      </w:r>
    </w:p>
    <w:p>
      <w:pPr>
        <w:spacing w:after="0" w:line="186" w:lineRule="exact"/>
        <w:rPr>
          <w:sz w:val="24"/>
          <w:szCs w:val="24"/>
          <w:color w:val="auto"/>
        </w:rPr>
      </w:pPr>
    </w:p>
    <w:p>
      <w:pPr>
        <w:ind w:right="20" w:firstLine="351"/>
        <w:spacing w:after="0" w:line="290" w:lineRule="auto"/>
        <w:rPr>
          <w:sz w:val="20"/>
          <w:szCs w:val="20"/>
          <w:color w:val="auto"/>
        </w:rPr>
      </w:pPr>
      <w:r>
        <w:rPr>
          <w:rFonts w:ascii="Arial" w:cs="Arial" w:eastAsia="Arial" w:hAnsi="Arial"/>
          <w:sz w:val="16"/>
          <w:szCs w:val="16"/>
          <w:color w:val="auto"/>
        </w:rPr>
        <w:t>Each broker-dealer that receives Exchange Notes for its own account pursuant to this exchange offer must acknowledge that it will deliver a prospectus in connection with any resale of such Exchange Notes. The letter of transmittal accompanying this prospectus states that by so acknowledging and by delivering a prospectus, a broker-dealer will not be deemed to admit that it is an "underwriter" within the meaning of the Securities Act of 1933, as amended (the "Securities Act"). This prospectus, as it may be amended or supplemented from time to time, may be used by a broker-dealer in connection with resales of Exchange Notes where the Old Notes were acquired by such broker-dealer as a result of market-making activities or other trading activities. We have agreed that, starting on the expiration date and ending on the close of business one year after the expiration date, we will make this prospectus available, as amended or supplemented, to any broker-dealer for use in connection with any such resale. See "Plan of Distribution."</w:t>
      </w:r>
    </w:p>
    <w:p>
      <w:pPr>
        <w:sectPr>
          <w:pgSz w:w="11900" w:h="16838" w:orient="portrait"/>
          <w:cols w:equalWidth="0" w:num="1">
            <w:col w:w="11420"/>
          </w:cols>
          <w:pgMar w:left="240" w:top="685" w:right="239" w:bottom="0" w:gutter="0" w:footer="0" w:header="0"/>
        </w:sectPr>
      </w:pPr>
    </w:p>
    <w:bookmarkStart w:id="1" w:name="page2"/>
    <w:bookmarkEnd w:id="1"/>
    <w:p>
      <w:pPr>
        <w:jc w:val="center"/>
        <w:spacing w:after="0"/>
        <w:rPr>
          <w:sz w:val="20"/>
          <w:szCs w:val="20"/>
          <w:color w:val="auto"/>
        </w:rPr>
      </w:pPr>
      <w:r>
        <w:rPr>
          <w:rFonts w:ascii="Arial" w:cs="Arial" w:eastAsia="Arial" w:hAnsi="Arial"/>
          <w:sz w:val="16"/>
          <w:szCs w:val="16"/>
          <w:color w:val="auto"/>
        </w:rPr>
        <w:t>May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41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94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20" w:type="dxa"/>
            <w:vAlign w:val="bottom"/>
            <w:gridSpan w:val="5"/>
          </w:tcPr>
          <w:p>
            <w:pPr>
              <w:ind w:left="2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800" w:type="dxa"/>
            <w:vAlign w:val="bottom"/>
            <w:gridSpan w:val="2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WHERE YOU CAN FIND MORE INFORMATION</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w:t>
              </w:r>
            </w:hyperlink>
          </w:p>
        </w:tc>
      </w:tr>
      <w:tr>
        <w:trPr>
          <w:trHeight w:val="196"/>
        </w:trPr>
        <w:tc>
          <w:tcPr>
            <w:tcW w:w="1140" w:type="dxa"/>
            <w:vAlign w:val="bottom"/>
          </w:tcPr>
          <w:p>
            <w:pPr>
              <w:spacing w:after="0"/>
              <w:rPr>
                <w:sz w:val="17"/>
                <w:szCs w:val="17"/>
                <w:color w:val="auto"/>
              </w:rPr>
            </w:pPr>
          </w:p>
        </w:tc>
        <w:tc>
          <w:tcPr>
            <w:tcW w:w="3940" w:type="dxa"/>
            <w:vAlign w:val="bottom"/>
            <w:tcBorders>
              <w:top w:val="single" w:sz="8" w:color="0000EE"/>
            </w:tcBorders>
            <w:gridSpan w:val="17"/>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INCORPORATION BY REFERENCE</w:t>
              </w:r>
            </w:hyperlink>
          </w:p>
        </w:tc>
        <w:tc>
          <w:tcPr>
            <w:tcW w:w="486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3"/>
          </w:tcPr>
          <w:p>
            <w:pPr>
              <w:jc w:val="right"/>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ii</w:t>
              </w:r>
            </w:hyperlink>
          </w:p>
        </w:tc>
      </w:tr>
      <w:tr>
        <w:trPr>
          <w:trHeight w:val="196"/>
        </w:trPr>
        <w:tc>
          <w:tcPr>
            <w:tcW w:w="1140" w:type="dxa"/>
            <w:vAlign w:val="bottom"/>
          </w:tcPr>
          <w:p>
            <w:pPr>
              <w:spacing w:after="0"/>
              <w:rPr>
                <w:sz w:val="17"/>
                <w:szCs w:val="17"/>
                <w:color w:val="auto"/>
              </w:rPr>
            </w:pPr>
          </w:p>
        </w:tc>
        <w:tc>
          <w:tcPr>
            <w:tcW w:w="940" w:type="dxa"/>
            <w:vAlign w:val="bottom"/>
            <w:tcBorders>
              <w:top w:val="single" w:sz="8" w:color="0000EE"/>
            </w:tcBorders>
            <w:gridSpan w:val="3"/>
          </w:tcPr>
          <w:p>
            <w:pPr>
              <w:spacing w:after="0" w:line="196" w:lineRule="exact"/>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SUMMARY</w:t>
              </w:r>
            </w:hyperlink>
          </w:p>
        </w:tc>
        <w:tc>
          <w:tcPr>
            <w:tcW w:w="2000" w:type="dxa"/>
            <w:vAlign w:val="bottom"/>
            <w:tcBorders>
              <w:top w:val="single" w:sz="8" w:color="0000EE"/>
            </w:tcBorders>
            <w:gridSpan w:val="8"/>
          </w:tcPr>
          <w:p>
            <w:pPr>
              <w:spacing w:after="0"/>
              <w:rPr>
                <w:sz w:val="17"/>
                <w:szCs w:val="17"/>
                <w:color w:val="auto"/>
              </w:rPr>
            </w:pPr>
          </w:p>
        </w:tc>
        <w:tc>
          <w:tcPr>
            <w:tcW w:w="5860" w:type="dxa"/>
            <w:vAlign w:val="bottom"/>
            <w:gridSpan w:val="10"/>
          </w:tcPr>
          <w:p>
            <w:pPr>
              <w:spacing w:after="0"/>
              <w:rPr>
                <w:sz w:val="17"/>
                <w:szCs w:val="17"/>
                <w:color w:val="auto"/>
              </w:rPr>
            </w:pPr>
          </w:p>
        </w:tc>
        <w:tc>
          <w:tcPr>
            <w:tcW w:w="80" w:type="dxa"/>
            <w:vAlign w:val="bottom"/>
            <w:gridSpan w:val="2"/>
          </w:tcPr>
          <w:p>
            <w:pPr>
              <w:spacing w:after="0"/>
              <w:rPr>
                <w:sz w:val="17"/>
                <w:szCs w:val="17"/>
                <w:color w:val="auto"/>
              </w:rPr>
            </w:pPr>
          </w:p>
        </w:tc>
        <w:tc>
          <w:tcPr>
            <w:tcW w:w="100" w:type="dxa"/>
            <w:vAlign w:val="bottom"/>
            <w:tcBorders>
              <w:top w:val="single" w:sz="8" w:color="0000EE"/>
            </w:tcBorders>
            <w:gridSpan w:val="2"/>
          </w:tcPr>
          <w:p>
            <w:pPr>
              <w:jc w:val="right"/>
              <w:spacing w:after="0" w:line="196" w:lineRule="exact"/>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340" w:type="dxa"/>
            <w:vAlign w:val="bottom"/>
            <w:gridSpan w:val="14"/>
          </w:tcPr>
          <w:p>
            <w:pPr>
              <w:spacing w:after="0" w:line="196" w:lineRule="exact"/>
              <w:rPr>
                <w:rFonts w:ascii="Arial" w:cs="Arial" w:eastAsia="Arial" w:hAnsi="Arial"/>
                <w:sz w:val="18"/>
                <w:szCs w:val="18"/>
                <w:b w:val="1"/>
                <w:bCs w:val="1"/>
                <w:color w:val="0000EE"/>
                <w:w w:val="98"/>
              </w:rPr>
            </w:pPr>
            <w:hyperlink w:anchor="page11">
              <w:r>
                <w:rPr>
                  <w:rFonts w:ascii="Arial" w:cs="Arial" w:eastAsia="Arial" w:hAnsi="Arial"/>
                  <w:sz w:val="18"/>
                  <w:szCs w:val="18"/>
                  <w:b w:val="1"/>
                  <w:bCs w:val="1"/>
                  <w:color w:val="0000EE"/>
                  <w:w w:val="98"/>
                </w:rPr>
                <w:t>SUMMARY OF THE EXCHANGE OFFER</w:t>
              </w:r>
            </w:hyperlink>
          </w:p>
        </w:tc>
        <w:tc>
          <w:tcPr>
            <w:tcW w:w="5460" w:type="dxa"/>
            <w:vAlign w:val="bottom"/>
            <w:gridSpan w:val="7"/>
          </w:tcPr>
          <w:p>
            <w:pPr>
              <w:spacing w:after="0"/>
              <w:rPr>
                <w:sz w:val="17"/>
                <w:szCs w:val="17"/>
                <w:color w:val="auto"/>
              </w:rPr>
            </w:pPr>
          </w:p>
        </w:tc>
        <w:tc>
          <w:tcPr>
            <w:tcW w:w="180" w:type="dxa"/>
            <w:vAlign w:val="bottom"/>
            <w:gridSpan w:val="4"/>
          </w:tcPr>
          <w:p>
            <w:pPr>
              <w:jc w:val="right"/>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7</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52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97"/>
              </w:rPr>
            </w:pPr>
            <w:hyperlink w:anchor="page14">
              <w:r>
                <w:rPr>
                  <w:rFonts w:ascii="Arial" w:cs="Arial" w:eastAsia="Arial" w:hAnsi="Arial"/>
                  <w:sz w:val="18"/>
                  <w:szCs w:val="18"/>
                  <w:b w:val="1"/>
                  <w:bCs w:val="1"/>
                  <w:color w:val="0000EE"/>
                  <w:w w:val="97"/>
                </w:rPr>
                <w:t>CONSEQUENCES OF NOT EXCHANGING OLD NOTES</w:t>
              </w:r>
            </w:hyperlink>
          </w:p>
        </w:tc>
        <w:tc>
          <w:tcPr>
            <w:tcW w:w="4280" w:type="dxa"/>
            <w:vAlign w:val="bottom"/>
          </w:tcPr>
          <w:p>
            <w:pPr>
              <w:spacing w:after="0"/>
              <w:rPr>
                <w:sz w:val="17"/>
                <w:szCs w:val="17"/>
                <w:color w:val="auto"/>
              </w:rPr>
            </w:pPr>
          </w:p>
        </w:tc>
        <w:tc>
          <w:tcPr>
            <w:tcW w:w="180" w:type="dxa"/>
            <w:vAlign w:val="bottom"/>
            <w:tcBorders>
              <w:bottom w:val="single" w:sz="8" w:color="0000EE"/>
            </w:tcBorders>
            <w:gridSpan w:val="4"/>
          </w:tcPr>
          <w:p>
            <w:pPr>
              <w:jc w:val="right"/>
              <w:spacing w:after="0" w:line="196" w:lineRule="exact"/>
              <w:rPr>
                <w:rFonts w:ascii="Arial" w:cs="Arial" w:eastAsia="Arial" w:hAnsi="Arial"/>
                <w:sz w:val="18"/>
                <w:szCs w:val="18"/>
                <w:b w:val="1"/>
                <w:bCs w:val="1"/>
                <w:color w:val="0000EE"/>
                <w:w w:val="79"/>
              </w:rPr>
            </w:pPr>
            <w:hyperlink w:anchor="page14">
              <w:r>
                <w:rPr>
                  <w:rFonts w:ascii="Arial" w:cs="Arial" w:eastAsia="Arial" w:hAnsi="Arial"/>
                  <w:sz w:val="18"/>
                  <w:szCs w:val="18"/>
                  <w:b w:val="1"/>
                  <w:bCs w:val="1"/>
                  <w:color w:val="0000EE"/>
                  <w:w w:val="79"/>
                </w:rPr>
                <w:t>10</w:t>
              </w:r>
            </w:hyperlink>
          </w:p>
        </w:tc>
      </w:tr>
      <w:tr>
        <w:trPr>
          <w:trHeight w:val="196"/>
        </w:trPr>
        <w:tc>
          <w:tcPr>
            <w:tcW w:w="1140" w:type="dxa"/>
            <w:vAlign w:val="bottom"/>
          </w:tcPr>
          <w:p>
            <w:pPr>
              <w:spacing w:after="0"/>
              <w:rPr>
                <w:sz w:val="17"/>
                <w:szCs w:val="17"/>
                <w:color w:val="auto"/>
              </w:rPr>
            </w:pPr>
          </w:p>
        </w:tc>
        <w:tc>
          <w:tcPr>
            <w:tcW w:w="8800" w:type="dxa"/>
            <w:vAlign w:val="bottom"/>
            <w:gridSpan w:val="21"/>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SUMMARY OF TERMS OF EXCHANGE NOTES</w:t>
              </w:r>
            </w:hyperlink>
          </w:p>
        </w:tc>
        <w:tc>
          <w:tcPr>
            <w:tcW w:w="180" w:type="dxa"/>
            <w:vAlign w:val="bottom"/>
            <w:gridSpan w:val="4"/>
          </w:tcPr>
          <w:p>
            <w:pPr>
              <w:jc w:val="right"/>
              <w:spacing w:after="0" w:line="196" w:lineRule="exact"/>
              <w:rPr>
                <w:rFonts w:ascii="Arial" w:cs="Arial" w:eastAsia="Arial" w:hAnsi="Arial"/>
                <w:sz w:val="18"/>
                <w:szCs w:val="18"/>
                <w:b w:val="1"/>
                <w:bCs w:val="1"/>
                <w:color w:val="0000EE"/>
                <w:w w:val="79"/>
              </w:rPr>
            </w:pPr>
            <w:hyperlink w:anchor="page15">
              <w:r>
                <w:rPr>
                  <w:rFonts w:ascii="Arial" w:cs="Arial" w:eastAsia="Arial" w:hAnsi="Arial"/>
                  <w:sz w:val="18"/>
                  <w:szCs w:val="18"/>
                  <w:b w:val="1"/>
                  <w:bCs w:val="1"/>
                  <w:color w:val="0000EE"/>
                  <w:w w:val="79"/>
                </w:rPr>
                <w:t>11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880" w:type="dxa"/>
            <w:vAlign w:val="bottom"/>
            <w:gridSpan w:val="16"/>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RISK FACTORS</w:t>
              </w:r>
            </w:hyperlink>
          </w:p>
        </w:tc>
        <w:tc>
          <w:tcPr>
            <w:tcW w:w="4920" w:type="dxa"/>
            <w:vAlign w:val="bottom"/>
            <w:gridSpan w:val="5"/>
          </w:tcPr>
          <w:p>
            <w:pPr>
              <w:spacing w:after="0"/>
              <w:rPr>
                <w:sz w:val="17"/>
                <w:szCs w:val="17"/>
                <w:color w:val="auto"/>
              </w:rPr>
            </w:pPr>
          </w:p>
        </w:tc>
        <w:tc>
          <w:tcPr>
            <w:tcW w:w="180" w:type="dxa"/>
            <w:vAlign w:val="bottom"/>
            <w:gridSpan w:val="4"/>
          </w:tcPr>
          <w:p>
            <w:pPr>
              <w:jc w:val="right"/>
              <w:spacing w:after="0" w:line="196" w:lineRule="exact"/>
              <w:rPr>
                <w:rFonts w:ascii="Arial" w:cs="Arial" w:eastAsia="Arial" w:hAnsi="Arial"/>
                <w:sz w:val="18"/>
                <w:szCs w:val="18"/>
                <w:b w:val="1"/>
                <w:bCs w:val="1"/>
                <w:color w:val="0000EE"/>
                <w:w w:val="79"/>
              </w:rPr>
            </w:pPr>
            <w:hyperlink w:anchor="page19">
              <w:r>
                <w:rPr>
                  <w:rFonts w:ascii="Arial" w:cs="Arial" w:eastAsia="Arial" w:hAnsi="Arial"/>
                  <w:sz w:val="18"/>
                  <w:szCs w:val="18"/>
                  <w:b w:val="1"/>
                  <w:bCs w:val="1"/>
                  <w:color w:val="0000EE"/>
                  <w:w w:val="79"/>
                </w:rPr>
                <w:t>15</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21"/>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FORWARD-LOOKING STATEMENTS</w:t>
              </w:r>
            </w:hyperlink>
          </w:p>
        </w:tc>
        <w:tc>
          <w:tcPr>
            <w:tcW w:w="180" w:type="dxa"/>
            <w:vAlign w:val="bottom"/>
            <w:gridSpan w:val="4"/>
          </w:tcPr>
          <w:p>
            <w:pPr>
              <w:jc w:val="right"/>
              <w:spacing w:after="0" w:line="196" w:lineRule="exact"/>
              <w:rPr>
                <w:rFonts w:ascii="Arial" w:cs="Arial" w:eastAsia="Arial" w:hAnsi="Arial"/>
                <w:sz w:val="18"/>
                <w:szCs w:val="18"/>
                <w:b w:val="1"/>
                <w:bCs w:val="1"/>
                <w:color w:val="0000EE"/>
                <w:w w:val="79"/>
              </w:rPr>
            </w:pPr>
            <w:hyperlink w:anchor="page24">
              <w:r>
                <w:rPr>
                  <w:rFonts w:ascii="Arial" w:cs="Arial" w:eastAsia="Arial" w:hAnsi="Arial"/>
                  <w:sz w:val="18"/>
                  <w:szCs w:val="18"/>
                  <w:b w:val="1"/>
                  <w:bCs w:val="1"/>
                  <w:color w:val="0000EE"/>
                  <w:w w:val="79"/>
                </w:rPr>
                <w:t>20</w:t>
              </w:r>
            </w:hyperlink>
          </w:p>
        </w:tc>
      </w:tr>
      <w:tr>
        <w:trPr>
          <w:trHeight w:val="196"/>
        </w:trPr>
        <w:tc>
          <w:tcPr>
            <w:tcW w:w="1140" w:type="dxa"/>
            <w:vAlign w:val="bottom"/>
          </w:tcPr>
          <w:p>
            <w:pPr>
              <w:spacing w:after="0"/>
              <w:rPr>
                <w:sz w:val="17"/>
                <w:szCs w:val="17"/>
                <w:color w:val="auto"/>
              </w:rPr>
            </w:pPr>
          </w:p>
        </w:tc>
        <w:tc>
          <w:tcPr>
            <w:tcW w:w="3040" w:type="dxa"/>
            <w:vAlign w:val="bottom"/>
            <w:tcBorders>
              <w:top w:val="single" w:sz="8" w:color="0000EE"/>
            </w:tcBorders>
            <w:gridSpan w:val="12"/>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EXCHANGE OFFER</w:t>
              </w:r>
            </w:hyperlink>
          </w:p>
        </w:tc>
        <w:tc>
          <w:tcPr>
            <w:tcW w:w="5760" w:type="dxa"/>
            <w:vAlign w:val="bottom"/>
            <w:gridSpan w:val="9"/>
          </w:tcPr>
          <w:p>
            <w:pPr>
              <w:spacing w:after="0"/>
              <w:rPr>
                <w:sz w:val="17"/>
                <w:szCs w:val="17"/>
                <w:color w:val="auto"/>
              </w:rPr>
            </w:pPr>
          </w:p>
        </w:tc>
        <w:tc>
          <w:tcPr>
            <w:tcW w:w="180" w:type="dxa"/>
            <w:vAlign w:val="bottom"/>
            <w:tcBorders>
              <w:top w:val="single" w:sz="8" w:color="0000EE"/>
            </w:tcBorders>
            <w:gridSpan w:val="4"/>
          </w:tcPr>
          <w:p>
            <w:pPr>
              <w:jc w:val="right"/>
              <w:spacing w:after="0" w:line="196" w:lineRule="exact"/>
              <w:rPr>
                <w:rFonts w:ascii="Arial" w:cs="Arial" w:eastAsia="Arial" w:hAnsi="Arial"/>
                <w:sz w:val="18"/>
                <w:szCs w:val="18"/>
                <w:b w:val="1"/>
                <w:bCs w:val="1"/>
                <w:color w:val="0000EE"/>
                <w:w w:val="79"/>
              </w:rPr>
            </w:pPr>
            <w:hyperlink w:anchor="page26">
              <w:r>
                <w:rPr>
                  <w:rFonts w:ascii="Arial" w:cs="Arial" w:eastAsia="Arial" w:hAnsi="Arial"/>
                  <w:sz w:val="18"/>
                  <w:szCs w:val="18"/>
                  <w:b w:val="1"/>
                  <w:bCs w:val="1"/>
                  <w:color w:val="0000EE"/>
                  <w:w w:val="79"/>
                </w:rPr>
                <w:t>22</w:t>
              </w:r>
            </w:hyperlink>
          </w:p>
        </w:tc>
      </w:tr>
      <w:tr>
        <w:trPr>
          <w:trHeight w:val="196"/>
        </w:trPr>
        <w:tc>
          <w:tcPr>
            <w:tcW w:w="114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3"/>
              </w:rPr>
            </w:pPr>
            <w:hyperlink w:anchor="page37">
              <w:r>
                <w:rPr>
                  <w:rFonts w:ascii="Arial" w:cs="Arial" w:eastAsia="Arial" w:hAnsi="Arial"/>
                  <w:sz w:val="18"/>
                  <w:szCs w:val="18"/>
                  <w:b w:val="1"/>
                  <w:bCs w:val="1"/>
                  <w:color w:val="0000EE"/>
                  <w:w w:val="93"/>
                </w:rPr>
                <w:t>USE OF PROCEEDS</w:t>
              </w:r>
            </w:hyperlink>
          </w:p>
        </w:tc>
        <w:tc>
          <w:tcPr>
            <w:tcW w:w="20" w:type="dxa"/>
            <w:vAlign w:val="bottom"/>
            <w:tcBorders>
              <w:top w:val="single" w:sz="8" w:color="0000EE"/>
            </w:tcBorders>
          </w:tcPr>
          <w:p>
            <w:pPr>
              <w:spacing w:after="0"/>
              <w:rPr>
                <w:sz w:val="17"/>
                <w:szCs w:val="17"/>
                <w:color w:val="auto"/>
              </w:rPr>
            </w:pPr>
          </w:p>
        </w:tc>
        <w:tc>
          <w:tcPr>
            <w:tcW w:w="7140" w:type="dxa"/>
            <w:vAlign w:val="bottom"/>
            <w:gridSpan w:val="13"/>
          </w:tcPr>
          <w:p>
            <w:pPr>
              <w:spacing w:after="0"/>
              <w:rPr>
                <w:sz w:val="17"/>
                <w:szCs w:val="17"/>
                <w:color w:val="auto"/>
              </w:rPr>
            </w:pPr>
          </w:p>
        </w:tc>
        <w:tc>
          <w:tcPr>
            <w:tcW w:w="180" w:type="dxa"/>
            <w:vAlign w:val="bottom"/>
            <w:tcBorders>
              <w:top w:val="single" w:sz="8" w:color="0000EE"/>
              <w:bottom w:val="single" w:sz="8" w:color="0000EE"/>
            </w:tcBorders>
            <w:gridSpan w:val="4"/>
          </w:tcPr>
          <w:p>
            <w:pPr>
              <w:jc w:val="right"/>
              <w:spacing w:after="0" w:line="196" w:lineRule="exact"/>
              <w:rPr>
                <w:rFonts w:ascii="Arial" w:cs="Arial" w:eastAsia="Arial" w:hAnsi="Arial"/>
                <w:sz w:val="18"/>
                <w:szCs w:val="18"/>
                <w:b w:val="1"/>
                <w:bCs w:val="1"/>
                <w:color w:val="0000EE"/>
                <w:w w:val="79"/>
              </w:rPr>
            </w:pPr>
            <w:hyperlink w:anchor="page37">
              <w:r>
                <w:rPr>
                  <w:rFonts w:ascii="Arial" w:cs="Arial" w:eastAsia="Arial" w:hAnsi="Arial"/>
                  <w:sz w:val="18"/>
                  <w:szCs w:val="18"/>
                  <w:b w:val="1"/>
                  <w:bCs w:val="1"/>
                  <w:color w:val="0000EE"/>
                  <w:w w:val="79"/>
                </w:rPr>
                <w:t>33</w:t>
              </w:r>
            </w:hyperlink>
          </w:p>
        </w:tc>
      </w:tr>
      <w:tr>
        <w:trPr>
          <w:trHeight w:val="196"/>
        </w:trPr>
        <w:tc>
          <w:tcPr>
            <w:tcW w:w="1140" w:type="dxa"/>
            <w:vAlign w:val="bottom"/>
          </w:tcPr>
          <w:p>
            <w:pPr>
              <w:spacing w:after="0"/>
              <w:rPr>
                <w:sz w:val="17"/>
                <w:szCs w:val="17"/>
                <w:color w:val="auto"/>
              </w:rPr>
            </w:pPr>
          </w:p>
        </w:tc>
        <w:tc>
          <w:tcPr>
            <w:tcW w:w="8800" w:type="dxa"/>
            <w:vAlign w:val="bottom"/>
            <w:gridSpan w:val="21"/>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RATIO OF EARNINGS TO FIXED CHARGES</w:t>
              </w:r>
            </w:hyperlink>
          </w:p>
        </w:tc>
        <w:tc>
          <w:tcPr>
            <w:tcW w:w="180" w:type="dxa"/>
            <w:vAlign w:val="bottom"/>
            <w:gridSpan w:val="4"/>
          </w:tcPr>
          <w:p>
            <w:pPr>
              <w:jc w:val="right"/>
              <w:spacing w:after="0" w:line="196" w:lineRule="exact"/>
              <w:rPr>
                <w:rFonts w:ascii="Arial" w:cs="Arial" w:eastAsia="Arial" w:hAnsi="Arial"/>
                <w:sz w:val="18"/>
                <w:szCs w:val="18"/>
                <w:b w:val="1"/>
                <w:bCs w:val="1"/>
                <w:color w:val="0000EE"/>
                <w:w w:val="79"/>
              </w:rPr>
            </w:pPr>
            <w:hyperlink w:anchor="page37">
              <w:r>
                <w:rPr>
                  <w:rFonts w:ascii="Arial" w:cs="Arial" w:eastAsia="Arial" w:hAnsi="Arial"/>
                  <w:sz w:val="18"/>
                  <w:szCs w:val="18"/>
                  <w:b w:val="1"/>
                  <w:bCs w:val="1"/>
                  <w:color w:val="0000EE"/>
                  <w:w w:val="79"/>
                </w:rPr>
                <w:t>33</w:t>
              </w:r>
            </w:hyperlink>
          </w:p>
        </w:tc>
      </w:tr>
      <w:tr>
        <w:trPr>
          <w:trHeight w:val="196"/>
        </w:trPr>
        <w:tc>
          <w:tcPr>
            <w:tcW w:w="114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CAPITALIZATION</w:t>
              </w:r>
            </w:hyperlink>
          </w:p>
        </w:tc>
        <w:tc>
          <w:tcPr>
            <w:tcW w:w="2080" w:type="dxa"/>
            <w:vAlign w:val="bottom"/>
            <w:tcBorders>
              <w:top w:val="single" w:sz="8" w:color="0000EE"/>
            </w:tcBorders>
            <w:gridSpan w:val="9"/>
          </w:tcPr>
          <w:p>
            <w:pPr>
              <w:spacing w:after="0"/>
              <w:rPr>
                <w:sz w:val="17"/>
                <w:szCs w:val="17"/>
                <w:color w:val="auto"/>
              </w:rPr>
            </w:pPr>
          </w:p>
        </w:tc>
        <w:tc>
          <w:tcPr>
            <w:tcW w:w="5180" w:type="dxa"/>
            <w:vAlign w:val="bottom"/>
            <w:gridSpan w:val="6"/>
          </w:tcPr>
          <w:p>
            <w:pPr>
              <w:spacing w:after="0"/>
              <w:rPr>
                <w:sz w:val="17"/>
                <w:szCs w:val="17"/>
                <w:color w:val="auto"/>
              </w:rPr>
            </w:pPr>
          </w:p>
        </w:tc>
        <w:tc>
          <w:tcPr>
            <w:tcW w:w="180" w:type="dxa"/>
            <w:vAlign w:val="bottom"/>
            <w:tcBorders>
              <w:top w:val="single" w:sz="8" w:color="0000EE"/>
              <w:bottom w:val="single" w:sz="8" w:color="0000EE"/>
            </w:tcBorders>
            <w:gridSpan w:val="4"/>
          </w:tcPr>
          <w:p>
            <w:pPr>
              <w:jc w:val="right"/>
              <w:spacing w:after="0" w:line="196" w:lineRule="exact"/>
              <w:rPr>
                <w:rFonts w:ascii="Arial" w:cs="Arial" w:eastAsia="Arial" w:hAnsi="Arial"/>
                <w:sz w:val="18"/>
                <w:szCs w:val="18"/>
                <w:b w:val="1"/>
                <w:bCs w:val="1"/>
                <w:color w:val="0000EE"/>
                <w:w w:val="79"/>
              </w:rPr>
            </w:pPr>
            <w:hyperlink w:anchor="page38">
              <w:r>
                <w:rPr>
                  <w:rFonts w:ascii="Arial" w:cs="Arial" w:eastAsia="Arial" w:hAnsi="Arial"/>
                  <w:sz w:val="18"/>
                  <w:szCs w:val="18"/>
                  <w:b w:val="1"/>
                  <w:bCs w:val="1"/>
                  <w:color w:val="0000EE"/>
                  <w:w w:val="79"/>
                </w:rPr>
                <w:t>34</w:t>
              </w:r>
            </w:hyperlink>
          </w:p>
        </w:tc>
      </w:tr>
      <w:tr>
        <w:trPr>
          <w:trHeight w:val="196"/>
        </w:trPr>
        <w:tc>
          <w:tcPr>
            <w:tcW w:w="1140" w:type="dxa"/>
            <w:vAlign w:val="bottom"/>
          </w:tcPr>
          <w:p>
            <w:pPr>
              <w:spacing w:after="0"/>
              <w:rPr>
                <w:sz w:val="17"/>
                <w:szCs w:val="17"/>
                <w:color w:val="auto"/>
              </w:rPr>
            </w:pPr>
          </w:p>
        </w:tc>
        <w:tc>
          <w:tcPr>
            <w:tcW w:w="8800" w:type="dxa"/>
            <w:vAlign w:val="bottom"/>
            <w:gridSpan w:val="21"/>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DESCRIPTION OF CERTAIN OTHER INDEBTEDNESS</w:t>
              </w:r>
            </w:hyperlink>
          </w:p>
        </w:tc>
        <w:tc>
          <w:tcPr>
            <w:tcW w:w="180" w:type="dxa"/>
            <w:vAlign w:val="bottom"/>
            <w:gridSpan w:val="4"/>
          </w:tcPr>
          <w:p>
            <w:pPr>
              <w:jc w:val="right"/>
              <w:spacing w:after="0" w:line="196" w:lineRule="exact"/>
              <w:rPr>
                <w:rFonts w:ascii="Arial" w:cs="Arial" w:eastAsia="Arial" w:hAnsi="Arial"/>
                <w:sz w:val="18"/>
                <w:szCs w:val="18"/>
                <w:b w:val="1"/>
                <w:bCs w:val="1"/>
                <w:color w:val="0000EE"/>
                <w:w w:val="79"/>
              </w:rPr>
            </w:pPr>
            <w:hyperlink w:anchor="page39">
              <w:r>
                <w:rPr>
                  <w:rFonts w:ascii="Arial" w:cs="Arial" w:eastAsia="Arial" w:hAnsi="Arial"/>
                  <w:sz w:val="18"/>
                  <w:szCs w:val="18"/>
                  <w:b w:val="1"/>
                  <w:bCs w:val="1"/>
                  <w:color w:val="0000EE"/>
                  <w:w w:val="79"/>
                </w:rPr>
                <w:t>35</w:t>
              </w:r>
            </w:hyperlink>
          </w:p>
        </w:tc>
      </w:tr>
      <w:tr>
        <w:trPr>
          <w:trHeight w:val="196"/>
        </w:trPr>
        <w:tc>
          <w:tcPr>
            <w:tcW w:w="114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b w:val="1"/>
                <w:bCs w:val="1"/>
                <w:color w:val="0000EE"/>
                <w:w w:val="98"/>
              </w:rPr>
            </w:pPr>
            <w:hyperlink w:anchor="page44">
              <w:r>
                <w:rPr>
                  <w:rFonts w:ascii="Arial" w:cs="Arial" w:eastAsia="Arial" w:hAnsi="Arial"/>
                  <w:sz w:val="18"/>
                  <w:szCs w:val="18"/>
                  <w:b w:val="1"/>
                  <w:bCs w:val="1"/>
                  <w:color w:val="0000EE"/>
                  <w:w w:val="98"/>
                </w:rPr>
                <w:t>DESCRIPTION OF THE NOTES</w:t>
              </w:r>
            </w:hyperlink>
          </w:p>
        </w:tc>
        <w:tc>
          <w:tcPr>
            <w:tcW w:w="1840" w:type="dxa"/>
            <w:vAlign w:val="bottom"/>
            <w:tcBorders>
              <w:top w:val="single" w:sz="8" w:color="0000EE"/>
            </w:tcBorders>
            <w:gridSpan w:val="9"/>
          </w:tcPr>
          <w:p>
            <w:pPr>
              <w:spacing w:after="0"/>
              <w:rPr>
                <w:sz w:val="17"/>
                <w:szCs w:val="17"/>
                <w:color w:val="auto"/>
              </w:rPr>
            </w:pPr>
          </w:p>
        </w:tc>
        <w:tc>
          <w:tcPr>
            <w:tcW w:w="438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4"/>
          </w:tcPr>
          <w:p>
            <w:pPr>
              <w:jc w:val="right"/>
              <w:spacing w:after="0" w:line="196" w:lineRule="exact"/>
              <w:rPr>
                <w:rFonts w:ascii="Arial" w:cs="Arial" w:eastAsia="Arial" w:hAnsi="Arial"/>
                <w:sz w:val="18"/>
                <w:szCs w:val="18"/>
                <w:b w:val="1"/>
                <w:bCs w:val="1"/>
                <w:color w:val="0000EE"/>
                <w:w w:val="79"/>
              </w:rPr>
            </w:pPr>
            <w:hyperlink w:anchor="page44">
              <w:r>
                <w:rPr>
                  <w:rFonts w:ascii="Arial" w:cs="Arial" w:eastAsia="Arial" w:hAnsi="Arial"/>
                  <w:sz w:val="18"/>
                  <w:szCs w:val="18"/>
                  <w:b w:val="1"/>
                  <w:bCs w:val="1"/>
                  <w:color w:val="0000EE"/>
                  <w:w w:val="79"/>
                </w:rPr>
                <w:t>40</w:t>
              </w:r>
            </w:hyperlink>
          </w:p>
        </w:tc>
      </w:tr>
      <w:tr>
        <w:trPr>
          <w:trHeight w:val="196"/>
        </w:trPr>
        <w:tc>
          <w:tcPr>
            <w:tcW w:w="1140" w:type="dxa"/>
            <w:vAlign w:val="bottom"/>
          </w:tcPr>
          <w:p>
            <w:pPr>
              <w:spacing w:after="0"/>
              <w:rPr>
                <w:sz w:val="17"/>
                <w:szCs w:val="17"/>
                <w:color w:val="auto"/>
              </w:rPr>
            </w:pPr>
          </w:p>
        </w:tc>
        <w:tc>
          <w:tcPr>
            <w:tcW w:w="320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8"/>
              </w:rPr>
            </w:pPr>
            <w:hyperlink w:anchor="page69">
              <w:r>
                <w:rPr>
                  <w:rFonts w:ascii="Arial" w:cs="Arial" w:eastAsia="Arial" w:hAnsi="Arial"/>
                  <w:sz w:val="18"/>
                  <w:szCs w:val="18"/>
                  <w:b w:val="1"/>
                  <w:bCs w:val="1"/>
                  <w:color w:val="0000EE"/>
                  <w:w w:val="98"/>
                </w:rPr>
                <w:t>BOOK-ENTRY, DELIVERY AND FORM</w:t>
              </w:r>
            </w:hyperlink>
          </w:p>
        </w:tc>
        <w:tc>
          <w:tcPr>
            <w:tcW w:w="5600" w:type="dxa"/>
            <w:vAlign w:val="bottom"/>
            <w:gridSpan w:val="8"/>
          </w:tcPr>
          <w:p>
            <w:pPr>
              <w:spacing w:after="0"/>
              <w:rPr>
                <w:sz w:val="17"/>
                <w:szCs w:val="17"/>
                <w:color w:val="auto"/>
              </w:rPr>
            </w:pPr>
          </w:p>
        </w:tc>
        <w:tc>
          <w:tcPr>
            <w:tcW w:w="180" w:type="dxa"/>
            <w:vAlign w:val="bottom"/>
            <w:tcBorders>
              <w:bottom w:val="single" w:sz="8" w:color="0000EE"/>
            </w:tcBorders>
            <w:gridSpan w:val="4"/>
          </w:tcPr>
          <w:p>
            <w:pPr>
              <w:jc w:val="right"/>
              <w:spacing w:after="0" w:line="196" w:lineRule="exact"/>
              <w:rPr>
                <w:rFonts w:ascii="Arial" w:cs="Arial" w:eastAsia="Arial" w:hAnsi="Arial"/>
                <w:sz w:val="18"/>
                <w:szCs w:val="18"/>
                <w:b w:val="1"/>
                <w:bCs w:val="1"/>
                <w:color w:val="0000EE"/>
                <w:w w:val="79"/>
              </w:rPr>
            </w:pPr>
            <w:hyperlink w:anchor="page69">
              <w:r>
                <w:rPr>
                  <w:rFonts w:ascii="Arial" w:cs="Arial" w:eastAsia="Arial" w:hAnsi="Arial"/>
                  <w:sz w:val="18"/>
                  <w:szCs w:val="18"/>
                  <w:b w:val="1"/>
                  <w:bCs w:val="1"/>
                  <w:color w:val="0000EE"/>
                  <w:w w:val="79"/>
                </w:rPr>
                <w:t>65</w:t>
              </w:r>
            </w:hyperlink>
          </w:p>
        </w:tc>
      </w:tr>
      <w:tr>
        <w:trPr>
          <w:trHeight w:val="196"/>
        </w:trPr>
        <w:tc>
          <w:tcPr>
            <w:tcW w:w="1140" w:type="dxa"/>
            <w:vAlign w:val="bottom"/>
          </w:tcPr>
          <w:p>
            <w:pPr>
              <w:spacing w:after="0"/>
              <w:rPr>
                <w:sz w:val="17"/>
                <w:szCs w:val="17"/>
                <w:color w:val="auto"/>
              </w:rPr>
            </w:pPr>
          </w:p>
        </w:tc>
        <w:tc>
          <w:tcPr>
            <w:tcW w:w="8800" w:type="dxa"/>
            <w:vAlign w:val="bottom"/>
            <w:gridSpan w:val="21"/>
          </w:tcPr>
          <w:p>
            <w:pPr>
              <w:spacing w:after="0" w:line="196"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CERTAIN FEDERAL INCOME TAX CONSEQUENCES</w:t>
              </w:r>
            </w:hyperlink>
          </w:p>
        </w:tc>
        <w:tc>
          <w:tcPr>
            <w:tcW w:w="180" w:type="dxa"/>
            <w:vAlign w:val="bottom"/>
            <w:gridSpan w:val="4"/>
          </w:tcPr>
          <w:p>
            <w:pPr>
              <w:jc w:val="right"/>
              <w:spacing w:after="0" w:line="196" w:lineRule="exact"/>
              <w:rPr>
                <w:rFonts w:ascii="Arial" w:cs="Arial" w:eastAsia="Arial" w:hAnsi="Arial"/>
                <w:sz w:val="18"/>
                <w:szCs w:val="18"/>
                <w:b w:val="1"/>
                <w:bCs w:val="1"/>
                <w:color w:val="0000EE"/>
                <w:w w:val="79"/>
              </w:rPr>
            </w:pPr>
            <w:hyperlink w:anchor="page71">
              <w:r>
                <w:rPr>
                  <w:rFonts w:ascii="Arial" w:cs="Arial" w:eastAsia="Arial" w:hAnsi="Arial"/>
                  <w:sz w:val="18"/>
                  <w:szCs w:val="18"/>
                  <w:b w:val="1"/>
                  <w:bCs w:val="1"/>
                  <w:color w:val="0000EE"/>
                  <w:w w:val="79"/>
                </w:rPr>
                <w:t>67</w:t>
              </w:r>
            </w:hyperlink>
          </w:p>
        </w:tc>
      </w:tr>
      <w:tr>
        <w:trPr>
          <w:trHeight w:val="196"/>
        </w:trPr>
        <w:tc>
          <w:tcPr>
            <w:tcW w:w="114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b w:val="1"/>
                <w:bCs w:val="1"/>
                <w:color w:val="0000EE"/>
                <w:w w:val="99"/>
              </w:rPr>
            </w:pPr>
            <w:hyperlink w:anchor="page72">
              <w:r>
                <w:rPr>
                  <w:rFonts w:ascii="Arial" w:cs="Arial" w:eastAsia="Arial" w:hAnsi="Arial"/>
                  <w:sz w:val="18"/>
                  <w:szCs w:val="18"/>
                  <w:b w:val="1"/>
                  <w:bCs w:val="1"/>
                  <w:color w:val="0000EE"/>
                  <w:w w:val="99"/>
                </w:rPr>
                <w:t>PLAN OF DISTRIBUTION</w:t>
              </w:r>
            </w:hyperlink>
          </w:p>
        </w:tc>
        <w:tc>
          <w:tcPr>
            <w:tcW w:w="2240" w:type="dxa"/>
            <w:vAlign w:val="bottom"/>
            <w:tcBorders>
              <w:top w:val="single" w:sz="8" w:color="0000EE"/>
            </w:tcBorders>
            <w:gridSpan w:val="9"/>
          </w:tcPr>
          <w:p>
            <w:pPr>
              <w:spacing w:after="0"/>
              <w:rPr>
                <w:sz w:val="17"/>
                <w:szCs w:val="17"/>
                <w:color w:val="auto"/>
              </w:rPr>
            </w:pPr>
          </w:p>
        </w:tc>
        <w:tc>
          <w:tcPr>
            <w:tcW w:w="4440" w:type="dxa"/>
            <w:vAlign w:val="bottom"/>
            <w:gridSpan w:val="3"/>
          </w:tcPr>
          <w:p>
            <w:pPr>
              <w:spacing w:after="0"/>
              <w:rPr>
                <w:sz w:val="17"/>
                <w:szCs w:val="17"/>
                <w:color w:val="auto"/>
              </w:rPr>
            </w:pPr>
          </w:p>
        </w:tc>
        <w:tc>
          <w:tcPr>
            <w:tcW w:w="180" w:type="dxa"/>
            <w:vAlign w:val="bottom"/>
            <w:tcBorders>
              <w:top w:val="single" w:sz="8" w:color="0000EE"/>
              <w:bottom w:val="single" w:sz="8" w:color="0000EE"/>
            </w:tcBorders>
            <w:gridSpan w:val="4"/>
          </w:tcPr>
          <w:p>
            <w:pPr>
              <w:jc w:val="right"/>
              <w:spacing w:after="0" w:line="196" w:lineRule="exact"/>
              <w:rPr>
                <w:rFonts w:ascii="Arial" w:cs="Arial" w:eastAsia="Arial" w:hAnsi="Arial"/>
                <w:sz w:val="18"/>
                <w:szCs w:val="18"/>
                <w:b w:val="1"/>
                <w:bCs w:val="1"/>
                <w:color w:val="0000EE"/>
                <w:w w:val="79"/>
              </w:rPr>
            </w:pPr>
            <w:hyperlink w:anchor="page72">
              <w:r>
                <w:rPr>
                  <w:rFonts w:ascii="Arial" w:cs="Arial" w:eastAsia="Arial" w:hAnsi="Arial"/>
                  <w:sz w:val="18"/>
                  <w:szCs w:val="18"/>
                  <w:b w:val="1"/>
                  <w:bCs w:val="1"/>
                  <w:color w:val="0000EE"/>
                  <w:w w:val="79"/>
                </w:rPr>
                <w:t>68</w:t>
              </w:r>
            </w:hyperlink>
          </w:p>
        </w:tc>
      </w:tr>
      <w:tr>
        <w:trPr>
          <w:trHeight w:val="196"/>
        </w:trPr>
        <w:tc>
          <w:tcPr>
            <w:tcW w:w="1140" w:type="dxa"/>
            <w:vAlign w:val="bottom"/>
          </w:tcPr>
          <w:p>
            <w:pPr>
              <w:spacing w:after="0"/>
              <w:rPr>
                <w:sz w:val="17"/>
                <w:szCs w:val="17"/>
                <w:color w:val="auto"/>
              </w:rPr>
            </w:pPr>
          </w:p>
        </w:tc>
        <w:tc>
          <w:tcPr>
            <w:tcW w:w="8800" w:type="dxa"/>
            <w:vAlign w:val="bottom"/>
            <w:gridSpan w:val="21"/>
          </w:tcPr>
          <w:p>
            <w:pPr>
              <w:spacing w:after="0" w:line="196" w:lineRule="exact"/>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LEGAL MATTERS</w:t>
              </w:r>
            </w:hyperlink>
          </w:p>
        </w:tc>
        <w:tc>
          <w:tcPr>
            <w:tcW w:w="180" w:type="dxa"/>
            <w:vAlign w:val="bottom"/>
            <w:gridSpan w:val="4"/>
          </w:tcPr>
          <w:p>
            <w:pPr>
              <w:jc w:val="right"/>
              <w:spacing w:after="0" w:line="196" w:lineRule="exact"/>
              <w:rPr>
                <w:rFonts w:ascii="Arial" w:cs="Arial" w:eastAsia="Arial" w:hAnsi="Arial"/>
                <w:sz w:val="18"/>
                <w:szCs w:val="18"/>
                <w:b w:val="1"/>
                <w:bCs w:val="1"/>
                <w:color w:val="0000EE"/>
                <w:w w:val="79"/>
              </w:rPr>
            </w:pPr>
            <w:hyperlink w:anchor="page73">
              <w:r>
                <w:rPr>
                  <w:rFonts w:ascii="Arial" w:cs="Arial" w:eastAsia="Arial" w:hAnsi="Arial"/>
                  <w:sz w:val="18"/>
                  <w:szCs w:val="18"/>
                  <w:b w:val="1"/>
                  <w:bCs w:val="1"/>
                  <w:color w:val="0000EE"/>
                  <w:w w:val="79"/>
                </w:rPr>
                <w:t>69</w:t>
              </w:r>
            </w:hyperlink>
          </w:p>
        </w:tc>
      </w:tr>
      <w:tr>
        <w:trPr>
          <w:trHeight w:val="196"/>
        </w:trPr>
        <w:tc>
          <w:tcPr>
            <w:tcW w:w="1140" w:type="dxa"/>
            <w:vAlign w:val="bottom"/>
          </w:tcPr>
          <w:p>
            <w:pPr>
              <w:spacing w:after="0"/>
              <w:rPr>
                <w:sz w:val="17"/>
                <w:szCs w:val="17"/>
                <w:color w:val="auto"/>
              </w:rPr>
            </w:pPr>
          </w:p>
        </w:tc>
        <w:tc>
          <w:tcPr>
            <w:tcW w:w="8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5"/>
              </w:rPr>
            </w:pPr>
            <w:hyperlink w:anchor="page73">
              <w:r>
                <w:rPr>
                  <w:rFonts w:ascii="Arial" w:cs="Arial" w:eastAsia="Arial" w:hAnsi="Arial"/>
                  <w:sz w:val="18"/>
                  <w:szCs w:val="18"/>
                  <w:b w:val="1"/>
                  <w:bCs w:val="1"/>
                  <w:color w:val="0000EE"/>
                  <w:w w:val="95"/>
                </w:rPr>
                <w:t>EXPERTS</w:t>
              </w:r>
            </w:hyperlink>
          </w:p>
        </w:tc>
        <w:tc>
          <w:tcPr>
            <w:tcW w:w="700" w:type="dxa"/>
            <w:vAlign w:val="bottom"/>
            <w:tcBorders>
              <w:top w:val="single" w:sz="8" w:color="0000EE"/>
            </w:tcBorders>
            <w:gridSpan w:val="3"/>
          </w:tcPr>
          <w:p>
            <w:pPr>
              <w:spacing w:after="0"/>
              <w:rPr>
                <w:sz w:val="17"/>
                <w:szCs w:val="17"/>
                <w:color w:val="auto"/>
              </w:rPr>
            </w:pPr>
          </w:p>
        </w:tc>
        <w:tc>
          <w:tcPr>
            <w:tcW w:w="7280" w:type="dxa"/>
            <w:vAlign w:val="bottom"/>
            <w:gridSpan w:val="16"/>
          </w:tcPr>
          <w:p>
            <w:pPr>
              <w:spacing w:after="0"/>
              <w:rPr>
                <w:sz w:val="17"/>
                <w:szCs w:val="17"/>
                <w:color w:val="auto"/>
              </w:rPr>
            </w:pPr>
          </w:p>
        </w:tc>
        <w:tc>
          <w:tcPr>
            <w:tcW w:w="180" w:type="dxa"/>
            <w:vAlign w:val="bottom"/>
            <w:tcBorders>
              <w:top w:val="single" w:sz="8" w:color="0000EE"/>
              <w:bottom w:val="single" w:sz="8" w:color="0000EE"/>
            </w:tcBorders>
            <w:gridSpan w:val="4"/>
          </w:tcPr>
          <w:p>
            <w:pPr>
              <w:jc w:val="right"/>
              <w:spacing w:after="0" w:line="196" w:lineRule="exact"/>
              <w:rPr>
                <w:rFonts w:ascii="Arial" w:cs="Arial" w:eastAsia="Arial" w:hAnsi="Arial"/>
                <w:sz w:val="18"/>
                <w:szCs w:val="18"/>
                <w:b w:val="1"/>
                <w:bCs w:val="1"/>
                <w:color w:val="0000EE"/>
                <w:w w:val="79"/>
              </w:rPr>
            </w:pPr>
            <w:hyperlink w:anchor="page73">
              <w:r>
                <w:rPr>
                  <w:rFonts w:ascii="Arial" w:cs="Arial" w:eastAsia="Arial" w:hAnsi="Arial"/>
                  <w:sz w:val="18"/>
                  <w:szCs w:val="18"/>
                  <w:b w:val="1"/>
                  <w:bCs w:val="1"/>
                  <w:color w:val="0000EE"/>
                  <w:w w:val="79"/>
                </w:rPr>
                <w:t>69</w:t>
              </w:r>
            </w:hyperlink>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NRG Yield Operating LLC ("Yield Operating LLC") is not currently required to file annual, quarterly and current reports and other information with the SEC. NRG Yield LLC ("Yield LLC") files periodic reports and other information with the SEC pursuant to Section 15(d) of the Securities Exchange Act of 1934, as amended (the "Exchange Act"). You may read and copy any document Yield LLC has filed or will file with the SEC at the SEC's public website (</w:t>
      </w:r>
      <w:r>
        <w:rPr>
          <w:rFonts w:ascii="Arial" w:cs="Arial" w:eastAsia="Arial" w:hAnsi="Arial"/>
          <w:sz w:val="16"/>
          <w:szCs w:val="16"/>
          <w:i w:val="1"/>
          <w:iCs w:val="1"/>
          <w:color w:val="auto"/>
        </w:rPr>
        <w:t>www.sec.gov</w:t>
      </w:r>
      <w:r>
        <w:rPr>
          <w:rFonts w:ascii="Arial" w:cs="Arial" w:eastAsia="Arial" w:hAnsi="Arial"/>
          <w:sz w:val="16"/>
          <w:szCs w:val="16"/>
          <w:color w:val="auto"/>
        </w:rPr>
        <w:t>) or at the Public Reference Room of the SEC located at 100 F Street, N.E., Washington, DC 20549. Copies of such materials can be obtained from the Public Reference Room of the SEC at prescribed rates. You can call the SEC at 1-800-SEC-0330 to obtain information on the operation of the Public Reference Room.</w:t>
      </w:r>
    </w:p>
    <w:p>
      <w:pPr>
        <w:spacing w:after="0" w:line="170"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So long as Yield LLC continues to own, directly or indirectly, all of the equity interests of Yield Operating LLC, the quarterly, annual and current reports and consolidated financial statements referred to above in respect of Yield LLC will be deemed to satisfy the obligations of Yield Operating LLC under the reporting covenant of the indenture governing the notes. See "Description of the Notes—Certain Covenants—Reports."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SEC allows us to "incorporate by reference" the information Yield LLC files with them into this prospectus, which means that we can disclose important information to you by referring you to those documents and those documents will be considered part of this prospectus. Information that Yield LLC files later with the SEC will automatically update and supersede the previously filed information. We incorporate by reference the documents listed below and any future filings Yield LLC makes with the SEC under Sections 13(a), 13(c), 14 or 15(d) of the Exchange Act, until the completion of the exchange offer (other than portions of these documents deemed to be "furnished" or not deemed to be "filed," including the portions of these documents that are either (1) described in paragraphs (d)(1), (d)(2), (d)(3) or (e)(5) of Item 407 of Regulation S-K promulgated by the SEC or (2) furnished under Item 2.02 or Item 7.01 of a current report on Form 8-K, including any exhibits included with such Items):</w:t>
      </w:r>
    </w:p>
    <w:p>
      <w:pPr>
        <w:spacing w:after="0" w:line="186" w:lineRule="exact"/>
        <w:rPr>
          <w:sz w:val="20"/>
          <w:szCs w:val="20"/>
          <w:color w:val="auto"/>
        </w:rPr>
      </w:pPr>
    </w:p>
    <w:p>
      <w:pPr>
        <w:ind w:left="1080" w:right="5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Yield LLC's annual report on Form 10-K for the year ended December 31, 2016 filed on February 28, 2017, which we refer to as our "2016 Form 10-K";</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Yield LLC's quarterly report on Form 10-Q for the quarter ended March 31, 2017 filed on May 2, 2017, which we refer to as our "First Quarter Form 10-Q";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Yield LLC's current reports on Form 8-K filed on February 3, 2017 and May 9, 2017.</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Furthermore, all filings Yield LLC makes with the SEC under Sections 13(a), 13(c), 14 or 15(d) of the Exchange Act after the date of the initial filing of this registration statement and prior to effectiveness of the registration statement (other than portions of these documents deemed to be "furnished" or not deemed to be "filed," including the portions of these documents that are either (1) described in paragraphs (d)(1), (d)(2), (d)(3) or (e)(5) of Item 407 of Regulation S-K promulgated by the SEC or (2) furnished under Item 2.02 or Item 7.01 of a current report on Form 8-K, including any exhibits included with such Items) shall be deemed to be incorporated by reference into this prospectus.</w:t>
      </w:r>
    </w:p>
    <w:p>
      <w:pPr>
        <w:spacing w:after="0" w:line="197"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If you make a request for such information in writing or by telephone, we will provide you, without charge, a copy of any or all of the information incorporated by reference in this prospectus. Any such request should be directed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NRG Yield Operating LLC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804 Carnegie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5580" w:hanging="415"/>
        <w:spacing w:after="0"/>
        <w:tabs>
          <w:tab w:leader="none" w:pos="5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524-4500</w:t>
      </w:r>
    </w:p>
    <w:p>
      <w:pPr>
        <w:spacing w:after="0" w:line="32" w:lineRule="exact"/>
        <w:rPr>
          <w:rFonts w:ascii="Arial" w:cs="Arial" w:eastAsia="Arial" w:hAnsi="Arial"/>
          <w:sz w:val="16"/>
          <w:szCs w:val="16"/>
          <w:color w:val="auto"/>
        </w:rPr>
      </w:pPr>
    </w:p>
    <w:p>
      <w:pPr>
        <w:ind w:left="4740"/>
        <w:spacing w:after="0"/>
        <w:rPr>
          <w:rFonts w:ascii="Arial" w:cs="Arial" w:eastAsia="Arial" w:hAnsi="Arial"/>
          <w:sz w:val="16"/>
          <w:szCs w:val="16"/>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jc w:val="both"/>
        <w:ind w:right="240" w:firstLine="345"/>
        <w:spacing w:after="0" w:line="256"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We have not authorized anyone else to provide you with different or additional information. This prospectus does not offer to sell or solicit any offer to buy any notes in any jurisdiction where the offer or sale is unlawful. You should not assume that the information in this prospectus or in any document incorporated by reference is accurate as of any date other than the date on the front cover of the applicable document.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616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661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firstLine="351"/>
        <w:spacing w:after="0" w:line="256" w:lineRule="auto"/>
        <w:rPr>
          <w:sz w:val="20"/>
          <w:szCs w:val="20"/>
          <w:color w:val="auto"/>
        </w:rPr>
      </w:pPr>
      <w:r>
        <w:rPr>
          <w:rFonts w:ascii="Arial" w:cs="Arial" w:eastAsia="Arial" w:hAnsi="Arial"/>
          <w:sz w:val="18"/>
          <w:szCs w:val="18"/>
          <w:i w:val="1"/>
          <w:iCs w:val="1"/>
          <w:color w:val="auto"/>
        </w:rPr>
        <w:t>This summary highlights selected information appearing elsewhere in this prospectus. This summary is not complete and does not contain all of the information that you should consider before deciding whether to participate in this exchange offer. You should carefully read this summary together with the entire prospectus, including the information set forth in the section entitled "Risk Factors" and the financial statements and related notes thereto, before deciding whether to participate in the exchange offer.</w:t>
      </w:r>
    </w:p>
    <w:p>
      <w:pPr>
        <w:spacing w:after="0" w:line="197" w:lineRule="exact"/>
        <w:rPr>
          <w:sz w:val="20"/>
          <w:szCs w:val="20"/>
          <w:color w:val="auto"/>
        </w:rPr>
      </w:pPr>
    </w:p>
    <w:p>
      <w:pPr>
        <w:jc w:val="both"/>
        <w:ind w:left="240" w:right="60" w:firstLine="351"/>
        <w:spacing w:after="0" w:line="256" w:lineRule="auto"/>
        <w:rPr>
          <w:sz w:val="20"/>
          <w:szCs w:val="20"/>
          <w:color w:val="auto"/>
        </w:rPr>
      </w:pPr>
      <w:r>
        <w:rPr>
          <w:rFonts w:ascii="Arial" w:cs="Arial" w:eastAsia="Arial" w:hAnsi="Arial"/>
          <w:sz w:val="18"/>
          <w:szCs w:val="18"/>
          <w:i w:val="1"/>
          <w:iCs w:val="1"/>
          <w:color w:val="auto"/>
        </w:rPr>
        <w:t>Unless the context otherwise requires or as otherwise indicated, references in this prospectus to "we," "our," "the Company" and "Yield" refer to Yield Operating LLC, together with its consolidated subsidiaries and direct parent Yield LLC and references to "Issuer" refer to Yield Operating LLC, exclusive of its subsidiaries. As of March 31, 2017, NRG Yield, Inc. ("Yield Inc.") (NYSE: NYLD.A, NYLD) owned approximately 53.4% of the economic interests in and was the sole managing member of Yield LLC.</w:t>
      </w: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Businesses</w:t>
      </w:r>
    </w:p>
    <w:p>
      <w:pPr>
        <w:spacing w:after="0" w:line="231" w:lineRule="exact"/>
        <w:rPr>
          <w:sz w:val="20"/>
          <w:szCs w:val="20"/>
          <w:color w:val="auto"/>
        </w:rPr>
      </w:pPr>
    </w:p>
    <w:p>
      <w:pPr>
        <w:ind w:left="240" w:right="400" w:firstLine="348"/>
        <w:spacing w:after="0" w:line="306" w:lineRule="auto"/>
        <w:rPr>
          <w:sz w:val="20"/>
          <w:szCs w:val="20"/>
          <w:color w:val="auto"/>
        </w:rPr>
      </w:pPr>
      <w:r>
        <w:rPr>
          <w:rFonts w:ascii="Arial" w:cs="Arial" w:eastAsia="Arial" w:hAnsi="Arial"/>
          <w:sz w:val="16"/>
          <w:szCs w:val="16"/>
          <w:color w:val="auto"/>
        </w:rPr>
        <w:t>We are a company formed to serve as the primary vehicle through which NRG Energy, Inc. ("NRG") (NYSE: NRG) owns, operates and acquires contracted renewable and conventional generation and thermal infrastructure assets. We believe we are well positioned to be a premier company for investors seeking stable and growing dividend income from a diversified portfolio of lower-risk high-quality assets.</w:t>
      </w:r>
    </w:p>
    <w:p>
      <w:pPr>
        <w:spacing w:after="0" w:line="161" w:lineRule="exact"/>
        <w:rPr>
          <w:sz w:val="20"/>
          <w:szCs w:val="20"/>
          <w:color w:val="auto"/>
        </w:rPr>
      </w:pPr>
    </w:p>
    <w:p>
      <w:pPr>
        <w:ind w:left="240" w:firstLine="348"/>
        <w:spacing w:after="0" w:line="290" w:lineRule="auto"/>
        <w:rPr>
          <w:sz w:val="20"/>
          <w:szCs w:val="20"/>
          <w:color w:val="auto"/>
        </w:rPr>
      </w:pPr>
      <w:r>
        <w:rPr>
          <w:rFonts w:ascii="Arial" w:cs="Arial" w:eastAsia="Arial" w:hAnsi="Arial"/>
          <w:sz w:val="16"/>
          <w:szCs w:val="16"/>
          <w:color w:val="auto"/>
        </w:rPr>
        <w:t>We own a diversified portfolio of contracted renewable and conventional generation and thermal infrastructure assets in the United States. Our contracted generation portfolio collectively represents 4,879 net MW as of March 31, 2017. Each of these assets sells substantially all of its output pursuant to long-term offtake agreements with creditworthy counterparties. The weighted average remaining contract duration of these offtake agreements was approximately 16 years as of March 31, 2017, based on cash available for distribution ("CAFD"). We also own thermal infrastructure assets with an aggregate steam and chilled water capacity of 1,319 net MWt and electric generation capacity of 123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 Strategy</w:t>
      </w:r>
    </w:p>
    <w:p>
      <w:pPr>
        <w:spacing w:after="0" w:line="231" w:lineRule="exact"/>
        <w:rPr>
          <w:sz w:val="20"/>
          <w:szCs w:val="20"/>
          <w:color w:val="auto"/>
        </w:rPr>
      </w:pPr>
    </w:p>
    <w:p>
      <w:pPr>
        <w:jc w:val="both"/>
        <w:ind w:left="240" w:right="20" w:firstLine="351"/>
        <w:spacing w:after="0" w:line="259" w:lineRule="auto"/>
        <w:rPr>
          <w:sz w:val="20"/>
          <w:szCs w:val="20"/>
          <w:color w:val="auto"/>
        </w:rPr>
      </w:pPr>
      <w:r>
        <w:rPr>
          <w:rFonts w:ascii="Arial" w:cs="Arial" w:eastAsia="Arial" w:hAnsi="Arial"/>
          <w:sz w:val="18"/>
          <w:szCs w:val="18"/>
          <w:color w:val="auto"/>
        </w:rPr>
        <w:t>Our primary business strategy is to focus on the acquisition and ownership of assets with predictable, long-term cash flows in order that it may be able to increase the cash distributions to Yield Inc. and NRG over time without compromising the ongoing stability of our business. Our plan for executing this strategy includes the following key components:</w:t>
      </w:r>
    </w:p>
    <w:p>
      <w:pPr>
        <w:spacing w:after="0" w:line="194" w:lineRule="exact"/>
        <w:rPr>
          <w:sz w:val="20"/>
          <w:szCs w:val="20"/>
          <w:color w:val="auto"/>
        </w:rPr>
      </w:pPr>
    </w:p>
    <w:p>
      <w:pPr>
        <w:ind w:left="240" w:right="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Focus on contracted renewable energy and conventional generation and thermal infrastructure assets. </w:t>
      </w:r>
      <w:r>
        <w:rPr>
          <w:rFonts w:ascii="Arial" w:cs="Arial" w:eastAsia="Arial" w:hAnsi="Arial"/>
          <w:sz w:val="16"/>
          <w:szCs w:val="16"/>
          <w:color w:val="auto"/>
        </w:rPr>
        <w:t>We own and operate utility scale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distributed renewable energy and natural gas-fired generation, thermal and other infrastructure assets with proven technologies, low operating risks and stable cash flows. We believe by focusing on this core asset class and leveraging our industry knowledge, we will maximize our strategic opportunities, be a leader in operational efficiency and maximize our overall financial performance.</w:t>
      </w:r>
    </w:p>
    <w:p>
      <w:pPr>
        <w:spacing w:after="0" w:line="167" w:lineRule="exact"/>
        <w:rPr>
          <w:sz w:val="20"/>
          <w:szCs w:val="20"/>
          <w:color w:val="auto"/>
        </w:rPr>
      </w:pPr>
    </w:p>
    <w:p>
      <w:pPr>
        <w:ind w:left="240" w:right="60" w:firstLine="351"/>
        <w:spacing w:after="0" w:line="323" w:lineRule="auto"/>
        <w:rPr>
          <w:sz w:val="20"/>
          <w:szCs w:val="20"/>
          <w:color w:val="auto"/>
        </w:rPr>
      </w:pPr>
      <w:r>
        <w:rPr>
          <w:rFonts w:ascii="Arial" w:cs="Arial" w:eastAsia="Arial" w:hAnsi="Arial"/>
          <w:sz w:val="15"/>
          <w:szCs w:val="15"/>
          <w:b w:val="1"/>
          <w:bCs w:val="1"/>
          <w:i w:val="1"/>
          <w:iCs w:val="1"/>
          <w:color w:val="auto"/>
        </w:rPr>
        <w:t xml:space="preserve">Growing the business through acquisitions of contracted operating assets. </w:t>
      </w:r>
      <w:r>
        <w:rPr>
          <w:rFonts w:ascii="Arial" w:cs="Arial" w:eastAsia="Arial" w:hAnsi="Arial"/>
          <w:sz w:val="15"/>
          <w:szCs w:val="15"/>
          <w:color w:val="auto"/>
        </w:rPr>
        <w:t>We believe that our base of operations and relationship with NRG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provide a platform in the conventional and renewable power generation and thermal sectors for strategic growth through cash accretive and tax advantaged acquisitions complementary to our existing portfolio. In addition to acquiring renewable generation, conventional generation and thermal infrastructure assets from third parties where we believe our knowledge of the market and operating expertise provides us with a competitive advantage, we entered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036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7036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53" w:lineRule="auto"/>
        <w:rPr>
          <w:sz w:val="20"/>
          <w:szCs w:val="20"/>
          <w:color w:val="auto"/>
        </w:rPr>
      </w:pPr>
      <w:r>
        <w:rPr>
          <w:rFonts w:ascii="Arial" w:cs="Arial" w:eastAsia="Arial" w:hAnsi="Arial"/>
          <w:sz w:val="18"/>
          <w:szCs w:val="18"/>
          <w:color w:val="auto"/>
        </w:rPr>
        <w:t>into a Right of First Offer Agreement with NRG (the "ROFO Agreement"). On February 24, 2017, we amended and restated the ROFO Agreement, expanding the NRG ROFO pipeline with the addition of 234 net MW of utility-scale solar projects, consisting of Buckthorn, a 154 net MW solar facility in Texas, and Hawaii solar projects, which have a combined capacity of 80 net MW. Under the ROFO Agreement, NRG has granted us and our affiliates a right of first offer on any proposed sale, transfer or other disposition of certain assets of NRG until February 24, 2022. In addition to the assets described in the table below which reflects the assets subject to sale, the ROFO Agreement also provides us with a right of first offer with respect to up to $250 million of equity in one or more distributed solar generation portfolios developed by affiliates of NRG, together with the assets listed in the table below (the "NRG ROFO Assets").</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72"/>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Capacity</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20"/>
                <w:szCs w:val="20"/>
                <w:color w:val="auto"/>
              </w:rPr>
            </w:pPr>
            <w:r>
              <w:rPr>
                <w:rFonts w:ascii="Arial" w:cs="Arial" w:eastAsia="Arial" w:hAnsi="Arial"/>
                <w:sz w:val="14"/>
                <w:szCs w:val="14"/>
                <w:b w:val="1"/>
                <w:bCs w:val="1"/>
                <w:color w:val="auto"/>
                <w:w w:val="78"/>
              </w:rPr>
              <w:t>Asset</w:t>
            </w:r>
          </w:p>
        </w:tc>
        <w:tc>
          <w:tcPr>
            <w:tcW w:w="4500" w:type="dxa"/>
            <w:vAlign w:val="bottom"/>
            <w:gridSpan w:val="2"/>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Fuel Type</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(MW)(1)</w:t>
            </w:r>
          </w:p>
        </w:tc>
        <w:tc>
          <w:tcPr>
            <w:tcW w:w="160" w:type="dxa"/>
            <w:vAlign w:val="bottom"/>
          </w:tcPr>
          <w:p>
            <w:pPr>
              <w:spacing w:after="0"/>
              <w:rPr>
                <w:sz w:val="14"/>
                <w:szCs w:val="14"/>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COD</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4500" w:type="dxa"/>
            <w:vAlign w:val="bottom"/>
            <w:gridSpan w:val="2"/>
            <w:shd w:val="clear" w:color="auto" w:fill="CCEEFF"/>
          </w:tcPr>
          <w:p>
            <w:pPr>
              <w:spacing w:after="0" w:line="20" w:lineRule="exact"/>
              <w:rPr>
                <w:sz w:val="1"/>
                <w:szCs w:val="1"/>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Solar</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940" w:type="dxa"/>
            <w:vAlign w:val="bottom"/>
            <w:gridSpan w:val="2"/>
            <w:vMerge w:val="restart"/>
            <w:shd w:val="clear" w:color="auto" w:fill="CCEEFF"/>
          </w:tcPr>
          <w:p>
            <w:pPr>
              <w:jc w:val="center"/>
              <w:ind w:left="72"/>
              <w:spacing w:after="0"/>
              <w:rPr>
                <w:sz w:val="20"/>
                <w:szCs w:val="20"/>
                <w:color w:val="auto"/>
              </w:rPr>
            </w:pPr>
            <w:r>
              <w:rPr>
                <w:rFonts w:ascii="Arial" w:cs="Arial" w:eastAsia="Arial" w:hAnsi="Arial"/>
                <w:sz w:val="18"/>
                <w:szCs w:val="18"/>
                <w:color w:val="auto"/>
                <w:w w:val="84"/>
              </w:rPr>
              <w:t>2013</w:t>
            </w:r>
          </w:p>
        </w:tc>
        <w:tc>
          <w:tcPr>
            <w:tcW w:w="0" w:type="dxa"/>
            <w:vAlign w:val="bottom"/>
          </w:tcPr>
          <w:p>
            <w:pPr>
              <w:spacing w:after="0" w:line="20" w:lineRule="exact"/>
              <w:rPr>
                <w:sz w:val="1"/>
                <w:szCs w:val="1"/>
                <w:color w:val="auto"/>
              </w:rPr>
            </w:pPr>
          </w:p>
        </w:tc>
      </w:tr>
      <w:tr>
        <w:trPr>
          <w:trHeight w:val="190"/>
        </w:trPr>
        <w:tc>
          <w:tcPr>
            <w:tcW w:w="48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Ivanpah(2)</w:t>
            </w:r>
          </w:p>
        </w:tc>
        <w:tc>
          <w:tcPr>
            <w:tcW w:w="104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Agua Caliente(3)</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Solar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9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2014</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Buckthorn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Solar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9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2018</w:t>
            </w: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Hawaii</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Solar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9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2019</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Carlsbad</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Conventional</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9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2018</w:t>
            </w: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Puente/Mandalay</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Conventional</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9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2020</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Wind TE Holdco(4):</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tcPr>
          <w:p>
            <w:pPr>
              <w:ind w:left="180"/>
              <w:spacing w:after="0"/>
              <w:rPr>
                <w:sz w:val="20"/>
                <w:szCs w:val="20"/>
                <w:color w:val="auto"/>
              </w:rPr>
            </w:pPr>
            <w:r>
              <w:rPr>
                <w:rFonts w:ascii="Arial" w:cs="Arial" w:eastAsia="Arial" w:hAnsi="Arial"/>
                <w:sz w:val="18"/>
                <w:szCs w:val="18"/>
                <w:color w:val="auto"/>
              </w:rPr>
              <w:t>Elkhorn Ridge</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Wind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9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2009</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San Juan Mesa</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Wind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2005</w:t>
            </w:r>
          </w:p>
        </w:tc>
        <w:tc>
          <w:tcPr>
            <w:tcW w:w="0" w:type="dxa"/>
            <w:vAlign w:val="bottom"/>
          </w:tcPr>
          <w:p>
            <w:pPr>
              <w:spacing w:after="0"/>
              <w:rPr>
                <w:sz w:val="1"/>
                <w:szCs w:val="1"/>
                <w:color w:val="auto"/>
              </w:rPr>
            </w:pPr>
          </w:p>
        </w:tc>
      </w:tr>
      <w:tr>
        <w:trPr>
          <w:trHeight w:val="216"/>
        </w:trPr>
        <w:tc>
          <w:tcPr>
            <w:tcW w:w="4820" w:type="dxa"/>
            <w:vAlign w:val="bottom"/>
            <w:gridSpan w:val="3"/>
          </w:tcPr>
          <w:p>
            <w:pPr>
              <w:ind w:left="180"/>
              <w:spacing w:after="0"/>
              <w:rPr>
                <w:sz w:val="20"/>
                <w:szCs w:val="20"/>
                <w:color w:val="auto"/>
              </w:rPr>
            </w:pPr>
            <w:r>
              <w:rPr>
                <w:rFonts w:ascii="Arial" w:cs="Arial" w:eastAsia="Arial" w:hAnsi="Arial"/>
                <w:sz w:val="18"/>
                <w:szCs w:val="18"/>
                <w:color w:val="auto"/>
              </w:rPr>
              <w:t>Wildorado</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Wind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9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2007</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Crosswinds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Wind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2007</w:t>
            </w:r>
          </w:p>
        </w:tc>
        <w:tc>
          <w:tcPr>
            <w:tcW w:w="0" w:type="dxa"/>
            <w:vAlign w:val="bottom"/>
          </w:tcPr>
          <w:p>
            <w:pPr>
              <w:spacing w:after="0"/>
              <w:rPr>
                <w:sz w:val="1"/>
                <w:szCs w:val="1"/>
                <w:color w:val="auto"/>
              </w:rPr>
            </w:pPr>
          </w:p>
        </w:tc>
      </w:tr>
      <w:tr>
        <w:trPr>
          <w:trHeight w:val="216"/>
        </w:trPr>
        <w:tc>
          <w:tcPr>
            <w:tcW w:w="4820" w:type="dxa"/>
            <w:vAlign w:val="bottom"/>
            <w:gridSpan w:val="3"/>
          </w:tcPr>
          <w:p>
            <w:pPr>
              <w:ind w:left="180"/>
              <w:spacing w:after="0"/>
              <w:rPr>
                <w:sz w:val="20"/>
                <w:szCs w:val="20"/>
                <w:color w:val="auto"/>
              </w:rPr>
            </w:pPr>
            <w:r>
              <w:rPr>
                <w:rFonts w:ascii="Arial" w:cs="Arial" w:eastAsia="Arial" w:hAnsi="Arial"/>
                <w:sz w:val="18"/>
                <w:szCs w:val="18"/>
                <w:color w:val="auto"/>
              </w:rPr>
              <w:t>Forward</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Wind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2008</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Hardin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Wind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2007</w:t>
            </w:r>
          </w:p>
        </w:tc>
        <w:tc>
          <w:tcPr>
            <w:tcW w:w="0" w:type="dxa"/>
            <w:vAlign w:val="bottom"/>
          </w:tcPr>
          <w:p>
            <w:pPr>
              <w:spacing w:after="0"/>
              <w:rPr>
                <w:sz w:val="1"/>
                <w:szCs w:val="1"/>
                <w:color w:val="auto"/>
              </w:rPr>
            </w:pPr>
          </w:p>
        </w:tc>
      </w:tr>
      <w:tr>
        <w:trPr>
          <w:trHeight w:val="216"/>
        </w:trPr>
        <w:tc>
          <w:tcPr>
            <w:tcW w:w="4820" w:type="dxa"/>
            <w:vAlign w:val="bottom"/>
            <w:gridSpan w:val="3"/>
          </w:tcPr>
          <w:p>
            <w:pPr>
              <w:ind w:left="180"/>
              <w:spacing w:after="0"/>
              <w:rPr>
                <w:sz w:val="20"/>
                <w:szCs w:val="20"/>
                <w:color w:val="auto"/>
              </w:rPr>
            </w:pPr>
            <w:r>
              <w:rPr>
                <w:rFonts w:ascii="Arial" w:cs="Arial" w:eastAsia="Arial" w:hAnsi="Arial"/>
                <w:sz w:val="18"/>
                <w:szCs w:val="18"/>
                <w:color w:val="auto"/>
              </w:rPr>
              <w:t>Odin</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Wind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9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2007</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Sleeping Bear</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Wind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9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2007</w:t>
            </w:r>
          </w:p>
        </w:tc>
        <w:tc>
          <w:tcPr>
            <w:tcW w:w="0" w:type="dxa"/>
            <w:vAlign w:val="bottom"/>
          </w:tcPr>
          <w:p>
            <w:pPr>
              <w:spacing w:after="0"/>
              <w:rPr>
                <w:sz w:val="1"/>
                <w:szCs w:val="1"/>
                <w:color w:val="auto"/>
              </w:rPr>
            </w:pPr>
          </w:p>
        </w:tc>
      </w:tr>
      <w:tr>
        <w:trPr>
          <w:trHeight w:val="216"/>
        </w:trPr>
        <w:tc>
          <w:tcPr>
            <w:tcW w:w="4820" w:type="dxa"/>
            <w:vAlign w:val="bottom"/>
            <w:gridSpan w:val="3"/>
          </w:tcPr>
          <w:p>
            <w:pPr>
              <w:ind w:left="180"/>
              <w:spacing w:after="0"/>
              <w:rPr>
                <w:sz w:val="20"/>
                <w:szCs w:val="20"/>
                <w:color w:val="auto"/>
              </w:rPr>
            </w:pPr>
            <w:r>
              <w:rPr>
                <w:rFonts w:ascii="Arial" w:cs="Arial" w:eastAsia="Arial" w:hAnsi="Arial"/>
                <w:sz w:val="18"/>
                <w:szCs w:val="18"/>
                <w:color w:val="auto"/>
              </w:rPr>
              <w:t>Spanish Fork</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Wind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9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2008</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Goat Wind</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Wind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9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2008/2009</w:t>
            </w:r>
          </w:p>
        </w:tc>
        <w:tc>
          <w:tcPr>
            <w:tcW w:w="0" w:type="dxa"/>
            <w:vAlign w:val="bottom"/>
          </w:tcPr>
          <w:p>
            <w:pPr>
              <w:spacing w:after="0"/>
              <w:rPr>
                <w:sz w:val="1"/>
                <w:szCs w:val="1"/>
                <w:color w:val="auto"/>
              </w:rPr>
            </w:pPr>
          </w:p>
        </w:tc>
      </w:tr>
      <w:tr>
        <w:trPr>
          <w:trHeight w:val="216"/>
        </w:trPr>
        <w:tc>
          <w:tcPr>
            <w:tcW w:w="4820" w:type="dxa"/>
            <w:vAlign w:val="bottom"/>
            <w:gridSpan w:val="3"/>
          </w:tcPr>
          <w:p>
            <w:pPr>
              <w:ind w:left="180"/>
              <w:spacing w:after="0"/>
              <w:rPr>
                <w:sz w:val="20"/>
                <w:szCs w:val="20"/>
                <w:color w:val="auto"/>
              </w:rPr>
            </w:pPr>
            <w:r>
              <w:rPr>
                <w:rFonts w:ascii="Arial" w:cs="Arial" w:eastAsia="Arial" w:hAnsi="Arial"/>
                <w:sz w:val="18"/>
                <w:szCs w:val="18"/>
                <w:color w:val="auto"/>
              </w:rPr>
              <w:t>Lookout</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Wind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9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2008</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Elbow Creek</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Wind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9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2008</w:t>
            </w: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Community</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Wind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9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2011</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Jeffers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Wind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2008</w:t>
            </w:r>
          </w:p>
        </w:tc>
        <w:tc>
          <w:tcPr>
            <w:tcW w:w="0" w:type="dxa"/>
            <w:vAlign w:val="bottom"/>
          </w:tcPr>
          <w:p>
            <w:pPr>
              <w:spacing w:after="0"/>
              <w:rPr>
                <w:sz w:val="1"/>
                <w:szCs w:val="1"/>
                <w:color w:val="auto"/>
              </w:rPr>
            </w:pPr>
          </w:p>
        </w:tc>
      </w:tr>
      <w:tr>
        <w:trPr>
          <w:trHeight w:val="222"/>
        </w:trPr>
        <w:tc>
          <w:tcPr>
            <w:tcW w:w="4820" w:type="dxa"/>
            <w:vAlign w:val="bottom"/>
            <w:gridSpan w:val="3"/>
          </w:tcPr>
          <w:p>
            <w:pPr>
              <w:spacing w:after="0"/>
              <w:rPr>
                <w:sz w:val="20"/>
                <w:szCs w:val="20"/>
                <w:color w:val="auto"/>
              </w:rPr>
            </w:pPr>
            <w:r>
              <w:rPr>
                <w:rFonts w:ascii="Arial" w:cs="Arial" w:eastAsia="Arial" w:hAnsi="Arial"/>
                <w:sz w:val="18"/>
                <w:szCs w:val="18"/>
                <w:color w:val="auto"/>
              </w:rPr>
              <w:t>Minnesota Portfolio(5)</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Wind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94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2003/2006</w:t>
            </w:r>
          </w:p>
        </w:tc>
        <w:tc>
          <w:tcPr>
            <w:tcW w:w="0" w:type="dxa"/>
            <w:vAlign w:val="bottom"/>
          </w:tcPr>
          <w:p>
            <w:pPr>
              <w:spacing w:after="0"/>
              <w:rPr>
                <w:sz w:val="1"/>
                <w:szCs w:val="1"/>
                <w:color w:val="auto"/>
              </w:rPr>
            </w:pPr>
          </w:p>
        </w:tc>
      </w:tr>
      <w:tr>
        <w:trPr>
          <w:trHeight w:val="102"/>
        </w:trPr>
        <w:tc>
          <w:tcPr>
            <w:tcW w:w="32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20" w:right="280" w:hanging="536"/>
        <w:spacing w:after="0" w:line="268" w:lineRule="auto"/>
        <w:tabs>
          <w:tab w:leader="none" w:pos="2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maximum, or rated, electricity generating capacity of the facility in MW multiplied by NRG's percentage ownership interest in the facility as of March 31, 2017.</w:t>
      </w:r>
    </w:p>
    <w:p>
      <w:pPr>
        <w:spacing w:after="0" w:line="199" w:lineRule="exact"/>
        <w:rPr>
          <w:rFonts w:ascii="Arial" w:cs="Arial" w:eastAsia="Arial" w:hAnsi="Arial"/>
          <w:sz w:val="18"/>
          <w:szCs w:val="18"/>
          <w:color w:val="auto"/>
        </w:rPr>
      </w:pPr>
    </w:p>
    <w:p>
      <w:pPr>
        <w:ind w:left="2420" w:right="20" w:hanging="536"/>
        <w:spacing w:after="0" w:line="268" w:lineRule="auto"/>
        <w:tabs>
          <w:tab w:leader="none" w:pos="2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49.95% of NRG's 50.01% ownership interest in Ivanpah. Following a sale of this 49.95% interest, the remaining 50.05% of Ivanpah would be owned by NRG, Google Inc. and BrightSource Energy Inc.</w:t>
      </w:r>
    </w:p>
    <w:p>
      <w:pPr>
        <w:spacing w:after="0" w:line="199" w:lineRule="exact"/>
        <w:rPr>
          <w:rFonts w:ascii="Arial" w:cs="Arial" w:eastAsia="Arial" w:hAnsi="Arial"/>
          <w:sz w:val="18"/>
          <w:szCs w:val="18"/>
          <w:color w:val="auto"/>
        </w:rPr>
      </w:pPr>
    </w:p>
    <w:p>
      <w:pPr>
        <w:ind w:left="2420" w:right="140" w:hanging="536"/>
        <w:spacing w:after="0" w:line="332" w:lineRule="auto"/>
        <w:tabs>
          <w:tab w:leader="none" w:pos="2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NRG's 35% ownership interest in Agua Caliente. 49% of Agua Caliente is owned by BHE AC Holdings, LLC. As further described below, we acquired 16% of Agua Caliente from NRG on March 27, 2017.</w:t>
      </w:r>
    </w:p>
    <w:p>
      <w:pPr>
        <w:spacing w:after="0" w:line="166" w:lineRule="exact"/>
        <w:rPr>
          <w:rFonts w:ascii="Arial" w:cs="Arial" w:eastAsia="Arial" w:hAnsi="Arial"/>
          <w:sz w:val="16"/>
          <w:szCs w:val="16"/>
          <w:color w:val="auto"/>
        </w:rPr>
      </w:pPr>
    </w:p>
    <w:p>
      <w:pPr>
        <w:ind w:left="2420" w:right="120" w:hanging="536"/>
        <w:spacing w:after="0" w:line="332" w:lineRule="auto"/>
        <w:tabs>
          <w:tab w:leader="none" w:pos="2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NRG's remaining 25% of the Class B interests of NRG Wind TE Holdco. NRG Yield, Inc. acquired 75% of the Class B interests in November 2015. A tax equity investor owns the Class A interests in NRG Wind TE Holdco.</w:t>
      </w:r>
    </w:p>
    <w:p>
      <w:pPr>
        <w:spacing w:after="0" w:line="152" w:lineRule="exact"/>
        <w:rPr>
          <w:rFonts w:ascii="Arial" w:cs="Arial" w:eastAsia="Arial" w:hAnsi="Arial"/>
          <w:sz w:val="16"/>
          <w:szCs w:val="16"/>
          <w:color w:val="auto"/>
        </w:rPr>
      </w:pPr>
    </w:p>
    <w:p>
      <w:pPr>
        <w:ind w:left="2420" w:hanging="536"/>
        <w:spacing w:after="0"/>
        <w:tabs>
          <w:tab w:leader="none" w:pos="2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Bingham Lake, Eastridge, and Westridge projects.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930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firstLine="351"/>
        <w:spacing w:after="0" w:line="306" w:lineRule="auto"/>
        <w:rPr>
          <w:sz w:val="20"/>
          <w:szCs w:val="20"/>
          <w:color w:val="auto"/>
        </w:rPr>
      </w:pPr>
      <w:r>
        <w:rPr>
          <w:rFonts w:ascii="Arial" w:cs="Arial" w:eastAsia="Arial" w:hAnsi="Arial"/>
          <w:sz w:val="16"/>
          <w:szCs w:val="16"/>
          <w:color w:val="auto"/>
        </w:rPr>
        <w:t>NRG is not obligated to sell the remaining NRG ROFO Assets to us and, if offered by NRG, we cannot be sure whether these assets will be offered on acceptable terms, or that we will choose to consummate such acquisitions. In addition, NRG may offer additional assets to us, as described in the "Management's Discussion and Analysis of Financial Condition and Results of Operations" section of our 2016 Form 10-K.</w:t>
      </w:r>
    </w:p>
    <w:p>
      <w:pPr>
        <w:spacing w:after="0" w:line="161" w:lineRule="exact"/>
        <w:rPr>
          <w:sz w:val="20"/>
          <w:szCs w:val="20"/>
          <w:color w:val="auto"/>
        </w:rPr>
      </w:pPr>
    </w:p>
    <w:p>
      <w:pPr>
        <w:ind w:left="240" w:right="60" w:firstLine="351"/>
        <w:spacing w:after="0" w:line="291" w:lineRule="auto"/>
        <w:rPr>
          <w:sz w:val="20"/>
          <w:szCs w:val="20"/>
          <w:color w:val="auto"/>
        </w:rPr>
      </w:pPr>
      <w:r>
        <w:rPr>
          <w:rFonts w:ascii="Arial" w:cs="Arial" w:eastAsia="Arial" w:hAnsi="Arial"/>
          <w:sz w:val="16"/>
          <w:szCs w:val="16"/>
          <w:color w:val="auto"/>
        </w:rPr>
        <w:t>On March 27, 2017, we acquired the following interests from NRG: (i) Agua Caliente Borrower 2 LLC, which owns a 16% interest (approximately 31% of NRG's 51% interest) in the Agua Caliente solar farm, one of the NRG ROFO Assets, representing ownership of approximately 46 net MW of capacity, and (ii) NRG's interests in seven utility-scale solar farms located in Utah, which are part of a tax equity structure with Dominion Solar Projects III, Inc. from which we would receive 50% of cash to be distributed. We paid cash consideration of $130 million, plus $1 million of working capital and assumed non-recourse project debt of $328 million, which we consolidate, as well as our pro-rata share of non-recourse project-level debt of $135 million. The purchase price for the acquisition was funded with cash on hand.</w:t>
      </w:r>
    </w:p>
    <w:p>
      <w:pPr>
        <w:spacing w:after="0" w:line="174" w:lineRule="exact"/>
        <w:rPr>
          <w:sz w:val="20"/>
          <w:szCs w:val="20"/>
          <w:color w:val="auto"/>
        </w:rPr>
      </w:pPr>
    </w:p>
    <w:p>
      <w:pPr>
        <w:ind w:left="240" w:right="480" w:firstLine="351"/>
        <w:spacing w:after="0" w:line="332" w:lineRule="auto"/>
        <w:rPr>
          <w:sz w:val="20"/>
          <w:szCs w:val="20"/>
          <w:color w:val="auto"/>
        </w:rPr>
      </w:pPr>
      <w:r>
        <w:rPr>
          <w:rFonts w:ascii="Arial" w:cs="Arial" w:eastAsia="Arial" w:hAnsi="Arial"/>
          <w:sz w:val="16"/>
          <w:szCs w:val="16"/>
          <w:color w:val="auto"/>
        </w:rPr>
        <w:t>On May 1, 2017, NRG offered us the remaining 25% interest in NRG Wind TE Holdco, an 814 net MW portfolio of twelve wind projects. We currently own a 75% interest in the portfolio which we acquired in 2015. The acquisition is subject to approval by Yield Inc.'s independent directors.</w:t>
      </w:r>
    </w:p>
    <w:p>
      <w:pPr>
        <w:spacing w:after="0" w:line="139" w:lineRule="exact"/>
        <w:rPr>
          <w:sz w:val="20"/>
          <w:szCs w:val="20"/>
          <w:color w:val="auto"/>
        </w:rPr>
      </w:pPr>
    </w:p>
    <w:p>
      <w:pPr>
        <w:ind w:left="240" w:right="200" w:firstLine="351"/>
        <w:spacing w:after="0" w:line="255" w:lineRule="auto"/>
        <w:rPr>
          <w:sz w:val="20"/>
          <w:szCs w:val="20"/>
          <w:color w:val="auto"/>
        </w:rPr>
      </w:pPr>
      <w:r>
        <w:rPr>
          <w:rFonts w:ascii="Arial" w:cs="Arial" w:eastAsia="Arial" w:hAnsi="Arial"/>
          <w:sz w:val="18"/>
          <w:szCs w:val="18"/>
          <w:b w:val="1"/>
          <w:bCs w:val="1"/>
          <w:i w:val="1"/>
          <w:iCs w:val="1"/>
          <w:color w:val="auto"/>
        </w:rPr>
        <w:t xml:space="preserve">Primary focus on North America. </w:t>
      </w:r>
      <w:r>
        <w:rPr>
          <w:rFonts w:ascii="Arial" w:cs="Arial" w:eastAsia="Arial" w:hAnsi="Arial"/>
          <w:sz w:val="18"/>
          <w:szCs w:val="18"/>
          <w:color w:val="auto"/>
        </w:rPr>
        <w:t>We intend to primarily focus our investments in North America (including the unincorporated territories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We believe that industry fundamentals in North America present it with significant opportunity to acquire renewable, natural gas-fired generation and thermal infrastructure assets, without creating significant exposure to currency and sovereign risk. By primarily focusing our efforts on North America, we believe we will best leverage our regional knowledge of power markets, industry relationships and skill sets to maximize our performance.</w:t>
      </w:r>
    </w:p>
    <w:p>
      <w:pPr>
        <w:spacing w:after="0" w:line="200" w:lineRule="exact"/>
        <w:rPr>
          <w:sz w:val="20"/>
          <w:szCs w:val="20"/>
          <w:color w:val="auto"/>
        </w:rPr>
      </w:pP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Competitive Strengths</w:t>
      </w:r>
    </w:p>
    <w:p>
      <w:pPr>
        <w:spacing w:after="0" w:line="231" w:lineRule="exact"/>
        <w:rPr>
          <w:sz w:val="20"/>
          <w:szCs w:val="20"/>
          <w:color w:val="auto"/>
        </w:rPr>
      </w:pPr>
    </w:p>
    <w:p>
      <w:pPr>
        <w:ind w:left="24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Stable, high quality cash flows. </w:t>
      </w:r>
      <w:r>
        <w:rPr>
          <w:rFonts w:ascii="Arial" w:cs="Arial" w:eastAsia="Arial" w:hAnsi="Arial"/>
          <w:sz w:val="16"/>
          <w:szCs w:val="16"/>
          <w:color w:val="auto"/>
        </w:rPr>
        <w:t>Our facilities have a highly stable, predictable cash flow profile consisting of predominantly long-life electric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assets that sell electricity under long-term fixed priced contracts or pursuant to regulated rates with investment grade and certain other credit-worthy counterparties. Additionally, our facilities have minimal fuel risk. For our conventional assets, fuel is provided by the toll counterparty or the cost thereof is a pass-through cost under the applicable Contract—for—Difference ("CfD"). Renewable facilities have no fuel costs, and most of our thermal infrastructure assets have contractual or regulatory tariff mechanisms for fuel cost recovery. The offtake agreements for our conventional and renewable generation facilities have a weighted-average remaining duration of approximately 16 years as of March 31, 2017, based on CAFD, providing long-term cash flow stability. Our generation offtake agreements with counterparties for whom credit ratings are available have a weighted-average Moody's rating of A3 based on rated capacity under contract. All of our assets are in the United States and accordingly have no currency or repatriation risks.</w:t>
      </w:r>
    </w:p>
    <w:p>
      <w:pPr>
        <w:spacing w:after="0" w:line="172" w:lineRule="exact"/>
        <w:rPr>
          <w:sz w:val="20"/>
          <w:szCs w:val="20"/>
          <w:color w:val="auto"/>
        </w:rPr>
      </w:pPr>
    </w:p>
    <w:p>
      <w:pPr>
        <w:ind w:left="240" w:right="200" w:firstLine="351"/>
        <w:spacing w:after="0" w:line="290" w:lineRule="auto"/>
        <w:rPr>
          <w:sz w:val="20"/>
          <w:szCs w:val="20"/>
          <w:color w:val="auto"/>
        </w:rPr>
      </w:pPr>
      <w:r>
        <w:rPr>
          <w:rFonts w:ascii="Arial" w:cs="Arial" w:eastAsia="Arial" w:hAnsi="Arial"/>
          <w:sz w:val="16"/>
          <w:szCs w:val="16"/>
          <w:b w:val="1"/>
          <w:bCs w:val="1"/>
          <w:i w:val="1"/>
          <w:iCs w:val="1"/>
          <w:color w:val="auto"/>
        </w:rPr>
        <w:t xml:space="preserve">High quality, long-lived assets with low operating and capital requirements. </w:t>
      </w:r>
      <w:r>
        <w:rPr>
          <w:rFonts w:ascii="Arial" w:cs="Arial" w:eastAsia="Arial" w:hAnsi="Arial"/>
          <w:sz w:val="16"/>
          <w:szCs w:val="16"/>
          <w:color w:val="auto"/>
        </w:rPr>
        <w:t>We benefit from a portfolio of relatively newly-constructed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than thermal infrastructure assets. Our assets are comprised of proven and reliable technologies, provided by leading original solar and wind equipment manufacturers such as General Electric, Siemens AG, SunPower Corporation, First Solar Inc., Vestas Wind Systems A/S, Suzlon Energy Ltd. and Mitsubishi Corporation. Given the modern nature of the portfolio, which includes a substantial number of relatively low operating and maintenance cost solar and wind generation assets, we expect to achieve high fleet availability and expend modest maintenance-related capital expenditures. Additionally, with the support of services provided by NRG, we expect to continue to implement the same rigorous preventative operating and management practices that NRG uses across its fleet of assets.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827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5827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Significant scale and diversity. </w:t>
      </w:r>
      <w:r>
        <w:rPr>
          <w:rFonts w:ascii="Arial" w:cs="Arial" w:eastAsia="Arial" w:hAnsi="Arial"/>
          <w:sz w:val="16"/>
          <w:szCs w:val="16"/>
          <w:color w:val="auto"/>
        </w:rPr>
        <w:t>We own and operate a large and diverse portfolio of contracted electric generation and thermal infrastructure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March 31, 2017, our 4,879 net MW contracted generation portfolio benefits from significant diversification in terms of technology, fuel type, counterparty and geography. Our thermal business consists of 12 operations, seven of which are district energy centers that provide steam and chilled water to approximately 705 customers, and five of which provide generation. We believe our scale and access to best practices across the fleet improves our business development opportunities through enhanced industry relationships, reputation and understanding of regional power market dynamics. Furthermore, our diversification reduces our operating risk profile and reliance on any single market.</w:t>
      </w:r>
    </w:p>
    <w:p>
      <w:pPr>
        <w:spacing w:after="0" w:line="174" w:lineRule="exact"/>
        <w:rPr>
          <w:sz w:val="20"/>
          <w:szCs w:val="20"/>
          <w:color w:val="auto"/>
        </w:rPr>
      </w:pPr>
    </w:p>
    <w:p>
      <w:pPr>
        <w:ind w:left="240" w:right="5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Relationship with NRG. </w:t>
      </w:r>
      <w:r>
        <w:rPr>
          <w:rFonts w:ascii="Arial" w:cs="Arial" w:eastAsia="Arial" w:hAnsi="Arial"/>
          <w:sz w:val="18"/>
          <w:szCs w:val="18"/>
          <w:color w:val="auto"/>
        </w:rPr>
        <w:t>We believe our relationship with NRG, including NRG's expressed intention to maintain a controlling interest in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significant benefits to us, including:</w:t>
      </w:r>
    </w:p>
    <w:p>
      <w:pPr>
        <w:spacing w:after="0" w:line="213" w:lineRule="exact"/>
        <w:rPr>
          <w:sz w:val="20"/>
          <w:szCs w:val="20"/>
          <w:color w:val="auto"/>
        </w:rPr>
      </w:pPr>
    </w:p>
    <w:p>
      <w:pPr>
        <w:ind w:left="1320" w:right="180" w:hanging="538"/>
        <w:spacing w:after="0" w:line="332"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Management and Operational Expertise. </w:t>
      </w:r>
      <w:r>
        <w:rPr>
          <w:rFonts w:ascii="Arial" w:cs="Arial" w:eastAsia="Arial" w:hAnsi="Arial"/>
          <w:sz w:val="16"/>
          <w:szCs w:val="16"/>
          <w:color w:val="auto"/>
        </w:rPr>
        <w:t>We have access to the significant resources of NRG, the largest competitive power generator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to support the operational, financial, legal, regulatory and environmental functions of our business.</w:t>
      </w:r>
    </w:p>
    <w:p>
      <w:pPr>
        <w:spacing w:after="0" w:line="152" w:lineRule="exact"/>
        <w:rPr>
          <w:rFonts w:ascii="Arial" w:cs="Arial" w:eastAsia="Arial" w:hAnsi="Arial"/>
          <w:sz w:val="16"/>
          <w:szCs w:val="16"/>
          <w:color w:val="auto"/>
        </w:rPr>
      </w:pPr>
    </w:p>
    <w:p>
      <w:pPr>
        <w:ind w:left="1320" w:hanging="538"/>
        <w:spacing w:after="0" w:line="294"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Development and Acquisition Track Record. </w:t>
      </w:r>
      <w:r>
        <w:rPr>
          <w:rFonts w:ascii="Arial" w:cs="Arial" w:eastAsia="Arial" w:hAnsi="Arial"/>
          <w:sz w:val="16"/>
          <w:szCs w:val="16"/>
          <w:color w:val="auto"/>
        </w:rPr>
        <w:t>NRG's development and strategic teams are focused on the development and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renewable and conventional generation assets, which may provide future growth opportunities for us in addition to the assets set forth in the ROFO Agreement. We believe NRG's ownership position in us incentivizes NRG to support our growth strategy, including through the development of renewable and conventional generation projects. During 2016, NRG acquired 1,639 MWs of utility scale solar and wind projects and 107 MWs of distributed generation and community solar projects that are currently under development or in operation.</w:t>
      </w:r>
    </w:p>
    <w:p>
      <w:pPr>
        <w:spacing w:after="0" w:line="183" w:lineRule="exact"/>
        <w:rPr>
          <w:rFonts w:ascii="Arial" w:cs="Arial" w:eastAsia="Arial" w:hAnsi="Arial"/>
          <w:sz w:val="16"/>
          <w:szCs w:val="16"/>
          <w:color w:val="auto"/>
        </w:rPr>
      </w:pPr>
    </w:p>
    <w:p>
      <w:pPr>
        <w:jc w:val="both"/>
        <w:ind w:left="132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Financing Expertise. </w:t>
      </w:r>
      <w:r>
        <w:rPr>
          <w:rFonts w:ascii="Arial" w:cs="Arial" w:eastAsia="Arial" w:hAnsi="Arial"/>
          <w:sz w:val="18"/>
          <w:szCs w:val="18"/>
          <w:color w:val="auto"/>
        </w:rPr>
        <w:t>With the support of NRG, we have been able to achieve a successful track record of sourcing attractive low-cost, long</w:t>
      </w:r>
      <w:r>
        <w:rPr>
          <w:rFonts w:ascii="Arial" w:cs="Arial" w:eastAsia="Arial" w:hAnsi="Arial"/>
          <w:sz w:val="18"/>
          <w:szCs w:val="18"/>
          <w:i w:val="1"/>
          <w:iCs w:val="1"/>
          <w:color w:val="auto"/>
        </w:rPr>
        <w:t xml:space="preserve"> </w:t>
      </w:r>
      <w:r>
        <w:rPr>
          <w:rFonts w:ascii="Arial" w:cs="Arial" w:eastAsia="Arial" w:hAnsi="Arial"/>
          <w:sz w:val="18"/>
          <w:szCs w:val="18"/>
          <w:color w:val="auto"/>
        </w:rPr>
        <w:t>duration capital to fund acquisitions. We expect to continue to realize benefits from NRG's financing and structuring expertise as well as its relationships with financial institutions and other lenders.</w:t>
      </w:r>
    </w:p>
    <w:p>
      <w:pPr>
        <w:spacing w:after="0" w:line="194" w:lineRule="exact"/>
        <w:rPr>
          <w:sz w:val="20"/>
          <w:szCs w:val="20"/>
          <w:color w:val="auto"/>
        </w:rPr>
      </w:pPr>
    </w:p>
    <w:p>
      <w:pPr>
        <w:ind w:left="240" w:right="80" w:firstLine="351"/>
        <w:spacing w:after="0" w:line="290" w:lineRule="auto"/>
        <w:rPr>
          <w:sz w:val="20"/>
          <w:szCs w:val="20"/>
          <w:color w:val="auto"/>
        </w:rPr>
      </w:pPr>
      <w:r>
        <w:rPr>
          <w:rFonts w:ascii="Arial" w:cs="Arial" w:eastAsia="Arial" w:hAnsi="Arial"/>
          <w:sz w:val="16"/>
          <w:szCs w:val="16"/>
          <w:b w:val="1"/>
          <w:bCs w:val="1"/>
          <w:i w:val="1"/>
          <w:iCs w:val="1"/>
          <w:color w:val="auto"/>
        </w:rPr>
        <w:t xml:space="preserve">Environmentally well-positioned portfolio of assets. </w:t>
      </w:r>
      <w:r>
        <w:rPr>
          <w:rFonts w:ascii="Arial" w:cs="Arial" w:eastAsia="Arial" w:hAnsi="Arial"/>
          <w:sz w:val="16"/>
          <w:szCs w:val="16"/>
          <w:color w:val="auto"/>
        </w:rPr>
        <w:t>As of March 31, 2017, our portfolio of electric generation assets consists of 2,934 net MW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renewable generation capacity that are non-emitting sources of power generation. Our conventional assets consist of the dual fuel-fired GenConn assets as well as the Marsh Landing and Walnut Creek simple cycle natural gas-fired peaking generation facilities and the El Segundo combined cycle natural gas-fired peaking facility. We do not anticipate having to expend any significant capital expenditures in the foreseeable future to comply with current environmental regulations applicable to our generation assets. Taken as a whole, we believe our strategy will be a net beneficiary of current and potential environmental legislation and regulatory requirements that may serve as a catalyst for capacity retirements and improve market opportunities for environmentally well-positioned assets like our assets once such assets' current offtake agreements expire.</w:t>
      </w:r>
    </w:p>
    <w:p>
      <w:pPr>
        <w:spacing w:after="0" w:line="172" w:lineRule="exact"/>
        <w:rPr>
          <w:sz w:val="20"/>
          <w:szCs w:val="20"/>
          <w:color w:val="auto"/>
        </w:rPr>
      </w:pPr>
    </w:p>
    <w:p>
      <w:pPr>
        <w:ind w:left="2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Thermal infrastructure business has high entry costs. </w:t>
      </w:r>
      <w:r>
        <w:rPr>
          <w:rFonts w:ascii="Arial" w:cs="Arial" w:eastAsia="Arial" w:hAnsi="Arial"/>
          <w:sz w:val="16"/>
          <w:szCs w:val="16"/>
          <w:color w:val="auto"/>
        </w:rPr>
        <w:t>Significant capital has been invested to construct our thermal infrastructure assets, serving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barrier to entry in the markets in which such assets operate. As of March 31, 2017, our thermal gross property, plant, and equipment was approximately $472 million. Our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we believe it has the ability to retain customers over long periods of time and to compete effectively for additional business against stand-alone on-site heating and cooling generation facilities. Installation of stand-alone equipment can require significant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76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776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332" w:lineRule="auto"/>
        <w:rPr>
          <w:sz w:val="20"/>
          <w:szCs w:val="20"/>
          <w:color w:val="auto"/>
        </w:rPr>
      </w:pPr>
      <w:r>
        <w:rPr>
          <w:rFonts w:ascii="Arial" w:cs="Arial" w:eastAsia="Arial" w:hAnsi="Arial"/>
          <w:sz w:val="16"/>
          <w:szCs w:val="16"/>
          <w:color w:val="auto"/>
        </w:rPr>
        <w:t>modification to a building as well as significant space for equipment and funding for capital expenditures. Our system technologies often provide economies of scale in terms of fuel procurement, ability to switch between multiple types of fuel to generate thermal energy, and fuel conversion efficiency.</w:t>
      </w: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Organizational Structure</w:t>
      </w:r>
    </w:p>
    <w:p>
      <w:pPr>
        <w:spacing w:after="0" w:line="231" w:lineRule="exact"/>
        <w:rPr>
          <w:sz w:val="20"/>
          <w:szCs w:val="20"/>
          <w:color w:val="auto"/>
        </w:rPr>
      </w:pPr>
    </w:p>
    <w:p>
      <w:pPr>
        <w:ind w:left="240" w:right="20" w:firstLine="342"/>
        <w:spacing w:after="0" w:line="268" w:lineRule="auto"/>
        <w:rPr>
          <w:sz w:val="20"/>
          <w:szCs w:val="20"/>
          <w:color w:val="auto"/>
        </w:rPr>
      </w:pPr>
      <w:r>
        <w:rPr>
          <w:rFonts w:ascii="Arial" w:cs="Arial" w:eastAsia="Arial" w:hAnsi="Arial"/>
          <w:sz w:val="18"/>
          <w:szCs w:val="18"/>
          <w:color w:val="auto"/>
        </w:rPr>
        <w:t>As of March 31, 2017, Yield Inc. owned an aggregate 53.4% economic interest in Yield LLC. The following table summarizes certain relevant aspects of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of Risk Factors</w:t>
      </w:r>
    </w:p>
    <w:p>
      <w:pPr>
        <w:spacing w:after="0" w:line="231" w:lineRule="exact"/>
        <w:rPr>
          <w:sz w:val="20"/>
          <w:szCs w:val="20"/>
          <w:color w:val="auto"/>
        </w:rPr>
      </w:pPr>
    </w:p>
    <w:p>
      <w:pPr>
        <w:ind w:left="240" w:right="120" w:firstLine="348"/>
        <w:spacing w:after="0" w:line="291" w:lineRule="auto"/>
        <w:rPr>
          <w:sz w:val="20"/>
          <w:szCs w:val="20"/>
          <w:color w:val="auto"/>
        </w:rPr>
      </w:pPr>
      <w:r>
        <w:rPr>
          <w:rFonts w:ascii="Arial" w:cs="Arial" w:eastAsia="Arial" w:hAnsi="Arial"/>
          <w:sz w:val="16"/>
          <w:szCs w:val="16"/>
          <w:color w:val="auto"/>
        </w:rPr>
        <w:t>We and our peer group, along with the broader energy sector, have recently experienced volatile conditions in the capital markets, including debt and equity markets, due to continued depressed commodity markets. Additionally, we are subject to a variety of risks related to our competitive position and business strategies. Some of the more significant challenges and risks include if we are unable to to address costs or delays in the construction and operation of new plants, if we are unable to address the volatility in power prices and fuel costs, if we are unable to utilize our leveraged capital structure and if governmental regulation is revised in a such a manner that is less favorable to us. See "Risk Factors" contained elsewhere in this prospectus, the "Risk Factors Related to the Company's Business" section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225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225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of our 2016 Form 10-K for a discussion of the factors you should consider before deciding to participate in this exchange offer.</w:t>
      </w: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firstLine="351"/>
        <w:spacing w:after="0" w:line="290" w:lineRule="auto"/>
        <w:rPr>
          <w:sz w:val="20"/>
          <w:szCs w:val="20"/>
          <w:color w:val="auto"/>
        </w:rPr>
      </w:pPr>
      <w:r>
        <w:rPr>
          <w:rFonts w:ascii="Arial" w:cs="Arial" w:eastAsia="Arial" w:hAnsi="Arial"/>
          <w:sz w:val="16"/>
          <w:szCs w:val="16"/>
          <w:color w:val="auto"/>
        </w:rPr>
        <w:t xml:space="preserve">Both Yield LLC and Yield Operating LLC were formed as Delaware limited liability companies on March 5, 2013. Our principal executive offices are located at NRG Yield Operating LLC, 804 Carnegie Center, Princeton, New Jersey. Our telephone number is (609) 524-4500. Our website is located at </w:t>
      </w:r>
      <w:r>
        <w:rPr>
          <w:rFonts w:ascii="Arial" w:cs="Arial" w:eastAsia="Arial" w:hAnsi="Arial"/>
          <w:sz w:val="16"/>
          <w:szCs w:val="16"/>
          <w:i w:val="1"/>
          <w:iCs w:val="1"/>
          <w:color w:val="auto"/>
        </w:rPr>
        <w:t>http://www.nrgyield.com</w:t>
      </w:r>
      <w:r>
        <w:rPr>
          <w:rFonts w:ascii="Arial" w:cs="Arial" w:eastAsia="Arial" w:hAnsi="Arial"/>
          <w:sz w:val="16"/>
          <w:szCs w:val="16"/>
          <w:color w:val="auto"/>
        </w:rPr>
        <w:t>. Yield Operating LLC is not currently required to file or furnish periodic reports and other information with the SEC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 13(a) or 15(d) of the Securities Exchange Act of 1934, as amended (the "Exchange Act"). See "Incorporation by Reference." Yield LLC files periodic reports and other information with the SEC pursuant to Section 15(d) of the Exchange Act. Information on our website or any other website is not incorporated by reference into this prospectus and does not constitute a part of this prospectus. The SEC maintains an internet 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3417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34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OF THE EXCHANGE OFFER</w:t>
      </w:r>
    </w:p>
    <w:p>
      <w:pPr>
        <w:spacing w:after="0" w:line="231" w:lineRule="exact"/>
        <w:rPr>
          <w:sz w:val="20"/>
          <w:szCs w:val="20"/>
          <w:color w:val="auto"/>
        </w:rPr>
      </w:pPr>
    </w:p>
    <w:p>
      <w:pPr>
        <w:ind w:left="240" w:right="700" w:firstLine="351"/>
        <w:spacing w:after="0" w:line="370" w:lineRule="auto"/>
        <w:rPr>
          <w:sz w:val="20"/>
          <w:szCs w:val="20"/>
          <w:color w:val="auto"/>
        </w:rPr>
      </w:pPr>
      <w:r>
        <w:rPr>
          <w:rFonts w:ascii="Arial" w:cs="Arial" w:eastAsia="Arial" w:hAnsi="Arial"/>
          <w:sz w:val="15"/>
          <w:szCs w:val="15"/>
          <w:color w:val="auto"/>
        </w:rPr>
        <w:t>On August 18, 2016, we sold, through a private placement exempt from the registration requirements of the Securities Act, $350,000,000 of our 5.000% Senior Notes due 2026, which are eligible to be exchanged for Exchange Notes. We refer to these notes as "Old Notes" in this prospectus.</w:t>
      </w:r>
    </w:p>
    <w:p>
      <w:pPr>
        <w:spacing w:after="0" w:line="116" w:lineRule="exact"/>
        <w:rPr>
          <w:sz w:val="20"/>
          <w:szCs w:val="20"/>
          <w:color w:val="auto"/>
        </w:rPr>
      </w:pPr>
    </w:p>
    <w:p>
      <w:pPr>
        <w:ind w:left="240" w:right="280" w:firstLine="351"/>
        <w:spacing w:after="0" w:line="291" w:lineRule="auto"/>
        <w:rPr>
          <w:sz w:val="20"/>
          <w:szCs w:val="20"/>
          <w:color w:val="auto"/>
        </w:rPr>
      </w:pPr>
      <w:r>
        <w:rPr>
          <w:rFonts w:ascii="Arial" w:cs="Arial" w:eastAsia="Arial" w:hAnsi="Arial"/>
          <w:sz w:val="16"/>
          <w:szCs w:val="16"/>
          <w:color w:val="auto"/>
        </w:rPr>
        <w:t>Simultaneously with the private placement, we entered into a registration rights agreement with the initial purchasers of the Old Notes (the "Registration Rights Agreement"). Under the Registration Rights Agreement, we are required to use commercially reasonable efforts to register Exchange Notes with the SEC having substantially identical terms as the Old Notes (except for the provisions relating to the transfer restrictions and payment of additional interest) as part of an offer to exchange freely tradable exchange notes for the notes, and use commercially reasonable efforts to consummate the exchange offer within 365 days after the issue date of the Old Notes. If required under certain circumstances, Yield Operating LLC and the guarantors will file a shelf registration statement with the SEC covering resales of the notes.</w:t>
      </w:r>
    </w:p>
    <w:p>
      <w:pPr>
        <w:spacing w:after="0" w:line="174" w:lineRule="exact"/>
        <w:rPr>
          <w:sz w:val="20"/>
          <w:szCs w:val="20"/>
          <w:color w:val="auto"/>
        </w:rPr>
      </w:pPr>
    </w:p>
    <w:p>
      <w:pPr>
        <w:ind w:left="240" w:right="500" w:firstLine="348"/>
        <w:spacing w:after="0" w:line="256" w:lineRule="auto"/>
        <w:rPr>
          <w:sz w:val="20"/>
          <w:szCs w:val="20"/>
          <w:color w:val="auto"/>
        </w:rPr>
      </w:pPr>
      <w:r>
        <w:rPr>
          <w:rFonts w:ascii="Arial" w:cs="Arial" w:eastAsia="Arial" w:hAnsi="Arial"/>
          <w:sz w:val="18"/>
          <w:szCs w:val="18"/>
          <w:color w:val="auto"/>
        </w:rPr>
        <w:t>We refer to the notes to be registered under this exchange offer registration statement as "Exchange Notes" and collectively with the Old Notes, we refer to them as the "notes" in this prospectus. You may exchange your Old Notes for the applicable Exchange Notes in this exchange offer. You should read the discussion under the headings "—Summary of Terms of Exchange Notes," "Exchange Offer" and "Description of the Notes" for further information regarding the Exchange Notes.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0" w:type="dxa"/>
            <w:vAlign w:val="bottom"/>
          </w:tcPr>
          <w:p>
            <w:pPr>
              <w:ind w:left="240"/>
              <w:spacing w:after="0"/>
              <w:rPr>
                <w:sz w:val="20"/>
                <w:szCs w:val="20"/>
                <w:color w:val="auto"/>
              </w:rPr>
            </w:pPr>
            <w:r>
              <w:rPr>
                <w:rFonts w:ascii="Arial" w:cs="Arial" w:eastAsia="Arial" w:hAnsi="Arial"/>
                <w:sz w:val="18"/>
                <w:szCs w:val="18"/>
                <w:b w:val="1"/>
                <w:bCs w:val="1"/>
                <w:color w:val="auto"/>
              </w:rPr>
              <w:t>Exchange Notes offered</w:t>
            </w:r>
          </w:p>
        </w:tc>
        <w:tc>
          <w:tcPr>
            <w:tcW w:w="7020" w:type="dxa"/>
            <w:vAlign w:val="bottom"/>
          </w:tcPr>
          <w:p>
            <w:pPr>
              <w:ind w:left="1540"/>
              <w:spacing w:after="0"/>
              <w:rPr>
                <w:sz w:val="20"/>
                <w:szCs w:val="20"/>
                <w:color w:val="auto"/>
              </w:rPr>
            </w:pPr>
            <w:r>
              <w:rPr>
                <w:rFonts w:ascii="Arial" w:cs="Arial" w:eastAsia="Arial" w:hAnsi="Arial"/>
                <w:sz w:val="18"/>
                <w:szCs w:val="18"/>
                <w:color w:val="auto"/>
                <w:w w:val="96"/>
              </w:rPr>
              <w:t>$350,000,000 aggregate principal amount of 5.000% Senior Notes due</w:t>
            </w:r>
          </w:p>
        </w:tc>
      </w:tr>
      <w:tr>
        <w:trPr>
          <w:trHeight w:val="222"/>
        </w:trPr>
        <w:tc>
          <w:tcPr>
            <w:tcW w:w="4400" w:type="dxa"/>
            <w:vAlign w:val="bottom"/>
          </w:tcPr>
          <w:p>
            <w:pPr>
              <w:spacing w:after="0"/>
              <w:rPr>
                <w:sz w:val="19"/>
                <w:szCs w:val="19"/>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rPr>
              <w:t>2026.</w:t>
            </w:r>
          </w:p>
        </w:tc>
      </w:tr>
      <w:tr>
        <w:trPr>
          <w:trHeight w:val="426"/>
        </w:trPr>
        <w:tc>
          <w:tcPr>
            <w:tcW w:w="4400" w:type="dxa"/>
            <w:vAlign w:val="bottom"/>
          </w:tcPr>
          <w:p>
            <w:pPr>
              <w:ind w:left="240"/>
              <w:spacing w:after="0"/>
              <w:rPr>
                <w:sz w:val="20"/>
                <w:szCs w:val="20"/>
                <w:color w:val="auto"/>
              </w:rPr>
            </w:pPr>
            <w:r>
              <w:rPr>
                <w:rFonts w:ascii="Arial" w:cs="Arial" w:eastAsia="Arial" w:hAnsi="Arial"/>
                <w:sz w:val="18"/>
                <w:szCs w:val="18"/>
                <w:b w:val="1"/>
                <w:bCs w:val="1"/>
                <w:color w:val="auto"/>
              </w:rPr>
              <w:t>Exchange offer</w:t>
            </w:r>
          </w:p>
        </w:tc>
        <w:tc>
          <w:tcPr>
            <w:tcW w:w="7020" w:type="dxa"/>
            <w:vAlign w:val="bottom"/>
          </w:tcPr>
          <w:p>
            <w:pPr>
              <w:ind w:left="1540"/>
              <w:spacing w:after="0"/>
              <w:rPr>
                <w:sz w:val="20"/>
                <w:szCs w:val="20"/>
                <w:color w:val="auto"/>
              </w:rPr>
            </w:pPr>
            <w:r>
              <w:rPr>
                <w:rFonts w:ascii="Arial" w:cs="Arial" w:eastAsia="Arial" w:hAnsi="Arial"/>
                <w:sz w:val="18"/>
                <w:szCs w:val="18"/>
                <w:color w:val="auto"/>
                <w:w w:val="95"/>
              </w:rPr>
              <w:t>We are offering to exchange the Old Notes for a like principal amount at</w:t>
            </w:r>
          </w:p>
        </w:tc>
      </w:tr>
      <w:tr>
        <w:trPr>
          <w:trHeight w:val="216"/>
        </w:trPr>
        <w:tc>
          <w:tcPr>
            <w:tcW w:w="4400" w:type="dxa"/>
            <w:vAlign w:val="bottom"/>
          </w:tcPr>
          <w:p>
            <w:pPr>
              <w:spacing w:after="0"/>
              <w:rPr>
                <w:sz w:val="18"/>
                <w:szCs w:val="18"/>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w w:val="98"/>
              </w:rPr>
              <w:t>maturity of the Exchange Notes. Old Notes may be exchanged only in</w:t>
            </w:r>
          </w:p>
        </w:tc>
      </w:tr>
      <w:tr>
        <w:trPr>
          <w:trHeight w:val="216"/>
        </w:trPr>
        <w:tc>
          <w:tcPr>
            <w:tcW w:w="4400" w:type="dxa"/>
            <w:vAlign w:val="bottom"/>
          </w:tcPr>
          <w:p>
            <w:pPr>
              <w:spacing w:after="0"/>
              <w:rPr>
                <w:sz w:val="18"/>
                <w:szCs w:val="18"/>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w w:val="95"/>
              </w:rPr>
              <w:t>minimum principal amounts of $2,000 and integral multiples of $1,000 in</w:t>
            </w:r>
          </w:p>
        </w:tc>
      </w:tr>
      <w:tr>
        <w:trPr>
          <w:trHeight w:val="216"/>
        </w:trPr>
        <w:tc>
          <w:tcPr>
            <w:tcW w:w="4400" w:type="dxa"/>
            <w:vAlign w:val="bottom"/>
          </w:tcPr>
          <w:p>
            <w:pPr>
              <w:spacing w:after="0"/>
              <w:rPr>
                <w:sz w:val="18"/>
                <w:szCs w:val="18"/>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rPr>
              <w:t>excess thereof. The exchange offer is being made pursuant to the</w:t>
            </w:r>
          </w:p>
        </w:tc>
      </w:tr>
      <w:tr>
        <w:trPr>
          <w:trHeight w:val="216"/>
        </w:trPr>
        <w:tc>
          <w:tcPr>
            <w:tcW w:w="4400" w:type="dxa"/>
            <w:vAlign w:val="bottom"/>
          </w:tcPr>
          <w:p>
            <w:pPr>
              <w:spacing w:after="0"/>
              <w:rPr>
                <w:sz w:val="18"/>
                <w:szCs w:val="18"/>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w w:val="92"/>
              </w:rPr>
              <w:t>Registration Rights Agreement which grants the initial purchasers and any</w:t>
            </w:r>
          </w:p>
        </w:tc>
      </w:tr>
      <w:tr>
        <w:trPr>
          <w:trHeight w:val="216"/>
        </w:trPr>
        <w:tc>
          <w:tcPr>
            <w:tcW w:w="4400" w:type="dxa"/>
            <w:vAlign w:val="bottom"/>
          </w:tcPr>
          <w:p>
            <w:pPr>
              <w:spacing w:after="0"/>
              <w:rPr>
                <w:sz w:val="18"/>
                <w:szCs w:val="18"/>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w w:val="96"/>
              </w:rPr>
              <w:t>subsequent holders of the Old Notes certain exchange and registration</w:t>
            </w:r>
          </w:p>
        </w:tc>
      </w:tr>
      <w:tr>
        <w:trPr>
          <w:trHeight w:val="216"/>
        </w:trPr>
        <w:tc>
          <w:tcPr>
            <w:tcW w:w="4400" w:type="dxa"/>
            <w:vAlign w:val="bottom"/>
          </w:tcPr>
          <w:p>
            <w:pPr>
              <w:spacing w:after="0"/>
              <w:rPr>
                <w:sz w:val="18"/>
                <w:szCs w:val="18"/>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w w:val="99"/>
              </w:rPr>
              <w:t>rights. This exchange offer is intended to satisfy those exchange and</w:t>
            </w:r>
          </w:p>
        </w:tc>
      </w:tr>
      <w:tr>
        <w:trPr>
          <w:trHeight w:val="216"/>
        </w:trPr>
        <w:tc>
          <w:tcPr>
            <w:tcW w:w="4400" w:type="dxa"/>
            <w:vAlign w:val="bottom"/>
          </w:tcPr>
          <w:p>
            <w:pPr>
              <w:spacing w:after="0"/>
              <w:rPr>
                <w:sz w:val="18"/>
                <w:szCs w:val="18"/>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w w:val="94"/>
              </w:rPr>
              <w:t>registration rights with respect to the Old Notes. After the exchange offer</w:t>
            </w:r>
          </w:p>
        </w:tc>
      </w:tr>
      <w:tr>
        <w:trPr>
          <w:trHeight w:val="216"/>
        </w:trPr>
        <w:tc>
          <w:tcPr>
            <w:tcW w:w="4400" w:type="dxa"/>
            <w:vAlign w:val="bottom"/>
          </w:tcPr>
          <w:p>
            <w:pPr>
              <w:spacing w:after="0"/>
              <w:rPr>
                <w:sz w:val="18"/>
                <w:szCs w:val="18"/>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w w:val="94"/>
              </w:rPr>
              <w:t>is complete, you will no longer be entitled to any exchange or registration</w:t>
            </w:r>
          </w:p>
        </w:tc>
      </w:tr>
      <w:tr>
        <w:trPr>
          <w:trHeight w:val="222"/>
        </w:trPr>
        <w:tc>
          <w:tcPr>
            <w:tcW w:w="4400" w:type="dxa"/>
            <w:vAlign w:val="bottom"/>
          </w:tcPr>
          <w:p>
            <w:pPr>
              <w:spacing w:after="0"/>
              <w:rPr>
                <w:sz w:val="19"/>
                <w:szCs w:val="19"/>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rPr>
              <w:t>rights with respect to your Old Notes.</w:t>
            </w:r>
          </w:p>
        </w:tc>
      </w:tr>
      <w:tr>
        <w:trPr>
          <w:trHeight w:val="426"/>
        </w:trPr>
        <w:tc>
          <w:tcPr>
            <w:tcW w:w="4400" w:type="dxa"/>
            <w:vAlign w:val="bottom"/>
          </w:tcPr>
          <w:p>
            <w:pPr>
              <w:ind w:left="240"/>
              <w:spacing w:after="0"/>
              <w:rPr>
                <w:sz w:val="20"/>
                <w:szCs w:val="20"/>
                <w:color w:val="auto"/>
              </w:rPr>
            </w:pPr>
            <w:r>
              <w:rPr>
                <w:rFonts w:ascii="Arial" w:cs="Arial" w:eastAsia="Arial" w:hAnsi="Arial"/>
                <w:sz w:val="18"/>
                <w:szCs w:val="18"/>
                <w:b w:val="1"/>
                <w:bCs w:val="1"/>
                <w:color w:val="auto"/>
              </w:rPr>
              <w:t>Expiration date; Withdrawal of tender</w:t>
            </w:r>
          </w:p>
        </w:tc>
        <w:tc>
          <w:tcPr>
            <w:tcW w:w="7020" w:type="dxa"/>
            <w:vAlign w:val="bottom"/>
          </w:tcPr>
          <w:p>
            <w:pPr>
              <w:ind w:left="1540"/>
              <w:spacing w:after="0"/>
              <w:rPr>
                <w:sz w:val="20"/>
                <w:szCs w:val="20"/>
                <w:color w:val="auto"/>
              </w:rPr>
            </w:pPr>
            <w:r>
              <w:rPr>
                <w:rFonts w:ascii="Arial" w:cs="Arial" w:eastAsia="Arial" w:hAnsi="Arial"/>
                <w:sz w:val="18"/>
                <w:szCs w:val="18"/>
                <w:color w:val="auto"/>
                <w:w w:val="94"/>
              </w:rPr>
              <w:t>The exchange offer will expire at 12:00 midnight, New York City time, on</w:t>
            </w:r>
          </w:p>
        </w:tc>
      </w:tr>
      <w:tr>
        <w:trPr>
          <w:trHeight w:val="216"/>
        </w:trPr>
        <w:tc>
          <w:tcPr>
            <w:tcW w:w="4400" w:type="dxa"/>
            <w:vAlign w:val="bottom"/>
          </w:tcPr>
          <w:p>
            <w:pPr>
              <w:spacing w:after="0"/>
              <w:rPr>
                <w:sz w:val="18"/>
                <w:szCs w:val="18"/>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w w:val="91"/>
              </w:rPr>
              <w:t>June 23, 2017, or a later time if we choose to extend this exchange offer in</w:t>
            </w:r>
          </w:p>
        </w:tc>
      </w:tr>
      <w:tr>
        <w:trPr>
          <w:trHeight w:val="216"/>
        </w:trPr>
        <w:tc>
          <w:tcPr>
            <w:tcW w:w="4400" w:type="dxa"/>
            <w:vAlign w:val="bottom"/>
          </w:tcPr>
          <w:p>
            <w:pPr>
              <w:spacing w:after="0"/>
              <w:rPr>
                <w:sz w:val="18"/>
                <w:szCs w:val="18"/>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w w:val="97"/>
              </w:rPr>
              <w:t>our sole and absolute discretion. You may withdraw your tender of Old</w:t>
            </w:r>
          </w:p>
        </w:tc>
      </w:tr>
      <w:tr>
        <w:trPr>
          <w:trHeight w:val="216"/>
        </w:trPr>
        <w:tc>
          <w:tcPr>
            <w:tcW w:w="4400" w:type="dxa"/>
            <w:vAlign w:val="bottom"/>
          </w:tcPr>
          <w:p>
            <w:pPr>
              <w:spacing w:after="0"/>
              <w:rPr>
                <w:sz w:val="18"/>
                <w:szCs w:val="18"/>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w w:val="99"/>
              </w:rPr>
              <w:t>Notes at any time prior to 12:00 midnight, New York City time, on the</w:t>
            </w:r>
          </w:p>
        </w:tc>
      </w:tr>
      <w:tr>
        <w:trPr>
          <w:trHeight w:val="216"/>
        </w:trPr>
        <w:tc>
          <w:tcPr>
            <w:tcW w:w="4400" w:type="dxa"/>
            <w:vAlign w:val="bottom"/>
          </w:tcPr>
          <w:p>
            <w:pPr>
              <w:spacing w:after="0"/>
              <w:rPr>
                <w:sz w:val="18"/>
                <w:szCs w:val="18"/>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w w:val="96"/>
              </w:rPr>
              <w:t>expiration date. All outstanding Old Notes that are validly tendered and</w:t>
            </w:r>
          </w:p>
        </w:tc>
      </w:tr>
      <w:tr>
        <w:trPr>
          <w:trHeight w:val="216"/>
        </w:trPr>
        <w:tc>
          <w:tcPr>
            <w:tcW w:w="4400" w:type="dxa"/>
            <w:vAlign w:val="bottom"/>
          </w:tcPr>
          <w:p>
            <w:pPr>
              <w:spacing w:after="0"/>
              <w:rPr>
                <w:sz w:val="18"/>
                <w:szCs w:val="18"/>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rPr>
              <w:t>not validly withdrawn will be exchanged. We will issue the Exchange</w:t>
            </w:r>
          </w:p>
        </w:tc>
      </w:tr>
      <w:tr>
        <w:trPr>
          <w:trHeight w:val="216"/>
        </w:trPr>
        <w:tc>
          <w:tcPr>
            <w:tcW w:w="4400" w:type="dxa"/>
            <w:vAlign w:val="bottom"/>
          </w:tcPr>
          <w:p>
            <w:pPr>
              <w:spacing w:after="0"/>
              <w:rPr>
                <w:sz w:val="18"/>
                <w:szCs w:val="18"/>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w w:val="94"/>
              </w:rPr>
              <w:t>Notes promptly after the expiration of the exchange offer. Any Old Notes</w:t>
            </w:r>
          </w:p>
        </w:tc>
      </w:tr>
      <w:tr>
        <w:trPr>
          <w:trHeight w:val="216"/>
        </w:trPr>
        <w:tc>
          <w:tcPr>
            <w:tcW w:w="4400" w:type="dxa"/>
            <w:vAlign w:val="bottom"/>
          </w:tcPr>
          <w:p>
            <w:pPr>
              <w:spacing w:after="0"/>
              <w:rPr>
                <w:sz w:val="18"/>
                <w:szCs w:val="18"/>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w w:val="93"/>
              </w:rPr>
              <w:t>not accepted by us for exchange for any reason will be returned to you at</w:t>
            </w:r>
          </w:p>
        </w:tc>
      </w:tr>
      <w:tr>
        <w:trPr>
          <w:trHeight w:val="216"/>
        </w:trPr>
        <w:tc>
          <w:tcPr>
            <w:tcW w:w="4400" w:type="dxa"/>
            <w:vAlign w:val="bottom"/>
          </w:tcPr>
          <w:p>
            <w:pPr>
              <w:spacing w:after="0"/>
              <w:rPr>
                <w:sz w:val="18"/>
                <w:szCs w:val="18"/>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w w:val="94"/>
              </w:rPr>
              <w:t>our expense promptly after the expiration or termination of the exchange</w:t>
            </w:r>
          </w:p>
        </w:tc>
      </w:tr>
      <w:tr>
        <w:trPr>
          <w:trHeight w:val="222"/>
        </w:trPr>
        <w:tc>
          <w:tcPr>
            <w:tcW w:w="4400" w:type="dxa"/>
            <w:vAlign w:val="bottom"/>
          </w:tcPr>
          <w:p>
            <w:pPr>
              <w:spacing w:after="0"/>
              <w:rPr>
                <w:sz w:val="19"/>
                <w:szCs w:val="19"/>
                <w:color w:val="auto"/>
              </w:rPr>
            </w:pPr>
          </w:p>
        </w:tc>
        <w:tc>
          <w:tcPr>
            <w:tcW w:w="7020" w:type="dxa"/>
            <w:vAlign w:val="bottom"/>
          </w:tcPr>
          <w:p>
            <w:pPr>
              <w:ind w:left="1540"/>
              <w:spacing w:after="0"/>
              <w:rPr>
                <w:sz w:val="20"/>
                <w:szCs w:val="20"/>
                <w:color w:val="auto"/>
              </w:rPr>
            </w:pPr>
            <w:r>
              <w:rPr>
                <w:rFonts w:ascii="Arial" w:cs="Arial" w:eastAsia="Arial" w:hAnsi="Arial"/>
                <w:sz w:val="18"/>
                <w:szCs w:val="18"/>
                <w:color w:val="auto"/>
              </w:rPr>
              <w:t>offer.</w:t>
            </w:r>
          </w:p>
        </w:tc>
      </w:tr>
      <w:tr>
        <w:trPr>
          <w:trHeight w:val="444"/>
        </w:trPr>
        <w:tc>
          <w:tcPr>
            <w:tcW w:w="440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r>
        <w:trPr>
          <w:trHeight w:val="427"/>
        </w:trPr>
        <w:tc>
          <w:tcPr>
            <w:tcW w:w="4400" w:type="dxa"/>
            <w:vAlign w:val="bottom"/>
          </w:tcPr>
          <w:p>
            <w:pPr>
              <w:spacing w:after="0"/>
              <w:rPr>
                <w:sz w:val="24"/>
                <w:szCs w:val="24"/>
                <w:color w:val="auto"/>
              </w:rPr>
            </w:pPr>
          </w:p>
        </w:tc>
        <w:tc>
          <w:tcPr>
            <w:tcW w:w="7020" w:type="dxa"/>
            <w:vAlign w:val="bottom"/>
          </w:tcPr>
          <w:p>
            <w:pPr>
              <w:ind w:left="1280"/>
              <w:spacing w:after="0"/>
              <w:rPr>
                <w:sz w:val="20"/>
                <w:szCs w:val="20"/>
                <w:color w:val="auto"/>
              </w:rPr>
            </w:pPr>
            <w:r>
              <w:rPr>
                <w:rFonts w:ascii="Arial" w:cs="Arial" w:eastAsia="Arial" w:hAnsi="Arial"/>
                <w:sz w:val="18"/>
                <w:szCs w:val="18"/>
                <w:color w:val="auto"/>
              </w:rPr>
              <w:t>7</w:t>
            </w:r>
          </w:p>
        </w:tc>
      </w:tr>
      <w:tr>
        <w:trPr>
          <w:trHeight w:val="228"/>
        </w:trPr>
        <w:tc>
          <w:tcPr>
            <w:tcW w:w="4400" w:type="dxa"/>
            <w:vAlign w:val="bottom"/>
            <w:tcBorders>
              <w:bottom w:val="single" w:sz="8" w:color="808080"/>
            </w:tcBorders>
          </w:tcPr>
          <w:p>
            <w:pPr>
              <w:spacing w:after="0"/>
              <w:rPr>
                <w:sz w:val="19"/>
                <w:szCs w:val="19"/>
                <w:color w:val="auto"/>
              </w:rPr>
            </w:pPr>
          </w:p>
        </w:tc>
        <w:tc>
          <w:tcPr>
            <w:tcW w:w="7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890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89038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40"/>
        <w:spacing w:after="0"/>
        <w:tabs>
          <w:tab w:leader="none" w:pos="5920" w:val="left"/>
        </w:tabs>
        <w:rPr>
          <w:sz w:val="20"/>
          <w:szCs w:val="20"/>
          <w:color w:val="auto"/>
        </w:rPr>
      </w:pPr>
      <w:r>
        <w:rPr>
          <w:rFonts w:ascii="Arial" w:cs="Arial" w:eastAsia="Arial" w:hAnsi="Arial"/>
          <w:sz w:val="16"/>
          <w:szCs w:val="16"/>
          <w:b w:val="1"/>
          <w:bCs w:val="1"/>
          <w:color w:val="auto"/>
        </w:rPr>
        <w:t>Resales</w:t>
      </w:r>
      <w:r>
        <w:rPr>
          <w:sz w:val="20"/>
          <w:szCs w:val="20"/>
          <w:color w:val="auto"/>
        </w:rPr>
        <w:tab/>
      </w:r>
      <w:r>
        <w:rPr>
          <w:rFonts w:ascii="Arial" w:cs="Arial" w:eastAsia="Arial" w:hAnsi="Arial"/>
          <w:sz w:val="16"/>
          <w:szCs w:val="16"/>
          <w:color w:val="auto"/>
        </w:rPr>
        <w:t>We believe that you can offer for resale, resell and otherwise transfer the</w:t>
      </w:r>
    </w:p>
    <w:p>
      <w:pPr>
        <w:spacing w:after="0" w:line="44"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Exchange Notes without complying with the registration and prospectus</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delivery requirements of the Securities Act so long as:</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  you acquire the Exchange Notes in the ordinary course of business;</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  you are not participating, do not intend to participate, and have no</w:t>
      </w:r>
    </w:p>
    <w:p>
      <w:pPr>
        <w:spacing w:after="0" w:line="38"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arrangement or understanding with any person to participate, in the</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distribution of the Exchange Notes;</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you are not an affiliate of ours; and</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you are not a broker-dealer.</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If any of these conditions is not satisfied and you transfer any Exchange</w:t>
      </w:r>
    </w:p>
    <w:p>
      <w:pPr>
        <w:spacing w:after="0" w:line="38"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Notes without delivering a proper prospectus or without qualifying for a</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registration exemption, you may incur liability under the Securities Act.</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We do not assume, or indemnify you against, any such liability.</w:t>
      </w:r>
    </w:p>
    <w:p>
      <w:pPr>
        <w:spacing w:after="0" w:line="213" w:lineRule="exact"/>
        <w:rPr>
          <w:sz w:val="20"/>
          <w:szCs w:val="20"/>
          <w:color w:val="auto"/>
        </w:rPr>
      </w:pPr>
    </w:p>
    <w:p>
      <w:pPr>
        <w:ind w:left="240"/>
        <w:spacing w:after="0"/>
        <w:tabs>
          <w:tab w:leader="none" w:pos="5920" w:val="left"/>
        </w:tabs>
        <w:rPr>
          <w:sz w:val="20"/>
          <w:szCs w:val="20"/>
          <w:color w:val="auto"/>
        </w:rPr>
      </w:pPr>
      <w:r>
        <w:rPr>
          <w:rFonts w:ascii="Arial" w:cs="Arial" w:eastAsia="Arial" w:hAnsi="Arial"/>
          <w:sz w:val="18"/>
          <w:szCs w:val="18"/>
          <w:b w:val="1"/>
          <w:bCs w:val="1"/>
          <w:color w:val="auto"/>
        </w:rPr>
        <w:t>Broker-Dealer</w:t>
      </w:r>
      <w:r>
        <w:rPr>
          <w:sz w:val="20"/>
          <w:szCs w:val="20"/>
          <w:color w:val="auto"/>
        </w:rPr>
        <w:tab/>
      </w:r>
      <w:r>
        <w:rPr>
          <w:rFonts w:ascii="Arial" w:cs="Arial" w:eastAsia="Arial" w:hAnsi="Arial"/>
          <w:sz w:val="15"/>
          <w:szCs w:val="15"/>
          <w:color w:val="auto"/>
        </w:rPr>
        <w:t>Each broker-dealer acquiring Exchange Notes issued for its own account</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in exchange for Old Notes, which it acquired through market-making</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activities or other trading activities, must acknowledge that it will deliver</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a proper prospectus when any Exchange Notes issued in the exchange</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offer are transferred. A broker-dealer may use this prospectus for an offer</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to resell, a resale or other retransfer of the Exchange Notes issued in the</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exchange offer. See "Plan of Distribution."</w:t>
      </w:r>
    </w:p>
    <w:p>
      <w:pPr>
        <w:spacing w:after="0" w:line="213" w:lineRule="exact"/>
        <w:rPr>
          <w:sz w:val="20"/>
          <w:szCs w:val="20"/>
          <w:color w:val="auto"/>
        </w:rPr>
      </w:pPr>
    </w:p>
    <w:p>
      <w:pPr>
        <w:ind w:left="240"/>
        <w:spacing w:after="0"/>
        <w:tabs>
          <w:tab w:leader="none" w:pos="5920" w:val="left"/>
        </w:tabs>
        <w:rPr>
          <w:sz w:val="20"/>
          <w:szCs w:val="20"/>
          <w:color w:val="auto"/>
        </w:rPr>
      </w:pPr>
      <w:r>
        <w:rPr>
          <w:rFonts w:ascii="Arial" w:cs="Arial" w:eastAsia="Arial" w:hAnsi="Arial"/>
          <w:sz w:val="18"/>
          <w:szCs w:val="18"/>
          <w:b w:val="1"/>
          <w:bCs w:val="1"/>
          <w:color w:val="auto"/>
        </w:rPr>
        <w:t>Conditions to the exchange offer</w:t>
      </w:r>
      <w:r>
        <w:rPr>
          <w:sz w:val="20"/>
          <w:szCs w:val="20"/>
          <w:color w:val="auto"/>
        </w:rPr>
        <w:tab/>
      </w:r>
      <w:r>
        <w:rPr>
          <w:rFonts w:ascii="Arial" w:cs="Arial" w:eastAsia="Arial" w:hAnsi="Arial"/>
          <w:sz w:val="15"/>
          <w:szCs w:val="15"/>
          <w:color w:val="auto"/>
        </w:rPr>
        <w:t>Our obligation to accept for exchange, or to issue the Exchange Notes in</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exchange for, any Old Notes is subject to certain customary conditions,</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including our determination that the exchange offer does not violate any</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law, statute, rule, regulation or interpretation by the Staff of the SEC or</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any regulatory authority or other foreign, federal, state or local</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government agency or court of competent jurisdiction, some of which</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may be waived by us. We currently expect that each of the conditions will</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be satisfied and that no waivers will be necessary. See "Exchange Offer—</w:t>
      </w:r>
    </w:p>
    <w:p>
      <w:pPr>
        <w:spacing w:after="0" w:line="4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Conditions to the exchange offer."</w:t>
      </w:r>
    </w:p>
    <w:p>
      <w:pPr>
        <w:sectPr>
          <w:pgSz w:w="11900" w:h="16838" w:orient="portrait"/>
          <w:cols w:equalWidth="0" w:num="1">
            <w:col w:w="11140"/>
          </w:cols>
          <w:pgMar w:left="240" w:top="131" w:right="519" w:bottom="1440" w:gutter="0" w:footer="0" w:header="0"/>
        </w:sectPr>
      </w:pPr>
    </w:p>
    <w:p>
      <w:pPr>
        <w:spacing w:after="0" w:line="213" w:lineRule="exact"/>
        <w:rPr>
          <w:sz w:val="20"/>
          <w:szCs w:val="20"/>
          <w:color w:val="auto"/>
        </w:rPr>
      </w:pPr>
    </w:p>
    <w:p>
      <w:pPr>
        <w:ind w:left="420" w:hanging="179"/>
        <w:spacing w:after="0" w:line="275" w:lineRule="auto"/>
        <w:rPr>
          <w:sz w:val="20"/>
          <w:szCs w:val="20"/>
          <w:color w:val="auto"/>
        </w:rPr>
      </w:pPr>
      <w:r>
        <w:rPr>
          <w:rFonts w:ascii="Arial" w:cs="Arial" w:eastAsia="Arial" w:hAnsi="Arial"/>
          <w:sz w:val="18"/>
          <w:szCs w:val="18"/>
          <w:b w:val="1"/>
          <w:bCs w:val="1"/>
          <w:color w:val="auto"/>
        </w:rPr>
        <w:t>Procedures for tendering Old Notes Held in the Form of Book-Entry interests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Old Notes were issued as global securities and were deposited upon issuance with Delaware Trust Company, which issued uncertificated depositary interests in those outstanding Old Notes, which represent a 100% interest in those Old Notes, to The Depositary Trust Company ("DTC").</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Beneficial interests in the outstanding Old Notes, which are held by direct or indirect participants in DTC, are shown on, and transfers of the Old Notes can only be made through, records maintained in book-entry form by DTC.</w:t>
      </w:r>
    </w:p>
    <w:p>
      <w:pPr>
        <w:spacing w:after="0" w:line="200" w:lineRule="exact"/>
        <w:rPr>
          <w:sz w:val="20"/>
          <w:szCs w:val="20"/>
          <w:color w:val="auto"/>
        </w:rPr>
      </w:pPr>
    </w:p>
    <w:p>
      <w:pPr>
        <w:sectPr>
          <w:pgSz w:w="11900" w:h="16838" w:orient="portrait"/>
          <w:cols w:equalWidth="0" w:num="2">
            <w:col w:w="5360" w:space="580"/>
            <w:col w:w="5200"/>
          </w:cols>
          <w:pgMar w:left="240" w:top="131" w:right="51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4740" w:type="dxa"/>
            <w:vAlign w:val="bottom"/>
            <w:tcBorders>
              <w:top w:val="single" w:sz="8" w:color="auto"/>
              <w:left w:val="single" w:sz="8" w:color="auto"/>
            </w:tcBorders>
          </w:tcPr>
          <w:p>
            <w:pPr>
              <w:spacing w:after="0"/>
              <w:rPr>
                <w:sz w:val="24"/>
                <w:szCs w:val="24"/>
                <w:color w:val="auto"/>
              </w:rPr>
            </w:pPr>
          </w:p>
        </w:tc>
        <w:tc>
          <w:tcPr>
            <w:tcW w:w="668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94"/>
              </w:rPr>
              <w:t>You may tender your outstanding Old Notes by instructing your broker or</w:t>
            </w:r>
          </w:p>
        </w:tc>
      </w:tr>
      <w:tr>
        <w:trPr>
          <w:trHeight w:val="216"/>
        </w:trPr>
        <w:tc>
          <w:tcPr>
            <w:tcW w:w="474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1"/>
              </w:rPr>
              <w:t>bank where you keep the Old Notes to tender them for you. In some cases</w:t>
            </w:r>
          </w:p>
        </w:tc>
      </w:tr>
      <w:tr>
        <w:trPr>
          <w:trHeight w:val="216"/>
        </w:trPr>
        <w:tc>
          <w:tcPr>
            <w:tcW w:w="474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4"/>
              </w:rPr>
              <w:t>you may be asked to submit the letter of transmittal that may accompany</w:t>
            </w:r>
          </w:p>
        </w:tc>
      </w:tr>
      <w:tr>
        <w:trPr>
          <w:trHeight w:val="216"/>
        </w:trPr>
        <w:tc>
          <w:tcPr>
            <w:tcW w:w="474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3"/>
              </w:rPr>
              <w:t>this prospectus. By tendering your Old Notes you will be deemed to have</w:t>
            </w:r>
          </w:p>
        </w:tc>
      </w:tr>
      <w:tr>
        <w:trPr>
          <w:trHeight w:val="216"/>
        </w:trPr>
        <w:tc>
          <w:tcPr>
            <w:tcW w:w="474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acknowledged and agreed to be bound by the terms set forth under</w:t>
            </w:r>
          </w:p>
        </w:tc>
      </w:tr>
      <w:tr>
        <w:trPr>
          <w:trHeight w:val="216"/>
        </w:trPr>
        <w:tc>
          <w:tcPr>
            <w:tcW w:w="474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"Exchange Offer." Your outstanding Old Notes must be tendered in</w:t>
            </w:r>
          </w:p>
        </w:tc>
      </w:tr>
      <w:tr>
        <w:trPr>
          <w:trHeight w:val="216"/>
        </w:trPr>
        <w:tc>
          <w:tcPr>
            <w:tcW w:w="474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9"/>
              </w:rPr>
              <w:t>minimum denominations of $2,000 and integral multiples of $1,000 in</w:t>
            </w:r>
          </w:p>
        </w:tc>
      </w:tr>
      <w:tr>
        <w:trPr>
          <w:trHeight w:val="222"/>
        </w:trPr>
        <w:tc>
          <w:tcPr>
            <w:tcW w:w="4740" w:type="dxa"/>
            <w:vAlign w:val="bottom"/>
            <w:tcBorders>
              <w:left w:val="single" w:sz="8" w:color="auto"/>
            </w:tcBorders>
          </w:tcPr>
          <w:p>
            <w:pPr>
              <w:spacing w:after="0"/>
              <w:rPr>
                <w:sz w:val="19"/>
                <w:szCs w:val="19"/>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excess thereof.</w:t>
            </w:r>
          </w:p>
        </w:tc>
      </w:tr>
      <w:tr>
        <w:trPr>
          <w:trHeight w:val="426"/>
        </w:trPr>
        <w:tc>
          <w:tcPr>
            <w:tcW w:w="4740" w:type="dxa"/>
            <w:vAlign w:val="bottom"/>
            <w:tcBorders>
              <w:left w:val="single" w:sz="8" w:color="auto"/>
            </w:tcBorders>
          </w:tcPr>
          <w:p>
            <w:pPr>
              <w:spacing w:after="0"/>
              <w:rPr>
                <w:sz w:val="24"/>
                <w:szCs w:val="24"/>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4"/>
              </w:rPr>
              <w:t>In order for your tender to be considered valid, the exchange agent must</w:t>
            </w:r>
          </w:p>
        </w:tc>
      </w:tr>
      <w:tr>
        <w:trPr>
          <w:trHeight w:val="216"/>
        </w:trPr>
        <w:tc>
          <w:tcPr>
            <w:tcW w:w="474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receive a confirmation of book-entry transfer of your outstanding Old</w:t>
            </w:r>
          </w:p>
        </w:tc>
      </w:tr>
      <w:tr>
        <w:trPr>
          <w:trHeight w:val="216"/>
        </w:trPr>
        <w:tc>
          <w:tcPr>
            <w:tcW w:w="474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7"/>
              </w:rPr>
              <w:t>Notes into the exchange agent's account at DTC, under the procedure</w:t>
            </w:r>
          </w:p>
        </w:tc>
      </w:tr>
      <w:tr>
        <w:trPr>
          <w:trHeight w:val="216"/>
        </w:trPr>
        <w:tc>
          <w:tcPr>
            <w:tcW w:w="474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5"/>
              </w:rPr>
              <w:t>described in this prospectus under the heading "Exchange Offer," on or</w:t>
            </w:r>
          </w:p>
        </w:tc>
      </w:tr>
      <w:tr>
        <w:trPr>
          <w:trHeight w:val="216"/>
        </w:trPr>
        <w:tc>
          <w:tcPr>
            <w:tcW w:w="474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5"/>
              </w:rPr>
              <w:t>before 12:00 midnight, New York City time, on the expiration date of the</w:t>
            </w:r>
          </w:p>
        </w:tc>
      </w:tr>
      <w:tr>
        <w:trPr>
          <w:trHeight w:val="222"/>
        </w:trPr>
        <w:tc>
          <w:tcPr>
            <w:tcW w:w="4740" w:type="dxa"/>
            <w:vAlign w:val="bottom"/>
            <w:tcBorders>
              <w:left w:val="single" w:sz="8" w:color="auto"/>
            </w:tcBorders>
          </w:tcPr>
          <w:p>
            <w:pPr>
              <w:spacing w:after="0"/>
              <w:rPr>
                <w:sz w:val="19"/>
                <w:szCs w:val="19"/>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exchange offer.</w:t>
            </w:r>
          </w:p>
        </w:tc>
      </w:tr>
      <w:tr>
        <w:trPr>
          <w:trHeight w:val="426"/>
        </w:trPr>
        <w:tc>
          <w:tcPr>
            <w:tcW w:w="47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Special procedures for beneficial owners</w:t>
            </w: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9"/>
              </w:rPr>
              <w:t>If you are the beneficial owner of book-entry interests and your name</w:t>
            </w:r>
          </w:p>
        </w:tc>
      </w:tr>
      <w:tr>
        <w:trPr>
          <w:trHeight w:val="216"/>
        </w:trPr>
        <w:tc>
          <w:tcPr>
            <w:tcW w:w="474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4"/>
              </w:rPr>
              <w:t>does not appear on a security position listing of DTC as the holder of the</w:t>
            </w:r>
          </w:p>
        </w:tc>
      </w:tr>
      <w:tr>
        <w:trPr>
          <w:trHeight w:val="216"/>
        </w:trPr>
        <w:tc>
          <w:tcPr>
            <w:tcW w:w="474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3"/>
              </w:rPr>
              <w:t>book-entry interests or if you are a beneficial owner of Old Notes that are</w:t>
            </w:r>
          </w:p>
        </w:tc>
      </w:tr>
      <w:tr>
        <w:trPr>
          <w:trHeight w:val="216"/>
        </w:trPr>
        <w:tc>
          <w:tcPr>
            <w:tcW w:w="474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registered in the name of a broker, dealer, commercial bank, trust</w:t>
            </w:r>
          </w:p>
        </w:tc>
      </w:tr>
      <w:tr>
        <w:trPr>
          <w:trHeight w:val="216"/>
        </w:trPr>
        <w:tc>
          <w:tcPr>
            <w:tcW w:w="474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3"/>
              </w:rPr>
              <w:t>company or other nominee and you wish to tender the book-entry interest</w:t>
            </w:r>
          </w:p>
        </w:tc>
      </w:tr>
      <w:tr>
        <w:trPr>
          <w:trHeight w:val="216"/>
        </w:trPr>
        <w:tc>
          <w:tcPr>
            <w:tcW w:w="474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or Old Notes in the exchange offer, you should contact the person in</w:t>
            </w:r>
          </w:p>
        </w:tc>
      </w:tr>
      <w:tr>
        <w:trPr>
          <w:trHeight w:val="216"/>
        </w:trPr>
        <w:tc>
          <w:tcPr>
            <w:tcW w:w="474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whose name your book- entry interests or Old Notes are registered</w:t>
            </w:r>
          </w:p>
        </w:tc>
      </w:tr>
      <w:tr>
        <w:trPr>
          <w:trHeight w:val="222"/>
        </w:trPr>
        <w:tc>
          <w:tcPr>
            <w:tcW w:w="4740" w:type="dxa"/>
            <w:vAlign w:val="bottom"/>
            <w:tcBorders>
              <w:left w:val="single" w:sz="8" w:color="auto"/>
            </w:tcBorders>
          </w:tcPr>
          <w:p>
            <w:pPr>
              <w:spacing w:after="0"/>
              <w:rPr>
                <w:sz w:val="19"/>
                <w:szCs w:val="19"/>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promptly and instruct that person to tender on your behalf.</w:t>
            </w:r>
          </w:p>
        </w:tc>
      </w:tr>
      <w:tr>
        <w:trPr>
          <w:trHeight w:val="426"/>
        </w:trPr>
        <w:tc>
          <w:tcPr>
            <w:tcW w:w="47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United States federal income tax considerations</w:t>
            </w: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7"/>
              </w:rPr>
              <w:t>The exchange offer should not result in any income, gain or loss to the</w:t>
            </w:r>
          </w:p>
        </w:tc>
      </w:tr>
      <w:tr>
        <w:trPr>
          <w:trHeight w:val="216"/>
        </w:trPr>
        <w:tc>
          <w:tcPr>
            <w:tcW w:w="4740" w:type="dxa"/>
            <w:vAlign w:val="bottom"/>
            <w:tcBorders>
              <w:left w:val="single" w:sz="8" w:color="auto"/>
            </w:tcBorders>
          </w:tcPr>
          <w:p>
            <w:pPr>
              <w:spacing w:after="0"/>
              <w:rPr>
                <w:sz w:val="18"/>
                <w:szCs w:val="18"/>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holders of Old Notes or to us for United States federal income tax</w:t>
            </w:r>
          </w:p>
        </w:tc>
      </w:tr>
      <w:tr>
        <w:trPr>
          <w:trHeight w:val="222"/>
        </w:trPr>
        <w:tc>
          <w:tcPr>
            <w:tcW w:w="4740" w:type="dxa"/>
            <w:vAlign w:val="bottom"/>
            <w:tcBorders>
              <w:left w:val="single" w:sz="8" w:color="auto"/>
            </w:tcBorders>
          </w:tcPr>
          <w:p>
            <w:pPr>
              <w:spacing w:after="0"/>
              <w:rPr>
                <w:sz w:val="19"/>
                <w:szCs w:val="19"/>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purposes. See "Certain Federal Income Tax Consequences."</w:t>
            </w:r>
          </w:p>
        </w:tc>
      </w:tr>
      <w:tr>
        <w:trPr>
          <w:trHeight w:val="426"/>
        </w:trPr>
        <w:tc>
          <w:tcPr>
            <w:tcW w:w="47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Use of proceeds</w:t>
            </w: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9"/>
              </w:rPr>
              <w:t>We will not receive any proceeds from the issuance of the Exchange</w:t>
            </w:r>
          </w:p>
        </w:tc>
      </w:tr>
      <w:tr>
        <w:trPr>
          <w:trHeight w:val="222"/>
        </w:trPr>
        <w:tc>
          <w:tcPr>
            <w:tcW w:w="4740" w:type="dxa"/>
            <w:vAlign w:val="bottom"/>
            <w:tcBorders>
              <w:left w:val="single" w:sz="8" w:color="auto"/>
            </w:tcBorders>
          </w:tcPr>
          <w:p>
            <w:pPr>
              <w:spacing w:after="0"/>
              <w:rPr>
                <w:sz w:val="19"/>
                <w:szCs w:val="19"/>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Notes in the exchange offer.</w:t>
            </w:r>
          </w:p>
        </w:tc>
      </w:tr>
      <w:tr>
        <w:trPr>
          <w:trHeight w:val="426"/>
        </w:trPr>
        <w:tc>
          <w:tcPr>
            <w:tcW w:w="47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Exchange agent</w:t>
            </w: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Delaware Trust Company is serving as the exchange agent for the</w:t>
            </w:r>
          </w:p>
        </w:tc>
      </w:tr>
      <w:tr>
        <w:trPr>
          <w:trHeight w:val="222"/>
        </w:trPr>
        <w:tc>
          <w:tcPr>
            <w:tcW w:w="4740" w:type="dxa"/>
            <w:vAlign w:val="bottom"/>
            <w:tcBorders>
              <w:left w:val="single" w:sz="8" w:color="auto"/>
            </w:tcBorders>
          </w:tcPr>
          <w:p>
            <w:pPr>
              <w:spacing w:after="0"/>
              <w:rPr>
                <w:sz w:val="19"/>
                <w:szCs w:val="19"/>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exchange offer.</w:t>
            </w:r>
          </w:p>
        </w:tc>
      </w:tr>
      <w:tr>
        <w:trPr>
          <w:trHeight w:val="426"/>
        </w:trPr>
        <w:tc>
          <w:tcPr>
            <w:tcW w:w="47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Shelf registration statement</w:t>
            </w: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w w:val="94"/>
              </w:rPr>
              <w:t>In limited circumstances, holders of Old Notes may require us to register</w:t>
            </w:r>
          </w:p>
        </w:tc>
      </w:tr>
      <w:tr>
        <w:trPr>
          <w:trHeight w:val="222"/>
        </w:trPr>
        <w:tc>
          <w:tcPr>
            <w:tcW w:w="4740" w:type="dxa"/>
            <w:vAlign w:val="bottom"/>
            <w:tcBorders>
              <w:left w:val="single" w:sz="8" w:color="auto"/>
            </w:tcBorders>
          </w:tcPr>
          <w:p>
            <w:pPr>
              <w:spacing w:after="0"/>
              <w:rPr>
                <w:sz w:val="19"/>
                <w:szCs w:val="19"/>
                <w:color w:val="auto"/>
              </w:rPr>
            </w:pPr>
          </w:p>
        </w:tc>
        <w:tc>
          <w:tcPr>
            <w:tcW w:w="6680" w:type="dxa"/>
            <w:vAlign w:val="bottom"/>
            <w:tcBorders>
              <w:right w:val="single" w:sz="8" w:color="auto"/>
            </w:tcBorders>
          </w:tcPr>
          <w:p>
            <w:pPr>
              <w:ind w:left="1200"/>
              <w:spacing w:after="0"/>
              <w:rPr>
                <w:sz w:val="20"/>
                <w:szCs w:val="20"/>
                <w:color w:val="auto"/>
              </w:rPr>
            </w:pPr>
            <w:r>
              <w:rPr>
                <w:rFonts w:ascii="Arial" w:cs="Arial" w:eastAsia="Arial" w:hAnsi="Arial"/>
                <w:sz w:val="18"/>
                <w:szCs w:val="18"/>
                <w:color w:val="auto"/>
              </w:rPr>
              <w:t>their Old Notes under a shelf registration statement.</w:t>
            </w:r>
          </w:p>
        </w:tc>
      </w:tr>
      <w:tr>
        <w:trPr>
          <w:trHeight w:val="228"/>
        </w:trPr>
        <w:tc>
          <w:tcPr>
            <w:tcW w:w="4740" w:type="dxa"/>
            <w:vAlign w:val="bottom"/>
            <w:tcBorders>
              <w:left w:val="single" w:sz="8" w:color="auto"/>
              <w:bottom w:val="single" w:sz="8" w:color="auto"/>
            </w:tcBorders>
          </w:tcPr>
          <w:p>
            <w:pPr>
              <w:spacing w:after="0"/>
              <w:rPr>
                <w:sz w:val="19"/>
                <w:szCs w:val="19"/>
                <w:color w:val="auto"/>
              </w:rPr>
            </w:pPr>
          </w:p>
        </w:tc>
        <w:tc>
          <w:tcPr>
            <w:tcW w:w="6680" w:type="dxa"/>
            <w:vAlign w:val="bottom"/>
            <w:tcBorders>
              <w:bottom w:val="single" w:sz="8" w:color="auto"/>
              <w:right w:val="single" w:sz="8" w:color="auto"/>
            </w:tcBorders>
          </w:tcPr>
          <w:p>
            <w:pPr>
              <w:spacing w:after="0"/>
              <w:rPr>
                <w:sz w:val="19"/>
                <w:szCs w:val="19"/>
                <w:color w:val="auto"/>
              </w:rPr>
            </w:pPr>
          </w:p>
        </w:tc>
      </w:tr>
      <w:tr>
        <w:trPr>
          <w:trHeight w:val="427"/>
        </w:trPr>
        <w:tc>
          <w:tcPr>
            <w:tcW w:w="4740" w:type="dxa"/>
            <w:vAlign w:val="bottom"/>
          </w:tcPr>
          <w:p>
            <w:pPr>
              <w:spacing w:after="0"/>
              <w:rPr>
                <w:sz w:val="24"/>
                <w:szCs w:val="24"/>
                <w:color w:val="auto"/>
              </w:rPr>
            </w:pPr>
          </w:p>
        </w:tc>
        <w:tc>
          <w:tcPr>
            <w:tcW w:w="6680" w:type="dxa"/>
            <w:vAlign w:val="bottom"/>
          </w:tcPr>
          <w:p>
            <w:pPr>
              <w:ind w:left="940"/>
              <w:spacing w:after="0"/>
              <w:rPr>
                <w:sz w:val="20"/>
                <w:szCs w:val="20"/>
                <w:color w:val="auto"/>
              </w:rPr>
            </w:pPr>
            <w:r>
              <w:rPr>
                <w:rFonts w:ascii="Arial" w:cs="Arial" w:eastAsia="Arial" w:hAnsi="Arial"/>
                <w:sz w:val="18"/>
                <w:szCs w:val="18"/>
                <w:color w:val="auto"/>
              </w:rPr>
              <w:t>9</w:t>
            </w:r>
          </w:p>
        </w:tc>
      </w:tr>
      <w:tr>
        <w:trPr>
          <w:trHeight w:val="228"/>
        </w:trPr>
        <w:tc>
          <w:tcPr>
            <w:tcW w:w="4740" w:type="dxa"/>
            <w:vAlign w:val="bottom"/>
            <w:tcBorders>
              <w:bottom w:val="single" w:sz="8" w:color="808080"/>
            </w:tcBorders>
          </w:tcPr>
          <w:p>
            <w:pPr>
              <w:spacing w:after="0"/>
              <w:rPr>
                <w:sz w:val="19"/>
                <w:szCs w:val="19"/>
                <w:color w:val="auto"/>
              </w:rPr>
            </w:pPr>
          </w:p>
        </w:tc>
        <w:tc>
          <w:tcPr>
            <w:tcW w:w="6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945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4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231" w:lineRule="exact"/>
        <w:rPr>
          <w:sz w:val="20"/>
          <w:szCs w:val="20"/>
          <w:color w:val="auto"/>
        </w:rPr>
      </w:pPr>
    </w:p>
    <w:p>
      <w:pPr>
        <w:ind w:left="240" w:right="400" w:firstLine="351"/>
        <w:spacing w:after="0" w:line="268" w:lineRule="auto"/>
        <w:rPr>
          <w:sz w:val="20"/>
          <w:szCs w:val="20"/>
          <w:color w:val="auto"/>
        </w:rPr>
      </w:pPr>
      <w:r>
        <w:rPr>
          <w:rFonts w:ascii="Arial" w:cs="Arial" w:eastAsia="Arial" w:hAnsi="Arial"/>
          <w:sz w:val="18"/>
          <w:szCs w:val="18"/>
          <w:color w:val="auto"/>
        </w:rPr>
        <w:t>If you do not exchange your Old Notes in the exchange offer, your Old Notes will continue to be subject to the restrictions on transfer currently applicable to the Old Notes. In general, you may offer or sell your Old Notes only:</w:t>
      </w:r>
    </w:p>
    <w:p>
      <w:pPr>
        <w:spacing w:after="0" w:line="213" w:lineRule="exact"/>
        <w:rPr>
          <w:sz w:val="20"/>
          <w:szCs w:val="20"/>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they are offered or sold under an exemption from registration under the Securities Act and applicable state securities laws; or</w:t>
      </w:r>
    </w:p>
    <w:p>
      <w:pPr>
        <w:spacing w:after="0" w:line="261" w:lineRule="exact"/>
        <w:rPr>
          <w:rFonts w:ascii="Arial" w:cs="Arial" w:eastAsia="Arial" w:hAnsi="Arial"/>
          <w:sz w:val="16"/>
          <w:szCs w:val="16"/>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225" w:lineRule="exact"/>
        <w:rPr>
          <w:sz w:val="20"/>
          <w:szCs w:val="20"/>
          <w:color w:val="auto"/>
        </w:rPr>
      </w:pPr>
    </w:p>
    <w:p>
      <w:pPr>
        <w:ind w:left="240" w:firstLine="348"/>
        <w:spacing w:after="0" w:line="255" w:lineRule="auto"/>
        <w:rPr>
          <w:sz w:val="20"/>
          <w:szCs w:val="20"/>
          <w:color w:val="auto"/>
        </w:rPr>
      </w:pPr>
      <w:r>
        <w:rPr>
          <w:rFonts w:ascii="Arial" w:cs="Arial" w:eastAsia="Arial" w:hAnsi="Arial"/>
          <w:sz w:val="18"/>
          <w:szCs w:val="18"/>
          <w:color w:val="auto"/>
        </w:rPr>
        <w:t>We do not currently intend to register the Old Notes under the Securities Act. Under some circumstances, however, holders of the Old Notes, including holders who are not permitted to participate in the exchange offer or who may not freely resell Exchange Notes received in the exchange offer, may require us to file, and to cause to become effective, a shelf registration statement covering resales of notes by these holders. For more information regarding the consequences of not tendering your Old Notes and our obligation to file a shelf registration statement, see "Exchange Offer—Consequences of failure to exchange."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3417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634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OF TERMS OF EXCHANGE NOTES</w:t>
      </w:r>
    </w:p>
    <w:p>
      <w:pPr>
        <w:spacing w:after="0" w:line="231" w:lineRule="exact"/>
        <w:rPr>
          <w:sz w:val="20"/>
          <w:szCs w:val="20"/>
          <w:color w:val="auto"/>
        </w:rPr>
      </w:pPr>
    </w:p>
    <w:p>
      <w:pPr>
        <w:ind w:left="240" w:right="540" w:firstLine="351"/>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Exchange Notes, the guarantees and the related indenture. Certain of the terms and conditions described below are subject to important limitations and exceptions. The "Description of the Notes" section of this prospectus contains more detailed descriptions of the terms and conditions of the Exchange Notes and the related indenture.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Pr>
          <w:p>
            <w:pPr>
              <w:ind w:left="240"/>
              <w:spacing w:after="0"/>
              <w:rPr>
                <w:sz w:val="20"/>
                <w:szCs w:val="20"/>
                <w:color w:val="auto"/>
              </w:rPr>
            </w:pPr>
            <w:r>
              <w:rPr>
                <w:rFonts w:ascii="Arial" w:cs="Arial" w:eastAsia="Arial" w:hAnsi="Arial"/>
                <w:sz w:val="18"/>
                <w:szCs w:val="18"/>
                <w:b w:val="1"/>
                <w:bCs w:val="1"/>
                <w:color w:val="auto"/>
              </w:rPr>
              <w:t>Issuer</w:t>
            </w:r>
          </w:p>
        </w:tc>
        <w:tc>
          <w:tcPr>
            <w:tcW w:w="7620" w:type="dxa"/>
            <w:vAlign w:val="bottom"/>
          </w:tcPr>
          <w:p>
            <w:pPr>
              <w:ind w:left="2140"/>
              <w:spacing w:after="0"/>
              <w:rPr>
                <w:sz w:val="20"/>
                <w:szCs w:val="20"/>
                <w:color w:val="auto"/>
              </w:rPr>
            </w:pPr>
            <w:r>
              <w:rPr>
                <w:rFonts w:ascii="Arial" w:cs="Arial" w:eastAsia="Arial" w:hAnsi="Arial"/>
                <w:sz w:val="18"/>
                <w:szCs w:val="18"/>
                <w:color w:val="auto"/>
              </w:rPr>
              <w:t>NRG Yield Operating LLC</w:t>
            </w:r>
          </w:p>
        </w:tc>
      </w:tr>
      <w:tr>
        <w:trPr>
          <w:trHeight w:val="426"/>
        </w:trPr>
        <w:tc>
          <w:tcPr>
            <w:tcW w:w="3800" w:type="dxa"/>
            <w:vAlign w:val="bottom"/>
          </w:tcPr>
          <w:p>
            <w:pPr>
              <w:ind w:left="240"/>
              <w:spacing w:after="0"/>
              <w:rPr>
                <w:sz w:val="20"/>
                <w:szCs w:val="20"/>
                <w:color w:val="auto"/>
              </w:rPr>
            </w:pPr>
            <w:r>
              <w:rPr>
                <w:rFonts w:ascii="Arial" w:cs="Arial" w:eastAsia="Arial" w:hAnsi="Arial"/>
                <w:sz w:val="18"/>
                <w:szCs w:val="18"/>
                <w:b w:val="1"/>
                <w:bCs w:val="1"/>
                <w:color w:val="auto"/>
              </w:rPr>
              <w:t>Securities offered</w:t>
            </w:r>
          </w:p>
        </w:tc>
        <w:tc>
          <w:tcPr>
            <w:tcW w:w="7620" w:type="dxa"/>
            <w:vAlign w:val="bottom"/>
          </w:tcPr>
          <w:p>
            <w:pPr>
              <w:ind w:left="2140"/>
              <w:spacing w:after="0"/>
              <w:rPr>
                <w:sz w:val="20"/>
                <w:szCs w:val="20"/>
                <w:color w:val="auto"/>
              </w:rPr>
            </w:pPr>
            <w:r>
              <w:rPr>
                <w:rFonts w:ascii="Arial" w:cs="Arial" w:eastAsia="Arial" w:hAnsi="Arial"/>
                <w:sz w:val="18"/>
                <w:szCs w:val="18"/>
                <w:color w:val="auto"/>
                <w:w w:val="93"/>
              </w:rPr>
              <w:t>$350.0 million in aggregate principal amount of 5.000% Senior Notes due</w:t>
            </w:r>
          </w:p>
        </w:tc>
      </w:tr>
      <w:tr>
        <w:trPr>
          <w:trHeight w:val="222"/>
        </w:trPr>
        <w:tc>
          <w:tcPr>
            <w:tcW w:w="3800" w:type="dxa"/>
            <w:vAlign w:val="bottom"/>
          </w:tcPr>
          <w:p>
            <w:pPr>
              <w:spacing w:after="0"/>
              <w:rPr>
                <w:sz w:val="19"/>
                <w:szCs w:val="19"/>
                <w:color w:val="auto"/>
              </w:rPr>
            </w:pPr>
          </w:p>
        </w:tc>
        <w:tc>
          <w:tcPr>
            <w:tcW w:w="7620" w:type="dxa"/>
            <w:vAlign w:val="bottom"/>
          </w:tcPr>
          <w:p>
            <w:pPr>
              <w:ind w:left="2140"/>
              <w:spacing w:after="0"/>
              <w:rPr>
                <w:sz w:val="20"/>
                <w:szCs w:val="20"/>
                <w:color w:val="auto"/>
              </w:rPr>
            </w:pPr>
            <w:r>
              <w:rPr>
                <w:rFonts w:ascii="Arial" w:cs="Arial" w:eastAsia="Arial" w:hAnsi="Arial"/>
                <w:sz w:val="18"/>
                <w:szCs w:val="18"/>
                <w:color w:val="auto"/>
                <w:w w:val="92"/>
              </w:rPr>
              <w:t>2026. The Exchange Notes will evidence the same debt as the Old Notes.</w:t>
            </w:r>
          </w:p>
        </w:tc>
      </w:tr>
      <w:tr>
        <w:trPr>
          <w:trHeight w:val="432"/>
        </w:trPr>
        <w:tc>
          <w:tcPr>
            <w:tcW w:w="3800" w:type="dxa"/>
            <w:vAlign w:val="bottom"/>
          </w:tcPr>
          <w:p>
            <w:pPr>
              <w:ind w:left="240"/>
              <w:spacing w:after="0"/>
              <w:rPr>
                <w:sz w:val="20"/>
                <w:szCs w:val="20"/>
                <w:color w:val="auto"/>
              </w:rPr>
            </w:pPr>
            <w:r>
              <w:rPr>
                <w:rFonts w:ascii="Arial" w:cs="Arial" w:eastAsia="Arial" w:hAnsi="Arial"/>
                <w:sz w:val="18"/>
                <w:szCs w:val="18"/>
                <w:b w:val="1"/>
                <w:bCs w:val="1"/>
                <w:color w:val="auto"/>
              </w:rPr>
              <w:t>Maturity date</w:t>
            </w:r>
          </w:p>
        </w:tc>
        <w:tc>
          <w:tcPr>
            <w:tcW w:w="7620" w:type="dxa"/>
            <w:vAlign w:val="bottom"/>
          </w:tcPr>
          <w:p>
            <w:pPr>
              <w:ind w:left="2140"/>
              <w:spacing w:after="0"/>
              <w:rPr>
                <w:sz w:val="20"/>
                <w:szCs w:val="20"/>
                <w:color w:val="auto"/>
              </w:rPr>
            </w:pPr>
            <w:r>
              <w:rPr>
                <w:rFonts w:ascii="Arial" w:cs="Arial" w:eastAsia="Arial" w:hAnsi="Arial"/>
                <w:sz w:val="18"/>
                <w:szCs w:val="18"/>
                <w:color w:val="auto"/>
              </w:rPr>
              <w:t>The Exchange Notes will mature on September 15, 2026.</w:t>
            </w:r>
          </w:p>
        </w:tc>
      </w:tr>
      <w:tr>
        <w:trPr>
          <w:trHeight w:val="432"/>
        </w:trPr>
        <w:tc>
          <w:tcPr>
            <w:tcW w:w="3800" w:type="dxa"/>
            <w:vAlign w:val="bottom"/>
          </w:tcPr>
          <w:p>
            <w:pPr>
              <w:ind w:left="240"/>
              <w:spacing w:after="0"/>
              <w:rPr>
                <w:sz w:val="20"/>
                <w:szCs w:val="20"/>
                <w:color w:val="auto"/>
              </w:rPr>
            </w:pPr>
            <w:r>
              <w:rPr>
                <w:rFonts w:ascii="Arial" w:cs="Arial" w:eastAsia="Arial" w:hAnsi="Arial"/>
                <w:sz w:val="18"/>
                <w:szCs w:val="18"/>
                <w:b w:val="1"/>
                <w:bCs w:val="1"/>
                <w:color w:val="auto"/>
              </w:rPr>
              <w:t>Interest rate</w:t>
            </w:r>
          </w:p>
        </w:tc>
        <w:tc>
          <w:tcPr>
            <w:tcW w:w="7620" w:type="dxa"/>
            <w:vAlign w:val="bottom"/>
          </w:tcPr>
          <w:p>
            <w:pPr>
              <w:ind w:left="2140"/>
              <w:spacing w:after="0"/>
              <w:rPr>
                <w:sz w:val="20"/>
                <w:szCs w:val="20"/>
                <w:color w:val="auto"/>
              </w:rPr>
            </w:pPr>
            <w:r>
              <w:rPr>
                <w:rFonts w:ascii="Arial" w:cs="Arial" w:eastAsia="Arial" w:hAnsi="Arial"/>
                <w:sz w:val="18"/>
                <w:szCs w:val="18"/>
                <w:color w:val="auto"/>
                <w:w w:val="92"/>
              </w:rPr>
              <w:t>The Exchange Notes will accrue interest at the rate of 5.000% per annum.</w:t>
            </w:r>
          </w:p>
        </w:tc>
      </w:tr>
      <w:tr>
        <w:trPr>
          <w:trHeight w:val="426"/>
        </w:trPr>
        <w:tc>
          <w:tcPr>
            <w:tcW w:w="3800" w:type="dxa"/>
            <w:vAlign w:val="bottom"/>
          </w:tcPr>
          <w:p>
            <w:pPr>
              <w:ind w:left="240"/>
              <w:spacing w:after="0"/>
              <w:rPr>
                <w:sz w:val="20"/>
                <w:szCs w:val="20"/>
                <w:color w:val="auto"/>
              </w:rPr>
            </w:pPr>
            <w:r>
              <w:rPr>
                <w:rFonts w:ascii="Arial" w:cs="Arial" w:eastAsia="Arial" w:hAnsi="Arial"/>
                <w:sz w:val="18"/>
                <w:szCs w:val="18"/>
                <w:b w:val="1"/>
                <w:bCs w:val="1"/>
                <w:color w:val="auto"/>
              </w:rPr>
              <w:t>Interest payment dates</w:t>
            </w:r>
          </w:p>
        </w:tc>
        <w:tc>
          <w:tcPr>
            <w:tcW w:w="7620" w:type="dxa"/>
            <w:vAlign w:val="bottom"/>
          </w:tcPr>
          <w:p>
            <w:pPr>
              <w:ind w:left="2140"/>
              <w:spacing w:after="0"/>
              <w:rPr>
                <w:sz w:val="20"/>
                <w:szCs w:val="20"/>
                <w:color w:val="auto"/>
              </w:rPr>
            </w:pPr>
            <w:r>
              <w:rPr>
                <w:rFonts w:ascii="Arial" w:cs="Arial" w:eastAsia="Arial" w:hAnsi="Arial"/>
                <w:sz w:val="18"/>
                <w:szCs w:val="18"/>
                <w:color w:val="auto"/>
              </w:rPr>
              <w:t>Interest on the Exchange Notes will be payable on March 15 and</w:t>
            </w:r>
          </w:p>
        </w:tc>
      </w:tr>
      <w:tr>
        <w:trPr>
          <w:trHeight w:val="216"/>
        </w:trPr>
        <w:tc>
          <w:tcPr>
            <w:tcW w:w="3800" w:type="dxa"/>
            <w:vAlign w:val="bottom"/>
          </w:tcPr>
          <w:p>
            <w:pPr>
              <w:spacing w:after="0"/>
              <w:rPr>
                <w:sz w:val="18"/>
                <w:szCs w:val="18"/>
                <w:color w:val="auto"/>
              </w:rPr>
            </w:pPr>
          </w:p>
        </w:tc>
        <w:tc>
          <w:tcPr>
            <w:tcW w:w="7620" w:type="dxa"/>
            <w:vAlign w:val="bottom"/>
          </w:tcPr>
          <w:p>
            <w:pPr>
              <w:ind w:left="2140"/>
              <w:spacing w:after="0"/>
              <w:rPr>
                <w:sz w:val="20"/>
                <w:szCs w:val="20"/>
                <w:color w:val="auto"/>
              </w:rPr>
            </w:pPr>
            <w:r>
              <w:rPr>
                <w:rFonts w:ascii="Arial" w:cs="Arial" w:eastAsia="Arial" w:hAnsi="Arial"/>
                <w:sz w:val="18"/>
                <w:szCs w:val="18"/>
                <w:color w:val="auto"/>
                <w:w w:val="92"/>
              </w:rPr>
              <w:t>September 15 of each year. The Exchange Notes will accrue interest from</w:t>
            </w:r>
          </w:p>
        </w:tc>
      </w:tr>
      <w:tr>
        <w:trPr>
          <w:trHeight w:val="216"/>
        </w:trPr>
        <w:tc>
          <w:tcPr>
            <w:tcW w:w="3800" w:type="dxa"/>
            <w:vAlign w:val="bottom"/>
          </w:tcPr>
          <w:p>
            <w:pPr>
              <w:spacing w:after="0"/>
              <w:rPr>
                <w:sz w:val="18"/>
                <w:szCs w:val="18"/>
                <w:color w:val="auto"/>
              </w:rPr>
            </w:pPr>
          </w:p>
        </w:tc>
        <w:tc>
          <w:tcPr>
            <w:tcW w:w="7620" w:type="dxa"/>
            <w:vAlign w:val="bottom"/>
          </w:tcPr>
          <w:p>
            <w:pPr>
              <w:ind w:left="2140"/>
              <w:spacing w:after="0"/>
              <w:rPr>
                <w:sz w:val="20"/>
                <w:szCs w:val="20"/>
                <w:color w:val="auto"/>
              </w:rPr>
            </w:pPr>
            <w:r>
              <w:rPr>
                <w:rFonts w:ascii="Arial" w:cs="Arial" w:eastAsia="Arial" w:hAnsi="Arial"/>
                <w:sz w:val="18"/>
                <w:szCs w:val="18"/>
                <w:color w:val="auto"/>
                <w:w w:val="96"/>
              </w:rPr>
              <w:t>and including the last interest payment date on which interest has been</w:t>
            </w:r>
          </w:p>
        </w:tc>
      </w:tr>
      <w:tr>
        <w:trPr>
          <w:trHeight w:val="216"/>
        </w:trPr>
        <w:tc>
          <w:tcPr>
            <w:tcW w:w="3800" w:type="dxa"/>
            <w:vAlign w:val="bottom"/>
          </w:tcPr>
          <w:p>
            <w:pPr>
              <w:spacing w:after="0"/>
              <w:rPr>
                <w:sz w:val="18"/>
                <w:szCs w:val="18"/>
                <w:color w:val="auto"/>
              </w:rPr>
            </w:pPr>
          </w:p>
        </w:tc>
        <w:tc>
          <w:tcPr>
            <w:tcW w:w="7620" w:type="dxa"/>
            <w:vAlign w:val="bottom"/>
          </w:tcPr>
          <w:p>
            <w:pPr>
              <w:ind w:left="2140"/>
              <w:spacing w:after="0"/>
              <w:rPr>
                <w:sz w:val="20"/>
                <w:szCs w:val="20"/>
                <w:color w:val="auto"/>
              </w:rPr>
            </w:pPr>
            <w:r>
              <w:rPr>
                <w:rFonts w:ascii="Arial" w:cs="Arial" w:eastAsia="Arial" w:hAnsi="Arial"/>
                <w:sz w:val="18"/>
                <w:szCs w:val="18"/>
                <w:color w:val="auto"/>
                <w:w w:val="98"/>
              </w:rPr>
              <w:t>paid on the Old Notes and, if no interest has been paid, the Exchange</w:t>
            </w:r>
          </w:p>
        </w:tc>
      </w:tr>
      <w:tr>
        <w:trPr>
          <w:trHeight w:val="222"/>
        </w:trPr>
        <w:tc>
          <w:tcPr>
            <w:tcW w:w="3800" w:type="dxa"/>
            <w:vAlign w:val="bottom"/>
          </w:tcPr>
          <w:p>
            <w:pPr>
              <w:spacing w:after="0"/>
              <w:rPr>
                <w:sz w:val="19"/>
                <w:szCs w:val="19"/>
                <w:color w:val="auto"/>
              </w:rPr>
            </w:pPr>
          </w:p>
        </w:tc>
        <w:tc>
          <w:tcPr>
            <w:tcW w:w="7620" w:type="dxa"/>
            <w:vAlign w:val="bottom"/>
          </w:tcPr>
          <w:p>
            <w:pPr>
              <w:ind w:left="2140"/>
              <w:spacing w:after="0"/>
              <w:rPr>
                <w:sz w:val="20"/>
                <w:szCs w:val="20"/>
                <w:color w:val="auto"/>
              </w:rPr>
            </w:pPr>
            <w:r>
              <w:rPr>
                <w:rFonts w:ascii="Arial" w:cs="Arial" w:eastAsia="Arial" w:hAnsi="Arial"/>
                <w:sz w:val="18"/>
                <w:szCs w:val="18"/>
                <w:color w:val="auto"/>
              </w:rPr>
              <w:t>Notes will accrue interest since the issue date of the Old Notes.</w:t>
            </w:r>
          </w:p>
        </w:tc>
      </w:tr>
      <w:tr>
        <w:trPr>
          <w:trHeight w:val="426"/>
        </w:trPr>
        <w:tc>
          <w:tcPr>
            <w:tcW w:w="3800" w:type="dxa"/>
            <w:vAlign w:val="bottom"/>
          </w:tcPr>
          <w:p>
            <w:pPr>
              <w:spacing w:after="0"/>
              <w:rPr>
                <w:sz w:val="24"/>
                <w:szCs w:val="24"/>
                <w:color w:val="auto"/>
              </w:rPr>
            </w:pPr>
          </w:p>
        </w:tc>
        <w:tc>
          <w:tcPr>
            <w:tcW w:w="7620" w:type="dxa"/>
            <w:vAlign w:val="bottom"/>
          </w:tcPr>
          <w:p>
            <w:pPr>
              <w:ind w:left="2140"/>
              <w:spacing w:after="0"/>
              <w:rPr>
                <w:sz w:val="20"/>
                <w:szCs w:val="20"/>
                <w:color w:val="auto"/>
              </w:rPr>
            </w:pPr>
            <w:r>
              <w:rPr>
                <w:rFonts w:ascii="Arial" w:cs="Arial" w:eastAsia="Arial" w:hAnsi="Arial"/>
                <w:sz w:val="18"/>
                <w:szCs w:val="18"/>
                <w:color w:val="auto"/>
                <w:w w:val="94"/>
              </w:rPr>
              <w:t>No interest will be paid on either the Exchange Notes or the Old Notes at</w:t>
            </w:r>
          </w:p>
        </w:tc>
      </w:tr>
      <w:tr>
        <w:trPr>
          <w:trHeight w:val="216"/>
        </w:trPr>
        <w:tc>
          <w:tcPr>
            <w:tcW w:w="3800" w:type="dxa"/>
            <w:vAlign w:val="bottom"/>
          </w:tcPr>
          <w:p>
            <w:pPr>
              <w:spacing w:after="0"/>
              <w:rPr>
                <w:sz w:val="18"/>
                <w:szCs w:val="18"/>
                <w:color w:val="auto"/>
              </w:rPr>
            </w:pPr>
          </w:p>
        </w:tc>
        <w:tc>
          <w:tcPr>
            <w:tcW w:w="7620" w:type="dxa"/>
            <w:vAlign w:val="bottom"/>
          </w:tcPr>
          <w:p>
            <w:pPr>
              <w:ind w:left="2140"/>
              <w:spacing w:after="0"/>
              <w:rPr>
                <w:sz w:val="20"/>
                <w:szCs w:val="20"/>
                <w:color w:val="auto"/>
              </w:rPr>
            </w:pPr>
            <w:r>
              <w:rPr>
                <w:rFonts w:ascii="Arial" w:cs="Arial" w:eastAsia="Arial" w:hAnsi="Arial"/>
                <w:sz w:val="18"/>
                <w:szCs w:val="18"/>
                <w:color w:val="auto"/>
              </w:rPr>
              <w:t>the time of exchange. Accordingly, the holders of Old Notes that are</w:t>
            </w:r>
          </w:p>
        </w:tc>
      </w:tr>
      <w:tr>
        <w:trPr>
          <w:trHeight w:val="216"/>
        </w:trPr>
        <w:tc>
          <w:tcPr>
            <w:tcW w:w="3800" w:type="dxa"/>
            <w:vAlign w:val="bottom"/>
          </w:tcPr>
          <w:p>
            <w:pPr>
              <w:spacing w:after="0"/>
              <w:rPr>
                <w:sz w:val="18"/>
                <w:szCs w:val="18"/>
                <w:color w:val="auto"/>
              </w:rPr>
            </w:pPr>
          </w:p>
        </w:tc>
        <w:tc>
          <w:tcPr>
            <w:tcW w:w="7620" w:type="dxa"/>
            <w:vAlign w:val="bottom"/>
          </w:tcPr>
          <w:p>
            <w:pPr>
              <w:ind w:left="2140"/>
              <w:spacing w:after="0"/>
              <w:rPr>
                <w:sz w:val="20"/>
                <w:szCs w:val="20"/>
                <w:color w:val="auto"/>
              </w:rPr>
            </w:pPr>
            <w:r>
              <w:rPr>
                <w:rFonts w:ascii="Arial" w:cs="Arial" w:eastAsia="Arial" w:hAnsi="Arial"/>
                <w:sz w:val="18"/>
                <w:szCs w:val="18"/>
                <w:color w:val="auto"/>
                <w:w w:val="91"/>
              </w:rPr>
              <w:t>accepted for exchange will not receive accrued but unpaid interest on such</w:t>
            </w:r>
          </w:p>
        </w:tc>
      </w:tr>
      <w:tr>
        <w:trPr>
          <w:trHeight w:val="216"/>
        </w:trPr>
        <w:tc>
          <w:tcPr>
            <w:tcW w:w="3800" w:type="dxa"/>
            <w:vAlign w:val="bottom"/>
          </w:tcPr>
          <w:p>
            <w:pPr>
              <w:spacing w:after="0"/>
              <w:rPr>
                <w:sz w:val="18"/>
                <w:szCs w:val="18"/>
                <w:color w:val="auto"/>
              </w:rPr>
            </w:pPr>
          </w:p>
        </w:tc>
        <w:tc>
          <w:tcPr>
            <w:tcW w:w="7620" w:type="dxa"/>
            <w:vAlign w:val="bottom"/>
          </w:tcPr>
          <w:p>
            <w:pPr>
              <w:ind w:left="2140"/>
              <w:spacing w:after="0"/>
              <w:rPr>
                <w:sz w:val="20"/>
                <w:szCs w:val="20"/>
                <w:color w:val="auto"/>
              </w:rPr>
            </w:pPr>
            <w:r>
              <w:rPr>
                <w:rFonts w:ascii="Arial" w:cs="Arial" w:eastAsia="Arial" w:hAnsi="Arial"/>
                <w:sz w:val="18"/>
                <w:szCs w:val="18"/>
                <w:color w:val="auto"/>
                <w:w w:val="92"/>
              </w:rPr>
              <w:t>Old Notes at the time of tender. Rather, that interest will be payable on the</w:t>
            </w:r>
          </w:p>
        </w:tc>
      </w:tr>
      <w:tr>
        <w:trPr>
          <w:trHeight w:val="216"/>
        </w:trPr>
        <w:tc>
          <w:tcPr>
            <w:tcW w:w="3800" w:type="dxa"/>
            <w:vAlign w:val="bottom"/>
          </w:tcPr>
          <w:p>
            <w:pPr>
              <w:spacing w:after="0"/>
              <w:rPr>
                <w:sz w:val="18"/>
                <w:szCs w:val="18"/>
                <w:color w:val="auto"/>
              </w:rPr>
            </w:pPr>
          </w:p>
        </w:tc>
        <w:tc>
          <w:tcPr>
            <w:tcW w:w="7620" w:type="dxa"/>
            <w:vAlign w:val="bottom"/>
          </w:tcPr>
          <w:p>
            <w:pPr>
              <w:ind w:left="2140"/>
              <w:spacing w:after="0"/>
              <w:rPr>
                <w:sz w:val="20"/>
                <w:szCs w:val="20"/>
                <w:color w:val="auto"/>
              </w:rPr>
            </w:pPr>
            <w:r>
              <w:rPr>
                <w:rFonts w:ascii="Arial" w:cs="Arial" w:eastAsia="Arial" w:hAnsi="Arial"/>
                <w:sz w:val="18"/>
                <w:szCs w:val="18"/>
                <w:color w:val="auto"/>
              </w:rPr>
              <w:t>Exchange Notes delivered in exchange for the Old Notes on the first</w:t>
            </w:r>
          </w:p>
        </w:tc>
      </w:tr>
      <w:tr>
        <w:trPr>
          <w:trHeight w:val="222"/>
        </w:trPr>
        <w:tc>
          <w:tcPr>
            <w:tcW w:w="3800" w:type="dxa"/>
            <w:vAlign w:val="bottom"/>
          </w:tcPr>
          <w:p>
            <w:pPr>
              <w:spacing w:after="0"/>
              <w:rPr>
                <w:sz w:val="19"/>
                <w:szCs w:val="19"/>
                <w:color w:val="auto"/>
              </w:rPr>
            </w:pPr>
          </w:p>
        </w:tc>
        <w:tc>
          <w:tcPr>
            <w:tcW w:w="7620" w:type="dxa"/>
            <w:vAlign w:val="bottom"/>
          </w:tcPr>
          <w:p>
            <w:pPr>
              <w:ind w:left="2140"/>
              <w:spacing w:after="0"/>
              <w:rPr>
                <w:sz w:val="20"/>
                <w:szCs w:val="20"/>
                <w:color w:val="auto"/>
              </w:rPr>
            </w:pPr>
            <w:r>
              <w:rPr>
                <w:rFonts w:ascii="Arial" w:cs="Arial" w:eastAsia="Arial" w:hAnsi="Arial"/>
                <w:sz w:val="18"/>
                <w:szCs w:val="18"/>
                <w:color w:val="auto"/>
                <w:w w:val="94"/>
              </w:rPr>
              <w:t>interest payment date following the expiration date of the exchange offer.</w:t>
            </w:r>
          </w:p>
        </w:tc>
      </w:tr>
      <w:tr>
        <w:trPr>
          <w:trHeight w:val="432"/>
        </w:trPr>
        <w:tc>
          <w:tcPr>
            <w:tcW w:w="3800" w:type="dxa"/>
            <w:vAlign w:val="bottom"/>
          </w:tcPr>
          <w:p>
            <w:pPr>
              <w:ind w:left="240"/>
              <w:spacing w:after="0"/>
              <w:rPr>
                <w:sz w:val="20"/>
                <w:szCs w:val="20"/>
                <w:color w:val="auto"/>
              </w:rPr>
            </w:pPr>
            <w:r>
              <w:rPr>
                <w:rFonts w:ascii="Arial" w:cs="Arial" w:eastAsia="Arial" w:hAnsi="Arial"/>
                <w:sz w:val="18"/>
                <w:szCs w:val="18"/>
                <w:b w:val="1"/>
                <w:bCs w:val="1"/>
                <w:color w:val="auto"/>
              </w:rPr>
              <w:t>Ranking</w:t>
            </w:r>
          </w:p>
        </w:tc>
        <w:tc>
          <w:tcPr>
            <w:tcW w:w="7620" w:type="dxa"/>
            <w:vAlign w:val="bottom"/>
          </w:tcPr>
          <w:p>
            <w:pPr>
              <w:ind w:left="2140"/>
              <w:spacing w:after="0"/>
              <w:rPr>
                <w:sz w:val="20"/>
                <w:szCs w:val="20"/>
                <w:color w:val="auto"/>
              </w:rPr>
            </w:pPr>
            <w:r>
              <w:rPr>
                <w:rFonts w:ascii="Arial" w:cs="Arial" w:eastAsia="Arial" w:hAnsi="Arial"/>
                <w:sz w:val="18"/>
                <w:szCs w:val="18"/>
                <w:color w:val="auto"/>
              </w:rPr>
              <w:t>The Exchange Notes will:</w:t>
            </w:r>
          </w:p>
        </w:tc>
      </w:tr>
      <w:tr>
        <w:trPr>
          <w:trHeight w:val="432"/>
        </w:trPr>
        <w:tc>
          <w:tcPr>
            <w:tcW w:w="3800" w:type="dxa"/>
            <w:vAlign w:val="bottom"/>
          </w:tcPr>
          <w:p>
            <w:pPr>
              <w:spacing w:after="0"/>
              <w:rPr>
                <w:sz w:val="24"/>
                <w:szCs w:val="24"/>
                <w:color w:val="auto"/>
              </w:rPr>
            </w:pPr>
          </w:p>
        </w:tc>
        <w:tc>
          <w:tcPr>
            <w:tcW w:w="7620" w:type="dxa"/>
            <w:vAlign w:val="bottom"/>
          </w:tcPr>
          <w:p>
            <w:pPr>
              <w:ind w:left="2140"/>
              <w:spacing w:after="0"/>
              <w:rPr>
                <w:sz w:val="20"/>
                <w:szCs w:val="20"/>
                <w:color w:val="auto"/>
              </w:rPr>
            </w:pPr>
            <w:r>
              <w:rPr>
                <w:rFonts w:ascii="Arial" w:cs="Arial" w:eastAsia="Arial" w:hAnsi="Arial"/>
                <w:sz w:val="18"/>
                <w:szCs w:val="18"/>
                <w:color w:val="auto"/>
              </w:rPr>
              <w:t>•  be general unsecured obligations of Yield Operating LLC;</w:t>
            </w:r>
          </w:p>
        </w:tc>
      </w:tr>
      <w:tr>
        <w:trPr>
          <w:trHeight w:val="426"/>
        </w:trPr>
        <w:tc>
          <w:tcPr>
            <w:tcW w:w="3800" w:type="dxa"/>
            <w:vAlign w:val="bottom"/>
          </w:tcPr>
          <w:p>
            <w:pPr>
              <w:spacing w:after="0"/>
              <w:rPr>
                <w:sz w:val="24"/>
                <w:szCs w:val="24"/>
                <w:color w:val="auto"/>
              </w:rPr>
            </w:pPr>
          </w:p>
        </w:tc>
        <w:tc>
          <w:tcPr>
            <w:tcW w:w="7620" w:type="dxa"/>
            <w:vAlign w:val="bottom"/>
          </w:tcPr>
          <w:p>
            <w:pPr>
              <w:ind w:left="2140"/>
              <w:spacing w:after="0"/>
              <w:rPr>
                <w:sz w:val="20"/>
                <w:szCs w:val="20"/>
                <w:color w:val="auto"/>
              </w:rPr>
            </w:pPr>
            <w:r>
              <w:rPr>
                <w:rFonts w:ascii="Arial" w:cs="Arial" w:eastAsia="Arial" w:hAnsi="Arial"/>
                <w:sz w:val="18"/>
                <w:szCs w:val="18"/>
                <w:color w:val="auto"/>
              </w:rPr>
              <w:t xml:space="preserve">•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w:t>
            </w:r>
          </w:p>
        </w:tc>
      </w:tr>
      <w:tr>
        <w:trPr>
          <w:trHeight w:val="216"/>
        </w:trPr>
        <w:tc>
          <w:tcPr>
            <w:tcW w:w="3800" w:type="dxa"/>
            <w:vAlign w:val="bottom"/>
          </w:tcPr>
          <w:p>
            <w:pPr>
              <w:spacing w:after="0"/>
              <w:rPr>
                <w:sz w:val="18"/>
                <w:szCs w:val="18"/>
                <w:color w:val="auto"/>
              </w:rPr>
            </w:pPr>
          </w:p>
        </w:tc>
        <w:tc>
          <w:tcPr>
            <w:tcW w:w="7620" w:type="dxa"/>
            <w:vAlign w:val="bottom"/>
          </w:tcPr>
          <w:p>
            <w:pPr>
              <w:ind w:left="2320"/>
              <w:spacing w:after="0"/>
              <w:rPr>
                <w:sz w:val="20"/>
                <w:szCs w:val="20"/>
                <w:color w:val="auto"/>
              </w:rPr>
            </w:pPr>
            <w:r>
              <w:rPr>
                <w:rFonts w:ascii="Arial" w:cs="Arial" w:eastAsia="Arial" w:hAnsi="Arial"/>
                <w:sz w:val="18"/>
                <w:szCs w:val="18"/>
                <w:color w:val="auto"/>
                <w:w w:val="95"/>
              </w:rPr>
              <w:t>indebtedness of Yield Operating LLC, including Yield Operating LLC's</w:t>
            </w:r>
          </w:p>
        </w:tc>
      </w:tr>
      <w:tr>
        <w:trPr>
          <w:trHeight w:val="222"/>
        </w:trPr>
        <w:tc>
          <w:tcPr>
            <w:tcW w:w="3800" w:type="dxa"/>
            <w:vAlign w:val="bottom"/>
          </w:tcPr>
          <w:p>
            <w:pPr>
              <w:spacing w:after="0"/>
              <w:rPr>
                <w:sz w:val="19"/>
                <w:szCs w:val="19"/>
                <w:color w:val="auto"/>
              </w:rPr>
            </w:pPr>
          </w:p>
        </w:tc>
        <w:tc>
          <w:tcPr>
            <w:tcW w:w="7620" w:type="dxa"/>
            <w:vAlign w:val="bottom"/>
          </w:tcPr>
          <w:p>
            <w:pPr>
              <w:ind w:left="2320"/>
              <w:spacing w:after="0"/>
              <w:rPr>
                <w:sz w:val="20"/>
                <w:szCs w:val="20"/>
                <w:color w:val="auto"/>
              </w:rPr>
            </w:pPr>
            <w:r>
              <w:rPr>
                <w:rFonts w:ascii="Arial" w:cs="Arial" w:eastAsia="Arial" w:hAnsi="Arial"/>
                <w:sz w:val="18"/>
                <w:szCs w:val="18"/>
                <w:color w:val="auto"/>
                <w:w w:val="96"/>
              </w:rPr>
              <w:t>indebtedness under the Revolving Credit Facility (as defined herein);</w:t>
            </w:r>
          </w:p>
        </w:tc>
      </w:tr>
      <w:tr>
        <w:trPr>
          <w:trHeight w:val="426"/>
        </w:trPr>
        <w:tc>
          <w:tcPr>
            <w:tcW w:w="3800" w:type="dxa"/>
            <w:vAlign w:val="bottom"/>
          </w:tcPr>
          <w:p>
            <w:pPr>
              <w:spacing w:after="0"/>
              <w:rPr>
                <w:sz w:val="24"/>
                <w:szCs w:val="24"/>
                <w:color w:val="auto"/>
              </w:rPr>
            </w:pPr>
          </w:p>
        </w:tc>
        <w:tc>
          <w:tcPr>
            <w:tcW w:w="7620" w:type="dxa"/>
            <w:vAlign w:val="bottom"/>
          </w:tcPr>
          <w:p>
            <w:pPr>
              <w:ind w:left="2140"/>
              <w:spacing w:after="0"/>
              <w:rPr>
                <w:sz w:val="20"/>
                <w:szCs w:val="20"/>
                <w:color w:val="auto"/>
              </w:rPr>
            </w:pPr>
            <w:r>
              <w:rPr>
                <w:rFonts w:ascii="Arial" w:cs="Arial" w:eastAsia="Arial" w:hAnsi="Arial"/>
                <w:sz w:val="18"/>
                <w:szCs w:val="18"/>
                <w:color w:val="auto"/>
                <w:w w:val="95"/>
              </w:rPr>
              <w:t>•  be senior in right of payment to any future subordinated indebtedness</w:t>
            </w:r>
          </w:p>
        </w:tc>
      </w:tr>
      <w:tr>
        <w:trPr>
          <w:trHeight w:val="222"/>
        </w:trPr>
        <w:tc>
          <w:tcPr>
            <w:tcW w:w="3800" w:type="dxa"/>
            <w:vAlign w:val="bottom"/>
          </w:tcPr>
          <w:p>
            <w:pPr>
              <w:spacing w:after="0"/>
              <w:rPr>
                <w:sz w:val="19"/>
                <w:szCs w:val="19"/>
                <w:color w:val="auto"/>
              </w:rPr>
            </w:pPr>
          </w:p>
        </w:tc>
        <w:tc>
          <w:tcPr>
            <w:tcW w:w="7620" w:type="dxa"/>
            <w:vAlign w:val="bottom"/>
          </w:tcPr>
          <w:p>
            <w:pPr>
              <w:ind w:left="2320"/>
              <w:spacing w:after="0"/>
              <w:rPr>
                <w:sz w:val="20"/>
                <w:szCs w:val="20"/>
                <w:color w:val="auto"/>
              </w:rPr>
            </w:pPr>
            <w:r>
              <w:rPr>
                <w:rFonts w:ascii="Arial" w:cs="Arial" w:eastAsia="Arial" w:hAnsi="Arial"/>
                <w:sz w:val="18"/>
                <w:szCs w:val="18"/>
                <w:color w:val="auto"/>
              </w:rPr>
              <w:t>of Yield Operating LLC; and</w:t>
            </w:r>
          </w:p>
        </w:tc>
      </w:tr>
      <w:tr>
        <w:trPr>
          <w:trHeight w:val="426"/>
        </w:trPr>
        <w:tc>
          <w:tcPr>
            <w:tcW w:w="3800" w:type="dxa"/>
            <w:vAlign w:val="bottom"/>
          </w:tcPr>
          <w:p>
            <w:pPr>
              <w:spacing w:after="0"/>
              <w:rPr>
                <w:sz w:val="24"/>
                <w:szCs w:val="24"/>
                <w:color w:val="auto"/>
              </w:rPr>
            </w:pPr>
          </w:p>
        </w:tc>
        <w:tc>
          <w:tcPr>
            <w:tcW w:w="7620" w:type="dxa"/>
            <w:vAlign w:val="bottom"/>
          </w:tcPr>
          <w:p>
            <w:pPr>
              <w:ind w:left="2140"/>
              <w:spacing w:after="0"/>
              <w:rPr>
                <w:sz w:val="20"/>
                <w:szCs w:val="20"/>
                <w:color w:val="auto"/>
              </w:rPr>
            </w:pPr>
            <w:r>
              <w:rPr>
                <w:rFonts w:ascii="Arial" w:cs="Arial" w:eastAsia="Arial" w:hAnsi="Arial"/>
                <w:sz w:val="18"/>
                <w:szCs w:val="18"/>
                <w:color w:val="auto"/>
              </w:rPr>
              <w:t>•  be guaranteed as described under "—Parent Guarantee" and "—</w:t>
            </w:r>
          </w:p>
        </w:tc>
      </w:tr>
      <w:tr>
        <w:trPr>
          <w:trHeight w:val="222"/>
        </w:trPr>
        <w:tc>
          <w:tcPr>
            <w:tcW w:w="3800" w:type="dxa"/>
            <w:vAlign w:val="bottom"/>
          </w:tcPr>
          <w:p>
            <w:pPr>
              <w:spacing w:after="0"/>
              <w:rPr>
                <w:sz w:val="19"/>
                <w:szCs w:val="19"/>
                <w:color w:val="auto"/>
              </w:rPr>
            </w:pPr>
          </w:p>
        </w:tc>
        <w:tc>
          <w:tcPr>
            <w:tcW w:w="7620" w:type="dxa"/>
            <w:vAlign w:val="bottom"/>
          </w:tcPr>
          <w:p>
            <w:pPr>
              <w:ind w:left="2320"/>
              <w:spacing w:after="0"/>
              <w:rPr>
                <w:sz w:val="20"/>
                <w:szCs w:val="20"/>
                <w:color w:val="auto"/>
              </w:rPr>
            </w:pPr>
            <w:r>
              <w:rPr>
                <w:rFonts w:ascii="Arial" w:cs="Arial" w:eastAsia="Arial" w:hAnsi="Arial"/>
                <w:sz w:val="18"/>
                <w:szCs w:val="18"/>
                <w:color w:val="auto"/>
              </w:rPr>
              <w:t>Subsidiary Guarantees".</w:t>
            </w:r>
          </w:p>
        </w:tc>
      </w:tr>
      <w:tr>
        <w:trPr>
          <w:trHeight w:val="444"/>
        </w:trPr>
        <w:tc>
          <w:tcPr>
            <w:tcW w:w="380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r>
        <w:trPr>
          <w:trHeight w:val="427"/>
        </w:trPr>
        <w:tc>
          <w:tcPr>
            <w:tcW w:w="3800" w:type="dxa"/>
            <w:vAlign w:val="bottom"/>
          </w:tcPr>
          <w:p>
            <w:pPr>
              <w:spacing w:after="0"/>
              <w:rPr>
                <w:sz w:val="24"/>
                <w:szCs w:val="24"/>
                <w:color w:val="auto"/>
              </w:rPr>
            </w:pPr>
          </w:p>
        </w:tc>
        <w:tc>
          <w:tcPr>
            <w:tcW w:w="7620" w:type="dxa"/>
            <w:vAlign w:val="bottom"/>
          </w:tcPr>
          <w:p>
            <w:pPr>
              <w:ind w:left="1820"/>
              <w:spacing w:after="0"/>
              <w:rPr>
                <w:sz w:val="20"/>
                <w:szCs w:val="20"/>
                <w:color w:val="auto"/>
              </w:rPr>
            </w:pPr>
            <w:r>
              <w:rPr>
                <w:rFonts w:ascii="Arial" w:cs="Arial" w:eastAsia="Arial" w:hAnsi="Arial"/>
                <w:sz w:val="18"/>
                <w:szCs w:val="18"/>
                <w:color w:val="auto"/>
              </w:rPr>
              <w:t>11</w:t>
            </w:r>
          </w:p>
        </w:tc>
      </w:tr>
      <w:tr>
        <w:trPr>
          <w:trHeight w:val="228"/>
        </w:trPr>
        <w:tc>
          <w:tcPr>
            <w:tcW w:w="3800" w:type="dxa"/>
            <w:vAlign w:val="bottom"/>
            <w:tcBorders>
              <w:bottom w:val="single" w:sz="8" w:color="808080"/>
            </w:tcBorders>
          </w:tcPr>
          <w:p>
            <w:pPr>
              <w:spacing w:after="0"/>
              <w:rPr>
                <w:sz w:val="19"/>
                <w:szCs w:val="19"/>
                <w:color w:val="auto"/>
              </w:rPr>
            </w:pPr>
          </w:p>
        </w:tc>
        <w:tc>
          <w:tcPr>
            <w:tcW w:w="7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800" w:type="dxa"/>
            <w:vAlign w:val="bottom"/>
            <w:tcBorders>
              <w:top w:val="single" w:sz="8" w:color="auto"/>
              <w:left w:val="single" w:sz="8" w:color="auto"/>
            </w:tcBorders>
          </w:tcPr>
          <w:p>
            <w:pPr>
              <w:spacing w:after="0"/>
              <w:rPr>
                <w:sz w:val="24"/>
                <w:szCs w:val="24"/>
                <w:color w:val="auto"/>
              </w:rPr>
            </w:pPr>
          </w:p>
        </w:tc>
        <w:tc>
          <w:tcPr>
            <w:tcW w:w="7620" w:type="dxa"/>
            <w:vAlign w:val="bottom"/>
            <w:tcBorders>
              <w:top w:val="single" w:sz="8" w:color="auto"/>
              <w:right w:val="single" w:sz="8" w:color="auto"/>
            </w:tcBorders>
          </w:tcPr>
          <w:p>
            <w:pPr>
              <w:ind w:left="2140"/>
              <w:spacing w:after="0"/>
              <w:rPr>
                <w:sz w:val="20"/>
                <w:szCs w:val="20"/>
                <w:color w:val="auto"/>
              </w:rPr>
            </w:pPr>
            <w:r>
              <w:rPr>
                <w:rFonts w:ascii="Arial" w:cs="Arial" w:eastAsia="Arial" w:hAnsi="Arial"/>
                <w:sz w:val="18"/>
                <w:szCs w:val="18"/>
                <w:color w:val="auto"/>
                <w:w w:val="98"/>
              </w:rPr>
              <w:t>The Exchange Notes will be effectively subordinated to all borrowings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w w:val="95"/>
              </w:rPr>
              <w:t>under the Revolving Credit Facility, which is secured by substantially all</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w w:val="93"/>
              </w:rPr>
              <w:t>of the assets of Yield Operating LLC and the guarantors of the Exchange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w w:val="90"/>
              </w:rPr>
              <w:t>Notes, and any other secured indebtedness (including any secured hedging</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w w:val="99"/>
              </w:rPr>
              <w:t>obligations) of Yield Operating LLC or the guarantors of the notes, in</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w w:val="90"/>
              </w:rPr>
              <w:t>each case to the extent of the value of the assets that secure the Revolving</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w w:val="95"/>
              </w:rPr>
              <w:t>Credit Facility or such other secured indebtedness. See "Risk Factors—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w w:val="97"/>
              </w:rPr>
              <w:t>Risks related to the notes—In the event of a bankruptcy or insolvency,</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w w:val="96"/>
              </w:rPr>
              <w:t>holders of our secured indebtedness and other secured obligations will</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w w:val="92"/>
              </w:rPr>
              <w:t>have a prior secured claim to any collateral securing such indebtedness or</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rPr>
              <w:t>other obligations."</w:t>
            </w:r>
          </w:p>
        </w:tc>
      </w:tr>
      <w:tr>
        <w:trPr>
          <w:trHeight w:val="426"/>
        </w:trPr>
        <w:tc>
          <w:tcPr>
            <w:tcW w:w="380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Parent Guarantee</w:t>
            </w: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rPr>
              <w:t>The Exchange Notes will be guaranteed by Yield LLC, Yield</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w w:val="97"/>
              </w:rPr>
              <w:t>Operating LLC's parent company (the "Parent Guarantor"). The parent</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rPr>
              <w:t>guarantee of the Exchange Notes will:</w:t>
            </w:r>
          </w:p>
        </w:tc>
      </w:tr>
      <w:tr>
        <w:trPr>
          <w:trHeight w:val="432"/>
        </w:trPr>
        <w:tc>
          <w:tcPr>
            <w:tcW w:w="38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rPr>
              <w:t>•  be a general unsecured obligation of the Parent Guarantor;</w:t>
            </w:r>
          </w:p>
        </w:tc>
      </w:tr>
      <w:tr>
        <w:trPr>
          <w:trHeight w:val="426"/>
        </w:trPr>
        <w:tc>
          <w:tcPr>
            <w:tcW w:w="38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rPr>
              <w:t xml:space="preserve">•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w w:val="92"/>
              </w:rPr>
              <w:t>indebtedness of the Parent Guarantor, including the Parent Guarantor's</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guarantee under the Revolving Credit Facility; and</w:t>
            </w:r>
          </w:p>
        </w:tc>
      </w:tr>
      <w:tr>
        <w:trPr>
          <w:trHeight w:val="426"/>
        </w:trPr>
        <w:tc>
          <w:tcPr>
            <w:tcW w:w="38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w w:val="95"/>
              </w:rPr>
              <w:t>•  be senior in right of payment to any future subordinated indebtedness</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of the Parent Guarantor.</w:t>
            </w:r>
          </w:p>
        </w:tc>
      </w:tr>
      <w:tr>
        <w:trPr>
          <w:trHeight w:val="426"/>
        </w:trPr>
        <w:tc>
          <w:tcPr>
            <w:tcW w:w="38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rPr>
              <w:t>The Parent Guarantor's guarantee of the Exchange Notes will be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w w:val="96"/>
              </w:rPr>
              <w:t>effectively subordinated to the Parent Guarantor's guarantee under the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rPr>
              <w:t>Revolving Credit Facility and any other secured indebtedness of the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w w:val="92"/>
              </w:rPr>
              <w:t>Parent Guarantor (including any hedging obligations), in each case, to the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w w:val="95"/>
              </w:rPr>
              <w:t>extent of the value of the assets of the Parent Guarantor that secure the</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rPr>
              <w:t>Revolving Credit Facility or such other secured indebtedness.</w:t>
            </w:r>
          </w:p>
        </w:tc>
      </w:tr>
      <w:tr>
        <w:trPr>
          <w:trHeight w:val="426"/>
        </w:trPr>
        <w:tc>
          <w:tcPr>
            <w:tcW w:w="380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Subsidiary Guarantees</w:t>
            </w: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w w:val="92"/>
              </w:rPr>
              <w:t>In addition to the guarantee by the Parent Guarantor, the Exchange Notes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w w:val="98"/>
              </w:rPr>
              <w:t>will be guaranteed on a joint and several basis by each wholly-owned</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rPr>
              <w:t>subsidiary of Yield Operating LLC that guarantees any obligations of</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rPr>
              <w:t>Yield Operating LLC under the Revolving Credit Facility or any other</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w w:val="92"/>
              </w:rPr>
              <w:t>material indebtedness of Yield Operating LLC. Each subsidiary guarantee</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rPr>
              <w:t>of the notes will:</w:t>
            </w:r>
          </w:p>
        </w:tc>
      </w:tr>
      <w:tr>
        <w:trPr>
          <w:trHeight w:val="432"/>
        </w:trPr>
        <w:tc>
          <w:tcPr>
            <w:tcW w:w="38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rPr>
              <w:t>•  be a general unsecured obligation of that subsidiary guarantor;</w:t>
            </w:r>
          </w:p>
        </w:tc>
      </w:tr>
      <w:tr>
        <w:trPr>
          <w:trHeight w:val="426"/>
        </w:trPr>
        <w:tc>
          <w:tcPr>
            <w:tcW w:w="38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rPr>
              <w:t xml:space="preserve">•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w w:val="99"/>
              </w:rPr>
              <w:t>indebtedness of that subsidiary guarantor, including the subsidiary</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guarantor's guarantee under the Revolving Credit Facility; and</w:t>
            </w:r>
          </w:p>
        </w:tc>
      </w:tr>
      <w:tr>
        <w:trPr>
          <w:trHeight w:val="426"/>
        </w:trPr>
        <w:tc>
          <w:tcPr>
            <w:tcW w:w="38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w w:val="95"/>
              </w:rPr>
              <w:t>•  be senior in right of payment to any future subordinated indebtedness</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2320"/>
              <w:spacing w:after="0"/>
              <w:rPr>
                <w:sz w:val="20"/>
                <w:szCs w:val="20"/>
                <w:color w:val="auto"/>
              </w:rPr>
            </w:pPr>
            <w:r>
              <w:rPr>
                <w:rFonts w:ascii="Arial" w:cs="Arial" w:eastAsia="Arial" w:hAnsi="Arial"/>
                <w:sz w:val="18"/>
                <w:szCs w:val="18"/>
                <w:color w:val="auto"/>
              </w:rPr>
              <w:t>of that subsidiary guarantor.</w:t>
            </w:r>
          </w:p>
        </w:tc>
      </w:tr>
      <w:tr>
        <w:trPr>
          <w:trHeight w:val="444"/>
        </w:trPr>
        <w:tc>
          <w:tcPr>
            <w:tcW w:w="3800" w:type="dxa"/>
            <w:vAlign w:val="bottom"/>
            <w:tcBorders>
              <w:left w:val="single" w:sz="8" w:color="auto"/>
              <w:bottom w:val="single" w:sz="8" w:color="auto"/>
            </w:tcBorders>
          </w:tcPr>
          <w:p>
            <w:pPr>
              <w:spacing w:after="0"/>
              <w:rPr>
                <w:sz w:val="24"/>
                <w:szCs w:val="24"/>
                <w:color w:val="auto"/>
              </w:rPr>
            </w:pPr>
          </w:p>
        </w:tc>
        <w:tc>
          <w:tcPr>
            <w:tcW w:w="7620" w:type="dxa"/>
            <w:vAlign w:val="bottom"/>
            <w:tcBorders>
              <w:bottom w:val="single" w:sz="8" w:color="auto"/>
              <w:right w:val="single" w:sz="8" w:color="auto"/>
            </w:tcBorders>
          </w:tcPr>
          <w:p>
            <w:pPr>
              <w:spacing w:after="0"/>
              <w:rPr>
                <w:sz w:val="24"/>
                <w:szCs w:val="24"/>
                <w:color w:val="auto"/>
              </w:rPr>
            </w:pPr>
          </w:p>
        </w:tc>
      </w:tr>
      <w:tr>
        <w:trPr>
          <w:trHeight w:val="427"/>
        </w:trPr>
        <w:tc>
          <w:tcPr>
            <w:tcW w:w="3800" w:type="dxa"/>
            <w:vAlign w:val="bottom"/>
          </w:tcPr>
          <w:p>
            <w:pPr>
              <w:spacing w:after="0"/>
              <w:rPr>
                <w:sz w:val="24"/>
                <w:szCs w:val="24"/>
                <w:color w:val="auto"/>
              </w:rPr>
            </w:pPr>
          </w:p>
        </w:tc>
        <w:tc>
          <w:tcPr>
            <w:tcW w:w="7620" w:type="dxa"/>
            <w:vAlign w:val="bottom"/>
          </w:tcPr>
          <w:p>
            <w:pPr>
              <w:ind w:left="1820"/>
              <w:spacing w:after="0"/>
              <w:rPr>
                <w:sz w:val="20"/>
                <w:szCs w:val="20"/>
                <w:color w:val="auto"/>
              </w:rPr>
            </w:pPr>
            <w:r>
              <w:rPr>
                <w:rFonts w:ascii="Arial" w:cs="Arial" w:eastAsia="Arial" w:hAnsi="Arial"/>
                <w:sz w:val="18"/>
                <w:szCs w:val="18"/>
                <w:color w:val="auto"/>
              </w:rPr>
              <w:t>12</w:t>
            </w:r>
          </w:p>
        </w:tc>
      </w:tr>
      <w:tr>
        <w:trPr>
          <w:trHeight w:val="228"/>
        </w:trPr>
        <w:tc>
          <w:tcPr>
            <w:tcW w:w="3800" w:type="dxa"/>
            <w:vAlign w:val="bottom"/>
            <w:tcBorders>
              <w:bottom w:val="single" w:sz="8" w:color="808080"/>
            </w:tcBorders>
          </w:tcPr>
          <w:p>
            <w:pPr>
              <w:spacing w:after="0"/>
              <w:rPr>
                <w:sz w:val="19"/>
                <w:szCs w:val="19"/>
                <w:color w:val="auto"/>
              </w:rPr>
            </w:pPr>
          </w:p>
        </w:tc>
        <w:tc>
          <w:tcPr>
            <w:tcW w:w="7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720" w:type="dxa"/>
            <w:vAlign w:val="bottom"/>
            <w:tcBorders>
              <w:top w:val="single" w:sz="8" w:color="auto"/>
              <w:left w:val="single" w:sz="8" w:color="auto"/>
            </w:tcBorders>
          </w:tcPr>
          <w:p>
            <w:pPr>
              <w:spacing w:after="0"/>
              <w:rPr>
                <w:sz w:val="24"/>
                <w:szCs w:val="24"/>
                <w:color w:val="auto"/>
              </w:rPr>
            </w:pPr>
          </w:p>
        </w:tc>
        <w:tc>
          <w:tcPr>
            <w:tcW w:w="770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color w:val="auto"/>
                <w:w w:val="98"/>
              </w:rPr>
              <w:t>Each subsidiary guarantor's guarantee of the Exchange Notes will be</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5"/>
              </w:rPr>
              <w:t>effectively subordinated to such subsidiary guarantor's guarantee under</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3"/>
              </w:rPr>
              <w:t>the Revolving Credit Facility and any other secured indebtedness of such</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3"/>
              </w:rPr>
              <w:t>subsidiary guarantor (including any hedging obligations), in each case, to</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8"/>
              </w:rPr>
              <w:t>the extent of the value of the assets of such subsidiary guarantor that</w:t>
            </w:r>
          </w:p>
        </w:tc>
      </w:tr>
      <w:tr>
        <w:trPr>
          <w:trHeight w:val="222"/>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2"/>
              </w:rPr>
              <w:t>secures the Revolving Credit Facility or such other secured indebtedness.</w:t>
            </w:r>
          </w:p>
        </w:tc>
      </w:tr>
      <w:tr>
        <w:trPr>
          <w:trHeight w:val="426"/>
        </w:trPr>
        <w:tc>
          <w:tcPr>
            <w:tcW w:w="37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9"/>
              </w:rPr>
              <w:t>Our operations are primarily conducted through our subsidiaries and,</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3"/>
              </w:rPr>
              <w:t>therefore, we will depend on the cash flow of our subsidiaries to meet our</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4"/>
              </w:rPr>
              <w:t>obligations under the notes. Not all of our subsidiaries will guarantee the</w:t>
            </w:r>
          </w:p>
        </w:tc>
      </w:tr>
      <w:tr>
        <w:trPr>
          <w:trHeight w:val="222"/>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rPr>
              <w:t>Exchange Notes.</w:t>
            </w:r>
          </w:p>
        </w:tc>
      </w:tr>
      <w:tr>
        <w:trPr>
          <w:trHeight w:val="426"/>
        </w:trPr>
        <w:tc>
          <w:tcPr>
            <w:tcW w:w="37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4"/>
              </w:rPr>
              <w:t>The Exchange Notes will be structurally subordinated in right of payment</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rPr>
              <w:t>to all indebtedness and other liabilities and commitments of our non-</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rPr>
              <w:t>guarantor subsidiaries. The subsidiary guarantors accounted for</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rPr>
              <w:t>approximately 2% and 2% of Yield Operating LLC's revenues from</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0"/>
              </w:rPr>
              <w:t>operations for the year period ended December 31, 2016 and three months</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rPr>
              <w:t>ended March 31, 2017, respectively. The subsidiary guarantors held</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3"/>
              </w:rPr>
              <w:t>approximately 10% and 9% of Yield Operating LLC's consolidated assets</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rPr>
              <w:t>as of December 31, 2016 and March 31, 2017, respectively. As of</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9"/>
              </w:rPr>
              <w:t>December 31, 2016 and March 31, 2017, Yield Operating LLC's non-</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rPr>
              <w:t>guarantor subsidiaries had approximately $4,388 million and</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4"/>
              </w:rPr>
              <w:t>$4,347 million, respectively in aggregate principal amount of non-current</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8"/>
              </w:rPr>
              <w:t>liabilities and outstanding trade payables of approximately $18 million</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8"/>
              </w:rPr>
              <w:t>and $25 million, respectively. See "Risk Factors—Risks related to the</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3"/>
              </w:rPr>
              <w:t>notes—We may not have access to the cash flow and other assets of our</w:t>
            </w:r>
          </w:p>
        </w:tc>
      </w:tr>
      <w:tr>
        <w:trPr>
          <w:trHeight w:val="222"/>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rPr>
              <w:t>subsidiaries that may be needed to make payment on the notes."</w:t>
            </w:r>
          </w:p>
        </w:tc>
      </w:tr>
      <w:tr>
        <w:trPr>
          <w:trHeight w:val="426"/>
        </w:trPr>
        <w:tc>
          <w:tcPr>
            <w:tcW w:w="37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Optional redemption</w:t>
            </w: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2"/>
              </w:rPr>
              <w:t>Prior to September 15, 2019, we may redeem up to 35% of the notes with</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1"/>
              </w:rPr>
              <w:t>an amount equal to the net cash proceeds of certain equity offerings at the</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rPr>
              <w:t>redemption price listed in the "Description of the Notes—Optional</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2"/>
              </w:rPr>
              <w:t>Redemption" section of this prospectus, plus accrued and unpaid interest;</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i w:val="1"/>
                <w:iCs w:val="1"/>
                <w:color w:val="auto"/>
                <w:w w:val="99"/>
              </w:rPr>
              <w:t xml:space="preserve">provided </w:t>
            </w:r>
            <w:r>
              <w:rPr>
                <w:rFonts w:ascii="Arial" w:cs="Arial" w:eastAsia="Arial" w:hAnsi="Arial"/>
                <w:sz w:val="18"/>
                <w:szCs w:val="18"/>
                <w:color w:val="auto"/>
                <w:w w:val="99"/>
              </w:rPr>
              <w:t>at least 65% of the aggregate principal amount of the notes</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2"/>
              </w:rPr>
              <w:t>remain outstanding after the redemption and the redemption occurs within</w:t>
            </w:r>
          </w:p>
        </w:tc>
      </w:tr>
      <w:tr>
        <w:trPr>
          <w:trHeight w:val="222"/>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rPr>
              <w:t>90 days of such equity offering.</w:t>
            </w:r>
          </w:p>
        </w:tc>
      </w:tr>
      <w:tr>
        <w:trPr>
          <w:trHeight w:val="426"/>
        </w:trPr>
        <w:tc>
          <w:tcPr>
            <w:tcW w:w="37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rPr>
              <w:t>We may redeem some or all of the notes at any time prior to</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5"/>
              </w:rPr>
              <w:t>September 15, 2021 at a price equal to 100% of the principal amount of</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rPr>
              <w:t>the notes redeemed plus a "make-whole" premium and accrued and</w:t>
            </w:r>
          </w:p>
        </w:tc>
      </w:tr>
      <w:tr>
        <w:trPr>
          <w:trHeight w:val="222"/>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rPr>
              <w:t>unpaid interest.</w:t>
            </w:r>
          </w:p>
        </w:tc>
      </w:tr>
      <w:tr>
        <w:trPr>
          <w:trHeight w:val="426"/>
        </w:trPr>
        <w:tc>
          <w:tcPr>
            <w:tcW w:w="37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3"/>
              </w:rPr>
              <w:t>On or after September 15, 2021, we may redeem some or all of the notes</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4"/>
              </w:rPr>
              <w:t>at the redemption prices listed in the "Description of the Notes—Optional</w:t>
            </w:r>
          </w:p>
        </w:tc>
      </w:tr>
      <w:tr>
        <w:trPr>
          <w:trHeight w:val="222"/>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2220"/>
              <w:spacing w:after="0"/>
              <w:rPr>
                <w:sz w:val="20"/>
                <w:szCs w:val="20"/>
                <w:color w:val="auto"/>
              </w:rPr>
            </w:pPr>
            <w:r>
              <w:rPr>
                <w:rFonts w:ascii="Arial" w:cs="Arial" w:eastAsia="Arial" w:hAnsi="Arial"/>
                <w:sz w:val="18"/>
                <w:szCs w:val="18"/>
                <w:color w:val="auto"/>
                <w:w w:val="92"/>
              </w:rPr>
              <w:t>Redemption" section of this prospectus, plus accrued and unpaid interest.</w:t>
            </w:r>
          </w:p>
        </w:tc>
      </w:tr>
      <w:tr>
        <w:trPr>
          <w:trHeight w:val="444"/>
        </w:trPr>
        <w:tc>
          <w:tcPr>
            <w:tcW w:w="3720" w:type="dxa"/>
            <w:vAlign w:val="bottom"/>
            <w:tcBorders>
              <w:left w:val="single" w:sz="8" w:color="auto"/>
              <w:bottom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427"/>
        </w:trPr>
        <w:tc>
          <w:tcPr>
            <w:tcW w:w="3720" w:type="dxa"/>
            <w:vAlign w:val="bottom"/>
          </w:tcPr>
          <w:p>
            <w:pPr>
              <w:spacing w:after="0"/>
              <w:rPr>
                <w:sz w:val="24"/>
                <w:szCs w:val="24"/>
                <w:color w:val="auto"/>
              </w:rPr>
            </w:pPr>
          </w:p>
        </w:tc>
        <w:tc>
          <w:tcPr>
            <w:tcW w:w="7700" w:type="dxa"/>
            <w:vAlign w:val="bottom"/>
          </w:tcPr>
          <w:p>
            <w:pPr>
              <w:ind w:left="1900"/>
              <w:spacing w:after="0"/>
              <w:rPr>
                <w:sz w:val="20"/>
                <w:szCs w:val="20"/>
                <w:color w:val="auto"/>
              </w:rPr>
            </w:pPr>
            <w:r>
              <w:rPr>
                <w:rFonts w:ascii="Arial" w:cs="Arial" w:eastAsia="Arial" w:hAnsi="Arial"/>
                <w:sz w:val="18"/>
                <w:szCs w:val="18"/>
                <w:color w:val="auto"/>
              </w:rPr>
              <w:t>13</w:t>
            </w:r>
          </w:p>
        </w:tc>
      </w:tr>
      <w:tr>
        <w:trPr>
          <w:trHeight w:val="228"/>
        </w:trPr>
        <w:tc>
          <w:tcPr>
            <w:tcW w:w="3720" w:type="dxa"/>
            <w:vAlign w:val="bottom"/>
            <w:tcBorders>
              <w:bottom w:val="single" w:sz="8" w:color="808080"/>
            </w:tcBorders>
          </w:tcPr>
          <w:p>
            <w:pPr>
              <w:spacing w:after="0"/>
              <w:rPr>
                <w:sz w:val="19"/>
                <w:szCs w:val="19"/>
                <w:color w:val="auto"/>
              </w:rPr>
            </w:pPr>
          </w:p>
        </w:tc>
        <w:tc>
          <w:tcPr>
            <w:tcW w:w="7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84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b w:val="1"/>
                <w:bCs w:val="1"/>
                <w:color w:val="auto"/>
              </w:rPr>
              <w:t>Change of control offer</w:t>
            </w:r>
          </w:p>
        </w:tc>
        <w:tc>
          <w:tcPr>
            <w:tcW w:w="7580" w:type="dxa"/>
            <w:vAlign w:val="bottom"/>
            <w:tcBorders>
              <w:top w:val="single" w:sz="8" w:color="auto"/>
              <w:right w:val="single" w:sz="8" w:color="auto"/>
            </w:tcBorders>
          </w:tcPr>
          <w:p>
            <w:pPr>
              <w:ind w:left="2100"/>
              <w:spacing w:after="0"/>
              <w:rPr>
                <w:sz w:val="20"/>
                <w:szCs w:val="20"/>
                <w:color w:val="auto"/>
              </w:rPr>
            </w:pPr>
            <w:r>
              <w:rPr>
                <w:rFonts w:ascii="Arial" w:cs="Arial" w:eastAsia="Arial" w:hAnsi="Arial"/>
                <w:sz w:val="18"/>
                <w:szCs w:val="18"/>
                <w:color w:val="auto"/>
              </w:rPr>
              <w:t>If a change of control triggering event occurs, subject to certain</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1"/>
              </w:rPr>
              <w:t>conditions, we must offer to repurchase the notes at a price equal to 101%</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5"/>
              </w:rPr>
              <w:t>of the principal amount of the notes, plus accrued and unpaid interest to</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2"/>
              </w:rPr>
              <w:t>the date of repurchase. See "Description of the Notes—Repurchase at the</w:t>
            </w:r>
          </w:p>
        </w:tc>
      </w:tr>
      <w:tr>
        <w:trPr>
          <w:trHeight w:val="222"/>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option of holders—Change of control triggering event."</w:t>
            </w:r>
          </w:p>
        </w:tc>
      </w:tr>
      <w:tr>
        <w:trPr>
          <w:trHeight w:val="426"/>
        </w:trPr>
        <w:tc>
          <w:tcPr>
            <w:tcW w:w="38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Covenants</w:t>
            </w: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We have agreed to certain restrictions on incurring liens to secure</w:t>
            </w:r>
          </w:p>
        </w:tc>
      </w:tr>
      <w:tr>
        <w:trPr>
          <w:trHeight w:val="222"/>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indebtedness. See "Description of the Notes—Certain Covenants."</w:t>
            </w:r>
          </w:p>
        </w:tc>
      </w:tr>
      <w:tr>
        <w:trPr>
          <w:trHeight w:val="426"/>
        </w:trPr>
        <w:tc>
          <w:tcPr>
            <w:tcW w:w="38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Events of default</w:t>
            </w: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4"/>
              </w:rPr>
              <w:t>For a discussion of events that will permit acceleration of the payment of</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3"/>
              </w:rPr>
              <w:t>the principal of and accrued interest on the Notes, see "Description of the</w:t>
            </w:r>
          </w:p>
        </w:tc>
      </w:tr>
      <w:tr>
        <w:trPr>
          <w:trHeight w:val="222"/>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Notes—Events of default and remedies."</w:t>
            </w:r>
          </w:p>
        </w:tc>
      </w:tr>
      <w:tr>
        <w:trPr>
          <w:trHeight w:val="426"/>
        </w:trPr>
        <w:tc>
          <w:tcPr>
            <w:tcW w:w="38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No prior market</w:t>
            </w: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3"/>
              </w:rPr>
              <w:t>The Exchange Notes will be new securities for which there is currently no</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9"/>
              </w:rPr>
              <w:t>market. We cannot assure you as to the liquidity of markets that may</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4"/>
              </w:rPr>
              <w:t>develop for the Exchange Notes, your ability to sell the notes or the price</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6"/>
              </w:rPr>
              <w:t>at which you would be able to sell the notes. See "Risk Factors—Risks</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5"/>
              </w:rPr>
              <w:t>related to the notes—Your ability to transfer the notes may be limited by</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0"/>
              </w:rPr>
              <w:t>the absence of an active trading market, and there is no assurance that any</w:t>
            </w:r>
          </w:p>
        </w:tc>
      </w:tr>
      <w:tr>
        <w:trPr>
          <w:trHeight w:val="222"/>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active market will develop for the notes."</w:t>
            </w:r>
          </w:p>
        </w:tc>
      </w:tr>
      <w:tr>
        <w:trPr>
          <w:trHeight w:val="432"/>
        </w:trPr>
        <w:tc>
          <w:tcPr>
            <w:tcW w:w="38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Listing</w:t>
            </w: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4"/>
              </w:rPr>
              <w:t>We do not intend to list the Exchange Notes on any securities exchange.</w:t>
            </w:r>
          </w:p>
        </w:tc>
      </w:tr>
      <w:tr>
        <w:trPr>
          <w:trHeight w:val="426"/>
        </w:trPr>
        <w:tc>
          <w:tcPr>
            <w:tcW w:w="38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Use of proceeds</w:t>
            </w: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9"/>
              </w:rPr>
              <w:t>We will not receive any proceeds from the issuance of the Exchange</w:t>
            </w:r>
          </w:p>
        </w:tc>
      </w:tr>
      <w:tr>
        <w:trPr>
          <w:trHeight w:val="222"/>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Notes. See "Use of Proceeds."</w:t>
            </w:r>
          </w:p>
        </w:tc>
      </w:tr>
      <w:tr>
        <w:trPr>
          <w:trHeight w:val="426"/>
        </w:trPr>
        <w:tc>
          <w:tcPr>
            <w:tcW w:w="38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Form and denomination</w:t>
            </w: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The Exchange Notes will be delivered in fully-registered form. The</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Exchange Notes will be represented by one or more global notes,</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6"/>
              </w:rPr>
              <w:t>deposited with the trustee as a custodian for DTC and registered in the</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7"/>
              </w:rPr>
              <w:t>name of Cede &amp; Co., DTC's nominee. Beneficial interests in the global</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6"/>
              </w:rPr>
              <w:t>notes will be shown on, and any transfers will be effective only through,</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3"/>
              </w:rPr>
              <w:t>records maintained by DTC and its participants. The Exchange Notes will</w:t>
            </w:r>
          </w:p>
        </w:tc>
      </w:tr>
      <w:tr>
        <w:trPr>
          <w:trHeight w:val="222"/>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7"/>
              </w:rPr>
              <w:t>be issued in denominations of $2,000 and integral multiples of $1,000.</w:t>
            </w:r>
          </w:p>
        </w:tc>
      </w:tr>
      <w:tr>
        <w:trPr>
          <w:trHeight w:val="426"/>
        </w:trPr>
        <w:tc>
          <w:tcPr>
            <w:tcW w:w="38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Governing law</w:t>
            </w: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6"/>
              </w:rPr>
              <w:t>The Exchange Notes and the indenture governing the Exchange Notes</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7"/>
              </w:rPr>
              <w:t>will be governed by, and construed in accordance with, the laws of the</w:t>
            </w:r>
          </w:p>
        </w:tc>
      </w:tr>
      <w:tr>
        <w:trPr>
          <w:trHeight w:val="222"/>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State of New York.</w:t>
            </w:r>
          </w:p>
        </w:tc>
      </w:tr>
      <w:tr>
        <w:trPr>
          <w:trHeight w:val="426"/>
        </w:trPr>
        <w:tc>
          <w:tcPr>
            <w:tcW w:w="38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Trustee</w:t>
            </w: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w w:val="95"/>
              </w:rPr>
              <w:t>Delaware Trust Company (successor in interest to Law Debenture Trust</w:t>
            </w:r>
          </w:p>
        </w:tc>
      </w:tr>
      <w:tr>
        <w:trPr>
          <w:trHeight w:val="222"/>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Company of New York), as trustee.</w:t>
            </w:r>
          </w:p>
        </w:tc>
      </w:tr>
      <w:tr>
        <w:trPr>
          <w:trHeight w:val="228"/>
        </w:trPr>
        <w:tc>
          <w:tcPr>
            <w:tcW w:w="3840" w:type="dxa"/>
            <w:vAlign w:val="bottom"/>
            <w:tcBorders>
              <w:left w:val="single" w:sz="8" w:color="auto"/>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r>
      <w:tr>
        <w:trPr>
          <w:trHeight w:val="427"/>
        </w:trPr>
        <w:tc>
          <w:tcPr>
            <w:tcW w:w="3840" w:type="dxa"/>
            <w:vAlign w:val="bottom"/>
          </w:tcPr>
          <w:p>
            <w:pPr>
              <w:spacing w:after="0"/>
              <w:rPr>
                <w:sz w:val="24"/>
                <w:szCs w:val="24"/>
                <w:color w:val="auto"/>
              </w:rPr>
            </w:pPr>
          </w:p>
        </w:tc>
        <w:tc>
          <w:tcPr>
            <w:tcW w:w="7580" w:type="dxa"/>
            <w:vAlign w:val="bottom"/>
          </w:tcPr>
          <w:p>
            <w:pPr>
              <w:ind w:left="1780"/>
              <w:spacing w:after="0"/>
              <w:rPr>
                <w:sz w:val="20"/>
                <w:szCs w:val="20"/>
                <w:color w:val="auto"/>
              </w:rPr>
            </w:pPr>
            <w:r>
              <w:rPr>
                <w:rFonts w:ascii="Arial" w:cs="Arial" w:eastAsia="Arial" w:hAnsi="Arial"/>
                <w:sz w:val="18"/>
                <w:szCs w:val="18"/>
                <w:color w:val="auto"/>
              </w:rPr>
              <w:t>14</w:t>
            </w:r>
          </w:p>
        </w:tc>
      </w:tr>
      <w:tr>
        <w:trPr>
          <w:trHeight w:val="228"/>
        </w:trPr>
        <w:tc>
          <w:tcPr>
            <w:tcW w:w="3840" w:type="dxa"/>
            <w:vAlign w:val="bottom"/>
            <w:tcBorders>
              <w:bottom w:val="single" w:sz="8" w:color="808080"/>
            </w:tcBorders>
          </w:tcPr>
          <w:p>
            <w:pPr>
              <w:spacing w:after="0"/>
              <w:rPr>
                <w:sz w:val="19"/>
                <w:szCs w:val="19"/>
                <w:color w:val="auto"/>
              </w:rPr>
            </w:pPr>
          </w:p>
        </w:tc>
        <w:tc>
          <w:tcPr>
            <w:tcW w:w="7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You should carefully consider the risk factors set forth below and the risk factors incorporated into this prospectus by reference to our 2016 Form 10-K as well as the other information contained in and incorporated by reference into this prospectus before deciding to participate in this exchange offer. The selected risks described below and the risks that are incorporated into this prospectus by reference to our 2016 Form 10-K are not our only risks. Additional risks and uncertainties not currently known to us or those we currently view to be immaterial also may materially and adversely affect our business, financial condition or results of operations. Any of the following risks or any of the risks described in our 2016 Form 10-K could materially and adversely affect our business, financial condition, operating results or cash flow. In such a case, the trading price of the notes could decline, or we may not be able to make payments of interest and principal on the notes, and you may lose all or part of your original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 downgrades could adversely affect the trading price of the notes.</w:t>
      </w:r>
    </w:p>
    <w:p>
      <w:pPr>
        <w:spacing w:after="0" w:line="225" w:lineRule="exact"/>
        <w:rPr>
          <w:sz w:val="20"/>
          <w:szCs w:val="20"/>
          <w:color w:val="auto"/>
        </w:rPr>
      </w:pPr>
    </w:p>
    <w:p>
      <w:pPr>
        <w:ind w:right="680" w:firstLine="348"/>
        <w:spacing w:after="0" w:line="332" w:lineRule="auto"/>
        <w:rPr>
          <w:sz w:val="20"/>
          <w:szCs w:val="20"/>
          <w:color w:val="auto"/>
        </w:rPr>
      </w:pPr>
      <w:r>
        <w:rPr>
          <w:rFonts w:ascii="Arial" w:cs="Arial" w:eastAsia="Arial" w:hAnsi="Arial"/>
          <w:sz w:val="16"/>
          <w:szCs w:val="16"/>
          <w:color w:val="auto"/>
        </w:rPr>
        <w:t>The trading price for the notes may be affected by our credit rating. Credit ratings are continually revised. Any downgrade in our credit rating could adversely affect the trading prices of the notes or the trading markets for the notes to the extent the trading markets for the notes develop.</w:t>
      </w:r>
    </w:p>
    <w:p>
      <w:pPr>
        <w:spacing w:after="0" w:line="13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Despite current indebtedness levels, we may still be able to incur substantially more debt. This could increase the risks associated with our already substantial leverage.</w:t>
      </w:r>
    </w:p>
    <w:p>
      <w:pPr>
        <w:spacing w:after="0" w:line="186"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may be able to incur substantial additional indebtedness in the future. The terms of the indenture governing the notes offered hereby and other indentures relating to outstanding indebtedness restrict our ability to do so, but we retain the ability to incur material amounts of additional indebtedness. If new indebtedness is added to our current indebtedness levels, the related risks that we now face could increase. See "Description of Certain Other Indebtedness."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 service our indebtedness, we will require a significant amount of cash. Our ability to generate cash depends on many factors beyond our control.</w:t>
      </w:r>
    </w:p>
    <w:p>
      <w:pPr>
        <w:spacing w:after="0" w:line="248"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Our ability to make payments on and to refinance our indebtedness, including these notes, and to fund planned capital expenditures depends on our ability to generate cash in the future. This, to a significant extent, is subject to general economic, financial, competitive, legislative, tax, regulatory, environmental and other factors that are beyond our control.</w:t>
      </w:r>
    </w:p>
    <w:p>
      <w:pPr>
        <w:spacing w:after="0" w:line="19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Based on our current level of operations and anticipated cost savings and operating improvements, we believe our cash flow from operations, available cash and available borrowings under our Revolving Credit Facility, will be adequate to meet our future liquidity needs for at least the next twelve months.</w:t>
      </w:r>
    </w:p>
    <w:p>
      <w:pPr>
        <w:spacing w:after="0" w:line="13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cannot assure you, however, that our business will generate sufficient cash flow from operations, that currently anticipated cost savings and operating improvements will be realized on schedule or at all or that future borrowings will be available to us under our Revolving Credit Facility in an amount sufficient to enable us to pay our indebtedness, including the notes offered hereby, or to fund our other liquidity needs. We may need to refinance all or a portion of our indebtedness, including the notes offered hereby on or before maturity. We cannot assure you that we will be able to refinance any of our indebtedness on commercially reasonable terms or at all.</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In the event of a bankruptcy or insolvency, holders of our secured indebtedness and other secured obligations will have a prior secured claim to any collateral securing such indebtedness or other obligations.</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Holders of our secured indebtedness and other secured obligations will have a prior secured claim to any collateral securing such indebtedness or other obligations. Holders of our secured indebtedness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and the secured indebtedness of the guarantors will have claims that are prior to your claims as holders of the notes to the extent of the value of the assets securing that other indebtedness. Our Revolving Credit Facility is secured by first priority liens on substantially all of our assets and the assets of the guarantors. We have granted first and second priority liens on substantially all of our assets to secure our obligations under certain long-term power and gas hedges as well as interest rate hedges. In the event of any distribution or payment of our assets in any foreclosure, dissolution, winding-up, liquidation, reorganization or other bankruptcy proceeding, holders of secured indebtedness will have prior claims to those of our assets that constitute their collateral. Holders of the notes will participate ratably in our remaining assets with all holders of our unsecured indebtedness that is deemed to be of the same class as the notes, and potentially with all our other general creditors, based upon the respective amounts owed to each holder or creditor. In any of the foregoing events, we cannot assure you that there will be sufficient assets to pay amounts due on the notes. As a result, holders of notes may receive less, ratably, than holders of secured indebtedness.</w:t>
      </w:r>
    </w:p>
    <w:p>
      <w:pPr>
        <w:spacing w:after="0" w:line="172"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Your right to receive payments on these notes could be adversely affected if any of our non-guarantor subsidiaries declare bankruptcy, liquidate or reorganize.</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Some, but not all, of our subsidiaries will guarantee the notes. In the event of a bankruptcy, liquidation or reorganization of any of our non-guarantor subsidiaries, holders of their indebtedness and their trade creditors will generally be entitled to payment of their claims from the assets of those subsidiaries before any assets are made available for distribution to us. As of March 31, 2017, we had approximately $4,568 million of project-level debt which was incurred by our non-guarantor subsidiaries. In addition, our share of our unconsolidated affiliates' total indebtedness and letters of credit outstanding, as of March 31, 2017, totaled approximately $592 million and $88 million, respectively (calculated as our unconsolidated affiliates' total indebtedness as of such date multiplied by our percentage membership interest in such assets). We also had $454 million of letters of credit outstanding to support contracted obligations at our project-level entities as of March 31, 2017. In addition, the indenture governing the notes will permit us, subject to certain covenant limitations, to provide credit support for the obligations of the non-guarantor subsidiaries and such credit support may be effectively senior to our obligations under the notes. Further, the indenture governing the notes will allow us to transfer assets, including certain specified facilities, to the non-guarantor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access to the cash flow and other assets of our subsidiaries that may be needed to make payment on the notes.</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Much of our business is conducted through our subsidiaries. Although certain of our subsidiaries will guarantee the notes, some of our subsidiaries will not become guarantors and thus will not be obligated to make funds available to us for payment on the notes. Our ability to make payments on the notes will be dependent on the earnings and the distribution of funds from subsidiaries, some of which are non-guarantors. Our subsidiaries will be permitted under the terms of the indenture to incur additional indebtedness that may restrict or prohibit the making of distributions, the payment of dividends or the making of loans by such subsidiaries to us. We cannot assure you that the agreements governing the current and future indebtedness of our subsidiaries will permit our subsidiaries to provide us with sufficient dividends, distributions or loans to fund payments on the notes when due. Furthermore, certain of our subsidiaries and affiliates are already subject to project financing. Such entities will not guarantee our obligations on the notes. The debt agreements of these subsidiaries and project affiliates generally restrict their ability to pay dividends, make distributions or otherwise transfer funds to us.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the ability to raise the funds necessary to finance the change of control offer required by the indenture governing the notes.</w:t>
      </w:r>
    </w:p>
    <w:p>
      <w:pPr>
        <w:spacing w:after="0" w:line="24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Upon the occurrence of certain specific kinds of change of control events, we will be required to offer to repurchase all outstanding notes at 101% of the principal amount thereof plus accrued and unpaid interest, if any, to the date of repurchase. However, it is possible that we will not have sufficient funds at the time of a change of control to make the required repurchase of notes and/or that restrictions in our Revolving Credit Facility or other senior indebtedness will not allow such repurchases. In addition, certain important corporate events, such as leveraged recapitalizations that would increase the level of our indebtedness, would not constitute a "Change of Control" under the indenture. See "Description of the Notes—Repurchase at the Option of Holders."</w:t>
      </w:r>
    </w:p>
    <w:p>
      <w:pPr>
        <w:spacing w:after="0" w:line="17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void guarantees and require note holders to return payments received from guarantors.</w:t>
      </w:r>
    </w:p>
    <w:p>
      <w:pPr>
        <w:spacing w:after="0" w:line="186"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Under the federal bankruptcy law and comparable provisions of state fraudulent transfer laws, a guarantee can be voided, or claims in respect of a guarantee can be subordinated to all other debts of that guarantor if, among other things, the guarantor, at the time it incurred the indebtedness evidenced by its guarantee:</w:t>
      </w:r>
    </w:p>
    <w:p>
      <w:pPr>
        <w:spacing w:after="0" w:line="130"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the incurrence of such guarantee;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the guarantor's remaining assets constituted unreasonably small capital;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any payment by that guarantor pursuant to its guarantee can be voided and required to be returned to the guarantor, or to a fund for the benefit of the creditors of the guarantor.</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will be considered insolvent if:</w:t>
      </w:r>
    </w:p>
    <w:p>
      <w:pPr>
        <w:spacing w:after="0" w:line="213"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is greater than the fair saleable value of all of its assets; or</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present fair saleable value of its assets is less than the amount that would be required to pay its probable liability on its existing debts, including contingent liabilities, as they become absolute and mature;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cannot pay its debts as they become due.</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 the basis of historical financial information, recent operating history and other factors, we believe that each guarantor, after giving effect to its guarantee of the notes, will not be insolvent, will not have unreasonably small capital for the business in which it is engaged and will not have incurred debts beyond its ability to pay such debts as they mature. We cannot assure you, however, as to what standard a court would apply in making these determinations or that a court would agree with our conclusions in this regard.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Your ability to transfer the notes may be limited by the absence of an active trading market, and there is no assurance that any active trading market will develop for the notes.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Exchange Notes will be registered under the Securities Act, but will constitute a new issue of securities for which there is no established trading market.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do not intend to have the notes listed on a national securities exchange or included in any automated quotation system.</w:t>
      </w:r>
    </w:p>
    <w:p>
      <w:pPr>
        <w:spacing w:after="0" w:line="219"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liquidity of any market for the notes will depend upon the number of holders of the notes, our performance, the market for similar securities, the interest in securities dealers making a market in the notes and other factors. Therefore, we cannot assure you that an active market for the notes or exchange notes will develop or, if developed, that it will continue. If an active market does not develop or is not maintained, the price and liquidity of the notes will be adversely affected.</w:t>
      </w:r>
    </w:p>
    <w:p>
      <w:pPr>
        <w:spacing w:after="0" w:line="197"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Historically, the market for non investment-grade debt has been subject to disruptions that have caused substantial volatility in the prices of securities similar to the notes. We cannot assure you that the market, if any, for the notes will be free from similar disruptions or that any such disruptions may not adversely affect the prices at which you may sell your notes.</w:t>
      </w:r>
    </w:p>
    <w:p>
      <w:pPr>
        <w:spacing w:after="0" w:line="194"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We offered the Old Notes in reliance upon an exemption from registration under the Securities Act and applicable state securities laws. Therefore, the Old Notes may be transferred or resold only in a transaction registered under or exempt from the Securities Act and applicable state securities laws. We are conducting the exchange offer pursuant to an effective registration statement, whereby we are offering to exchange the Old Notes for nearly identical notes that you will be able to trade without registration under the Securities Act provided you are not one of our affiliates. We cannot assure you that this exchange offer will be conducted in a timely fashion. Moreover, we cannot assure you that an active or liquid trading market for the Exchange Notes will develop. See "Exchange Offer."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Old Notes who fail to exchange their Old Notes in the exchange offer will continue to be subject to restrictions on transfer.</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you do not exchange your Old Notes for Exchange Notes in the exchange offer, you will continue to be subject to the restrictions on transfer applicable to the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 are registered under the Securities Act and applicable state securities laws, or offered and sold under an exemption from these requirements. We do not plan to register the Old Notes under the Securities Act. For further information regarding the consequences of tendering your Old Notes in the exchange offer, see the discussion under the caption "Exchange Offer—Consequences of failure to exchange."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comply with the exchange offer procedures in order to receive new, freely tradable Exchange Notes.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Delivery of Exchange Notes in exchange for Old Notes tendered and accepted for exchange pursuant to the exchange offer will be made only after timely receipt by the exchange agent of the following:</w:t>
      </w:r>
    </w:p>
    <w:p>
      <w:pPr>
        <w:spacing w:after="0" w:line="199" w:lineRule="exact"/>
        <w:rPr>
          <w:sz w:val="20"/>
          <w:szCs w:val="20"/>
          <w:color w:val="auto"/>
        </w:rPr>
      </w:pPr>
    </w:p>
    <w:p>
      <w:pPr>
        <w:ind w:left="1080" w:right="220" w:hanging="532"/>
        <w:spacing w:after="0" w:line="370"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certificates for outstanding notes or a book-entry confirmation of a book-entry transfer of outstanding notes into the exchange agent's account at DTC, as depository, including an agent's message, as defined in this prospectus, if the tendering holder does not deliver a letter of transmittal;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complete and signed letter of transmittal, or facsimile copy, with any required signature guarantees, or, in the case of a book-entry transfer, an agent's message in place of the letter of transmittal;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Therefore, holders of Old Notes who would like to tender Old Notes in exchange for Exchange Notes should allow enough time for the necessary documents to be timely received by the exchange agent. We are not required to notify you of defects or irregularities in tenders of Old Notes for exchange. Exchange Notes that are not tendered or that are tendered but we do not accept for exchange will, following consummation of the exchange offer, continue to be subject to the existing transfer restrictions under the Securities Act and, upon consummation of the exchange offer, certain registration and other rights under the Registration Rights Agreement will terminate. See "Exchange Offer—Procedures for tendering Old Notes through brokers and banks" and "Exchange Offer—Consequences of failure to exchange."</w:t>
      </w:r>
    </w:p>
    <w:p>
      <w:pPr>
        <w:spacing w:after="0" w:line="17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186"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Exchange Notes, you may be deemed to have received restricted securities and, if so, will be required to comply with the registration and prospectus delivery requirements of the Securities Act in connection with any resale transaction.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Exchange Notes.</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Exchange Notes have no established trading market and will not be listed on any securities exchange. The initial purchasers are not obligated to make a market in the Exchange Notes. The liquidity of any market for the exchange notes will depend upon various factors, including:</w:t>
      </w:r>
    </w:p>
    <w:p>
      <w:pPr>
        <w:spacing w:after="0" w:line="153"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holders of the exchange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Exchange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overall market for high yield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financial performance or prospects;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Accordingly, we cannot assure you that a market or liquidity will develop for the Exchange Notes.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prospectus, including the information incorporated into this prospectus by reference, contains "forward-looking statements," which involve risks and uncertainties. All statements, other than statements of historical facts, that are included in or incorporated by reference into this prospectus, or made in presentations, in response to questions or otherwise,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"will likely result," "are expected to," "will continue," "is anticipated," "estimated," "projection," "target," "goal," "objective" and "outlook"), are forward-looking statements. Although we believe that in making any such forward-looking statement our expectations are based on reasonable assumptions, any such forward-looking statement involves uncertainties and is qualified in its entirety by reference to the discussion of risk factors under "Risk Factors" contained elsewhere in this prospectus, the section captioned "Risk Factors Related to the Company's Business" of our 2016 Form 10-K, which is incorporated in this prospectus by reference, and the following important factors, among others, that could cause our actual results to differ materially from those projected in such forward-looking statement:</w:t>
      </w:r>
    </w:p>
    <w:p>
      <w:pPr>
        <w:spacing w:after="0" w:line="195"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and grow our quarterly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identify, evaluate and consummate acquisitions from third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acquire assets from NRG;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raise additional capital due to our indebtedness, corporate structure, market conditions or otherwise;</w:t>
      </w:r>
    </w:p>
    <w:p>
      <w:pPr>
        <w:spacing w:after="0" w:line="252"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183"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and ability of counterparties to our offtake agreements to fulfill their obligations under such agreements;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enter into contracts to sell power and procure fuel on acceptable terms and prices as current offtake agreements expire;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252"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and financial restrictions placed on us that are contained in the project-level debt facilities and other agreements of certain subsidiaries and project-level subsidiaries generally, in our Revolving Credit Facility and in our indentures governing the notes and the 2024 Senior Notes (as defined herein);</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we may not have adequate insurance to cover losses resulting from such hazards or the inability of our insurers to provide coverage;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ability to engage in successful mergers and acquisitions activity; and</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borrow additional funds and access capital markets, as well as our substantial indebtedness and the possibility that we may incur additional indebtedness going forward.</w:t>
      </w:r>
    </w:p>
    <w:p>
      <w:pPr>
        <w:spacing w:after="0" w:line="186"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Forward-looking statements speak only as of the date on which they were made, and except as may be required by applicable law, we undertake no obligation to update any forward-looking statement to reflect events or circumstances after the date on which it is made or to reflect the occurrence of unanticipated events. The foregoing review of factors that could cause our actual results to differ materially from those contemplated in any forward looking statements included in this prospectus should not be construed as exhaustive. New factors emerge from time to time, and it is not possible for us to predict all of them; nor can we assess the impact of each such factor or the extent to which any factor, or combination of factors, may cause results to differ materially from those contained in any forward-looking statement. You should not unduly rely on such forward-looking statements.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exchange offer is designed to provide holders of Old Notes with an opportunity to acquire Exchange Notes which, unlike the Old Notes, will be freely transferable at all times, subject to any restrictions on transfer imposed by state "blue sky" laws and provided that the holder is not our affiliate within the meaning of the Securities Act and represents that the Exchange Notes are being acquired in the ordinary course of the holder's business and the holder is not engaged in, and does not intend to engage in, a distribution of the Exchange Notes.</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Old Notes were originally issued and sold on August 18, 2016, to the initial purchasers, pursuant to the purchase agreement dated August 15, 2016. The Old Notes were issued and sold in a transaction not registered under the Securities Act in reliance upon the exemption provided by Section 4(2) of the Securities Act. The concurrent resale of the Old Notes by the initial purchasers to investors was done in reliance upon the exemptions provided by Rule 144A and Regulation S promulgated under the Securities Act. The Old Notes may not be reoffered, resold or transferred other than (i) to us or our subsidiaries, (ii) to a qualified institutional buyer in compliance with Rule 144A promulgated under the Securities Act, (iii) outside the United States to a non-U.S. person in a transaction complying with Rule 903 or Rule 904 of Regulation S under the Securities Act, (iv) pursuant to the exemption from registration provided by Rule 144 promulgated under the Securities Act (if available), (v) in accordance with another exemption from the registration requirements of the Securities Act or (vi) pursuant to an effective registration statement under the Securities Act.</w:t>
      </w:r>
    </w:p>
    <w:p>
      <w:pPr>
        <w:spacing w:after="0" w:line="172"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connection with the original issuance and sale of the Old Notes, we entered into the Registration Rights Agreement, pursuant to which we agreed to file with the SEC a registration statement covering the exchange by us of the Exchange Notes for the Old Notes, pursuant to the exchange offer. The Registration Rights Agreement provides that we will file with the SEC an exchange offer registration statement on an appropriate form under the Securities Act and offer to holders of Old Notes who are able to make certain representations the opportunity to exchange their Old Notes for Exchange Notes. Under some circumstances, holders of the Old Notes, including holders who are not permitted to participate in the exchange offer, may require us to file, and to cause to become effective, a shelf registration statement covering resales of Old Notes to these holders.</w:t>
      </w:r>
    </w:p>
    <w:p>
      <w:pPr>
        <w:spacing w:after="0" w:line="17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Under existing interpretations by the Staff of the SEC as set forth in no-action letters issued to third parties in other transactions, the Exchange Notes would, in general, be freely transferable after the exchange offer without further registration under the Securities Act; provided, however, that in the case of broker-dealers participating in the exchange offer, a prospectus meeting the requirements of the Securities Act must be delivered by such broker-dealers in connection with resales of the Exchange Notes. We have agreed to furnish a prospectus meeting the requirements of the Securities Act to any such broker-dealer for use in connection with any resale of any Exchange Notes acquired in the exchange offer. A broker-dealer that delivers such a prospectus to purchasers in connection with such resales will be subject to certain of the civil liability provisions under the Securities Act and will be bound by the provisions of the Registration Rights Agreement (including certain indemnification rights and obligations).</w:t>
      </w:r>
    </w:p>
    <w:p>
      <w:pPr>
        <w:spacing w:after="0" w:line="172"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do not intend to seek our own interpretation regarding the exchange offer, and we cannot assure you that the Staff of the SEC would make a similar determination with respect to the Exchange Notes as it has in other interpretations to third parties.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outstanding Old Notes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Upon the terms and subject to the conditions set forth in this prospectus, we will accept any and all Old Notes that were acquired pursuant to Rule 144A or Regulation S validly tendered and not withdrawn prior to 12:00 midnight, New York City time, on the expiration date of the exchange offer. We will issue $1,000 principal amount of Exchange Notes in exchange for each $1,000 principal amount of Old Notes accepted in the exchange offer. We will issue the Exchange Notes promptly after expiration of the exchange offer.</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Holders may tender some or all of their Old Notes pursuant to the exchange offer. However, Old Notes may be tendered only in minimum principal amounts of $2,000 and integral multiples of $1,000 in excess thereof.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form and terms of the Exchange Notes are the same as the form and terms of the outstanding Old Notes except that:</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Exchange Notes will be registered under the Securities Act and will not have legends restricting their transfer; and</w:t>
      </w:r>
    </w:p>
    <w:p>
      <w:pPr>
        <w:spacing w:after="0" w:line="252" w:lineRule="exact"/>
        <w:rPr>
          <w:rFonts w:ascii="Arial" w:cs="Arial" w:eastAsia="Arial" w:hAnsi="Arial"/>
          <w:sz w:val="18"/>
          <w:szCs w:val="18"/>
          <w:color w:val="auto"/>
        </w:rPr>
      </w:pPr>
    </w:p>
    <w:p>
      <w:pPr>
        <w:ind w:left="360" w:right="920" w:firstLine="188"/>
        <w:spacing w:after="0" w:line="601" w:lineRule="auto"/>
        <w:tabs>
          <w:tab w:leader="none" w:pos="1092"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Exchange Notes will not contain the registration rights and liquidated damages provisions contained in the outstanding Old Notes. The Exchange Notes will evidence the same debt as the Old Notes and will be entitled to the benefits of the indenture governing the Old Notes.</w:t>
      </w:r>
    </w:p>
    <w:p>
      <w:pPr>
        <w:ind w:left="360"/>
        <w:spacing w:after="0"/>
        <w:rPr>
          <w:rFonts w:ascii="Arial" w:cs="Arial" w:eastAsia="Arial" w:hAnsi="Arial"/>
          <w:sz w:val="15"/>
          <w:szCs w:val="15"/>
          <w:color w:val="auto"/>
        </w:rPr>
      </w:pPr>
      <w:r>
        <w:rPr>
          <w:rFonts w:ascii="Arial" w:cs="Arial" w:eastAsia="Arial" w:hAnsi="Arial"/>
          <w:sz w:val="16"/>
          <w:szCs w:val="16"/>
          <w:color w:val="auto"/>
        </w:rPr>
        <w:t>We intend to conduct the exchange offer in accordance with the applicable requirements of the Exchange Act, and the rules and regulations of the SEC.</w:t>
      </w:r>
    </w:p>
    <w:p>
      <w:pPr>
        <w:spacing w:after="0" w:line="248"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We will be deemed to have accepted validly tendered Old Notes when, as and if we have given oral (promptly confirmed in writing) or written notice of our acceptance to the exchange agent. The exchange agent will act as agent for the tendering holders for the purpose of receiving the Exchange Notes from us.</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any tendered Old Notes are not accepted for exchange because of an invalid tender or the occurrence of certain specified events set forth in this prospectus, the certificates for any unaccepted Old Notes will be promptly returned, without expense, to the tendering holder.</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Holders who tender Old Notes in the exchange offer will not be required to pay brokerage commissions or fees or transfer taxes with respect to the exchange of Old Notes pursuant to the exchange offer. We will pay all charges and expenses, other than transfer taxes in certain circumstances, in connection with the exchange offer. See "—Fees and expenses" and "—Transfer taxes" below.</w:t>
      </w:r>
    </w:p>
    <w:p>
      <w:pPr>
        <w:spacing w:after="0" w:line="194"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exchange offer will remain open for at least 20 full business days. The term "expiration date" will mean 12:00 midnight, New York City time, on June 23, 2017, unless we extend the exchange offer, in which case the term "expiration date" will mean the latest date and time to which the exchange offer is extended.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 extend the exchange offer, prior to 9:00 a.m., New York City time, on the next business day after the previously scheduled expiration date, we will:</w:t>
      </w:r>
    </w:p>
    <w:p>
      <w:pPr>
        <w:spacing w:after="0" w:line="262"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notify the exchange agent of any extension by oral notice (promptly confirmed in writing) or written notice, and</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mail to the registered holders an announcement of any extension, and issue a notice by press release or other public announcement before such expiration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reserve the right:</w:t>
      </w:r>
    </w:p>
    <w:p>
      <w:pPr>
        <w:spacing w:after="0" w:line="239" w:lineRule="exact"/>
        <w:rPr>
          <w:sz w:val="20"/>
          <w:szCs w:val="20"/>
          <w:color w:val="auto"/>
        </w:rPr>
      </w:pPr>
    </w:p>
    <w:p>
      <w:pPr>
        <w:ind w:left="1080" w:right="38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any of the conditions below under the heading "Conditions to the Exchange Offer" shall have not been satisfied, to delay accepting any Old Notes in connection with the extension of the exchange offer, to extend the exchange offer, or to terminate the exchange offer, or</w:t>
      </w:r>
    </w:p>
    <w:p>
      <w:pPr>
        <w:spacing w:after="0" w:line="166" w:lineRule="exact"/>
        <w:rPr>
          <w:rFonts w:ascii="Arial" w:cs="Arial" w:eastAsia="Arial" w:hAnsi="Arial"/>
          <w:sz w:val="16"/>
          <w:szCs w:val="16"/>
          <w:color w:val="auto"/>
        </w:rPr>
      </w:pPr>
    </w:p>
    <w:p>
      <w:pPr>
        <w:ind w:left="1080" w:right="360" w:hanging="532"/>
        <w:spacing w:after="0" w:line="294"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amend the terms of the exchange offer in any manner, provided however, that if we amend the exchange offer to make a material change, including the waiver of a material condition, we will extend the exchange offer, if necessary, to keep the exchange offer open for at least five business days after such amendment or waiver; provided further, that if we amend the exchange offer to change the percentage of Notes being exchanged or the consideration being offered, we will extend the exchange offer, if necessary, to keep the exchange offer open for at least ten business days after such amendment or waiver.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delay in acceptance, extension, termination or amendment will be followed promptly by oral or written notice by us to the registered holders.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representations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participate in the exchange offer, we require that you represent to us, among other things, that:</w:t>
      </w:r>
    </w:p>
    <w:p>
      <w:pPr>
        <w:spacing w:after="0" w:line="239" w:lineRule="exact"/>
        <w:rPr>
          <w:sz w:val="20"/>
          <w:szCs w:val="20"/>
          <w:color w:val="auto"/>
        </w:rPr>
      </w:pPr>
    </w:p>
    <w:p>
      <w:pPr>
        <w:ind w:left="1080" w:right="2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either you or any other person acquiring Exchange Notes in exchange for your Old Notes in the exchange offer is acquiring them in the ordinary course of business;</w:t>
      </w:r>
    </w:p>
    <w:p>
      <w:pPr>
        <w:spacing w:after="0" w:line="199"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you nor any other person acquiring Exchange Notes for your Old Notes in the exchange offer is engaging in or intends to engage in (or entered into any arrangement or understanding with any person to participate in) a distribution of the Exchange Notes within the meaning of the federal securities laws;</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you nor any other person acquiring Exchange Notes for your Old Notes in the exchange offer is our "affiliate" as defined under Rule 405 of the Securities Act;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are not a broker-dealer tendering Old Notes directly acquired from us for your own account;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you or another person acquiring Exchange Notes in exchange for Old Notes in the exchange offer is a broker dealer: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Old Notes to be exchanged for Exchange Notes were acquired as a result of market-making activities or other trading activities;</w:t>
      </w:r>
    </w:p>
    <w:p>
      <w:pPr>
        <w:spacing w:after="0" w:line="261" w:lineRule="exact"/>
        <w:rPr>
          <w:rFonts w:ascii="Arial" w:cs="Arial" w:eastAsia="Arial" w:hAnsi="Arial"/>
          <w:sz w:val="16"/>
          <w:szCs w:val="16"/>
          <w:color w:val="auto"/>
        </w:rPr>
      </w:pPr>
    </w:p>
    <w:p>
      <w:pPr>
        <w:ind w:left="1620" w:right="140" w:hanging="532"/>
        <w:spacing w:after="0" w:line="268"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neither you nor any other person acquiring Exchange Notes for your Old Notes in the exchange offer has entered into any arrangement or understanding with the Issuer or an affiliate of the Issuer to distribute the Exchange Notes; and</w:t>
      </w:r>
    </w:p>
    <w:p>
      <w:pPr>
        <w:spacing w:after="0" w:line="199" w:lineRule="exact"/>
        <w:rPr>
          <w:rFonts w:ascii="Arial" w:cs="Arial" w:eastAsia="Arial" w:hAnsi="Arial"/>
          <w:sz w:val="18"/>
          <w:szCs w:val="18"/>
          <w:color w:val="auto"/>
        </w:rPr>
      </w:pPr>
    </w:p>
    <w:p>
      <w:pPr>
        <w:ind w:left="1620" w:right="180" w:hanging="532"/>
        <w:spacing w:after="0" w:line="306"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either you or such other person acquiring Exchange Notes for your Old Notes in the exchange offer will deliver a prospectus meeting the requirements of the Securities Act in connection with any resale of such Exchange Notes (by so representing and by delivering a prospectus, a broker-dealer will not be deemed to admit that it is an "underwriter" within the meaning of the Securities Act); and</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are not acting on behalf of any person or entity that could not truthfully make those representations.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BY TENDERING YOUR OLD NOTES YOU ARE DEEMED TO HAVE MADE THESE REPRESENTATIONS.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Broker-dealers who cannot make the representations above cannot use this exchange offer prospectus in connection with resales of the Exchange Notes issued in the exchange offer.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Exchange Notes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Based on interpretations of the SEC Staff set forth in no-action letters issued to unrelated third parties, we believe that Exchange Notes issued in the exchange offer in exchange for Old Notes may be offered for resale, resold and otherwise transferred by any Exchange Note holder without compliance with the registration and prospectus delivery provisions of the Securities Act, if:</w:t>
      </w:r>
    </w:p>
    <w:p>
      <w:pPr>
        <w:spacing w:after="0" w:line="208"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holder is not an "affiliate" of ours within the meaning of Rule 405 under the Securities Act;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Exchange Notes are acquired in the ordinary course of the holder's business;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 does not intend to participate in the distribution of such Exchange Notes.</w:t>
      </w:r>
    </w:p>
    <w:p>
      <w:pPr>
        <w:spacing w:after="0" w:line="225"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Any holder who tenders in the exchange offer with the intention of participating in any manner in a distribution of the Exchange Notes, who is an affiliate of ours or who is a broker or dealer who acquired Old Notes directly from us:</w:t>
      </w:r>
    </w:p>
    <w:p>
      <w:pPr>
        <w:spacing w:after="0" w:line="19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cannot rely on the position of the Staff of the SEC set forth in "Exxon Capital Holdings Corporation" or similar interpretive letters;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 secondary resale transaction.</w:t>
      </w:r>
    </w:p>
    <w:p>
      <w:pPr>
        <w:spacing w:after="0" w:line="24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as stated above, a holder cannot rely on the position of the Staff of the SEC set forth in "Exxon Capital Holdings Corporation" or similar interpretive letters, any effective registration statement used in connection with a secondary resale transaction must contain the selling security holder information required by Item 507 of Regulation S-K under the Securities Act.</w:t>
      </w:r>
    </w:p>
    <w:p>
      <w:pPr>
        <w:spacing w:after="0" w:line="19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With regard to broker-dealers, only broker-dealers that acquired the Old Notes as a result of market-making activities or other trading activities may participate in the exchange offer. Each broker-dealer that receives Exchange Notes for its own account in exchange for Old Notes, where such Old Notes were acquired by such broker-dealer as a result of market-making activities or other trading activities, must acknowledge that it will deliver a prospectus in connection with any resale of the Exchange Notes.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may be used for an offer to resell, for the resale or for other retransfer of Exchange Notes only as specifically set forth in this prospectus.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read the section captioned "Plan of Distribution" for more details regarding these procedures for the transfer of Exchange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 through brokers and banks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Since the Old Notes are represented by global book-entry notes, DTC, as depositary, or its nominee is treated as the registered holder of the Old Notes and will be the only entity that can tender your Old Notes for Exchange Notes. Therefore, to tender Old Notes subject to this exchange offer and to obtain Exchange Notes, you must instruct the institution where you keep your Old Notes to tender your Old Notes on your behalf so that they are received on or prior to the expiration of this exchange offer.</w:t>
      </w:r>
    </w:p>
    <w:p>
      <w:pPr>
        <w:spacing w:after="0" w:line="191"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YOU SHOULD CONSULT YOUR ACCOUNT REPRESENTATIVE AT THE BROKER OR BANK WHERE YOU KEEP YOUR OLD NOTES TO DETERMINE THE PREFERRED PROCEDURE.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339" w:lineRule="auto"/>
        <w:rPr>
          <w:sz w:val="20"/>
          <w:szCs w:val="20"/>
          <w:color w:val="auto"/>
        </w:rPr>
      </w:pPr>
      <w:r>
        <w:rPr>
          <w:rFonts w:ascii="Arial" w:cs="Arial" w:eastAsia="Arial" w:hAnsi="Arial"/>
          <w:sz w:val="16"/>
          <w:szCs w:val="16"/>
          <w:b w:val="1"/>
          <w:bCs w:val="1"/>
          <w:color w:val="auto"/>
        </w:rPr>
        <w:t>IF YOU WISH TO ACCEPT THIS EXCHANGE OFFER, PLEASE INSTRUCT YOUR BROKER OR ACCOUNT REPRESENTATIVE IN TIME FOR YOUR OLD NOTES TO BE TENDERED BEFORE THE 12:00 MIDNIGHT (NEW YORK CITY TIME) DEADLINE ON JUNE 23, 2017.</w:t>
      </w:r>
    </w:p>
    <w:p>
      <w:pPr>
        <w:spacing w:after="0" w:line="134" w:lineRule="exact"/>
        <w:rPr>
          <w:sz w:val="20"/>
          <w:szCs w:val="20"/>
          <w:color w:val="auto"/>
        </w:rPr>
      </w:pPr>
    </w:p>
    <w:p>
      <w:pPr>
        <w:ind w:right="400" w:firstLine="345"/>
        <w:spacing w:after="0" w:line="268" w:lineRule="auto"/>
        <w:rPr>
          <w:sz w:val="20"/>
          <w:szCs w:val="20"/>
          <w:color w:val="auto"/>
        </w:rPr>
      </w:pPr>
      <w:r>
        <w:rPr>
          <w:rFonts w:ascii="Arial" w:cs="Arial" w:eastAsia="Arial" w:hAnsi="Arial"/>
          <w:sz w:val="18"/>
          <w:szCs w:val="18"/>
          <w:color w:val="auto"/>
        </w:rPr>
        <w:t>You may tender some or all of your Old Notes in this exchange offer. However, your Old Notes may be tendered only in minimum principal amounts of $2,000 and integral multiples of $1,000 in excess thereof.</w:t>
      </w:r>
    </w:p>
    <w:p>
      <w:pPr>
        <w:spacing w:after="0" w:line="186" w:lineRule="exact"/>
        <w:rPr>
          <w:sz w:val="20"/>
          <w:szCs w:val="20"/>
          <w:color w:val="auto"/>
        </w:rPr>
      </w:pPr>
    </w:p>
    <w:p>
      <w:pPr>
        <w:ind w:right="820" w:firstLine="348"/>
        <w:spacing w:after="0" w:line="268" w:lineRule="auto"/>
        <w:rPr>
          <w:sz w:val="20"/>
          <w:szCs w:val="20"/>
          <w:color w:val="auto"/>
        </w:rPr>
      </w:pPr>
      <w:r>
        <w:rPr>
          <w:rFonts w:ascii="Arial" w:cs="Arial" w:eastAsia="Arial" w:hAnsi="Arial"/>
          <w:sz w:val="18"/>
          <w:szCs w:val="18"/>
          <w:color w:val="auto"/>
        </w:rPr>
        <w:t>When you tender your outstanding Old Notes and we accept them, the tender will be a binding agreement between you and us as described in this prospectus.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method of delivery of outstanding Old Notes and all other required documents to the exchange agent is at your election and risk.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decide all questions about the validity, form, eligibility, acceptance and withdrawal of tendered Old Notes. We reserve the absolute right to:</w:t>
      </w:r>
    </w:p>
    <w:p>
      <w:pPr>
        <w:spacing w:after="0" w:line="262"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reject any and all tenders of any particular Old Note not properly tendered;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refuse to accept any Old Note if, in our reasonable judgment or the judgment of our counsel, the acceptance would be unlawful;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waive any defects or irregularities or conditions of the exchange offer as to any particular Old Notes before the expiration of the offer.</w:t>
      </w:r>
    </w:p>
    <w:p>
      <w:pPr>
        <w:spacing w:after="0" w:line="248"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interpretation of the terms and conditions of the exchange offer will be final and binding on all parties. You must cure any defects or irregularities in connection with tenders of Old Notes as we will reasonably determine. Neither us, the exchange agent nor any other person will incur any liability for failure to notify you of any defect or irregularity with respect to your tender of Old Notes. If we waive any terms or conditions with respect to a noteholder, we will extend the same waiver to all noteholders with respect to that term or condition being waived.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brokers and custodian banks; DTC ATOP accounts</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order to accept this exchange offer on behalf of a holder of Old Notes you must submit or cause your DTC participant to submit an Agent's Message as described below.</w:t>
      </w:r>
    </w:p>
    <w:p>
      <w:pPr>
        <w:spacing w:after="0" w:line="186"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exchange agent, on our behalf, will seek to establish separate Automated Tender Offer Program ("ATOP") accounts with respect to each series of outstanding Old Notes at DTC promptly after the delivery of this prospectus. Any financial institution that is a DTC participant, including your broker or bank, may make book-entry tender of outstanding Old Notes by causing the book- entry transfer of such Old Notes into the relevant ATOP account in accordance with DTC's procedures for such transfers. Although delivery of the Old Notes may be effected through book-entry transfer into the exchange agent's account at DTC, unless an Agent's Message is received by the exchange agent in compliance with ATOP procedures, an appropriate letter of transmittal properly completed and duly executed with any required signature guarantee and all other required documents must in each case be transmitted to and received or confirmed by the exchange agent at its address set forth in this prospectus prior to 12:00 midnight, New York City time on to the expiration date. The confirmation of a book entry transfer into the ATOP account as described above is referred to herein as a "Book-Entry Confirmation."</w:t>
      </w:r>
    </w:p>
    <w:p>
      <w:pPr>
        <w:spacing w:after="0" w:line="172"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term "Agent's Message" means a message transmitted by the DTC participants to DTC, and thereafter transmitted by DTC to the exchange agent, forming a part of the Book-Entry Confirmation which states that DTC has received an express acknowledgment from the participant in DTC described in such Agent's Message stating that such participant has received the letter of transmittal and this prospectus and agrees to be bound by the terms of the letter of transmittal and the exchange offer set forth in this prospectus and that we may enforce such agreement against the participant.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Agent's Message must include the following information:</w:t>
      </w:r>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 of the beneficial owner tendering such Old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Account number of the beneficial owner tendering such Old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Principal amount of Old Notes tendered by such beneficial owner; and</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confirmation that the beneficial holder of the Old Notes tendered has made the representations for our benefit set forth under "—Required representations."</w:t>
      </w:r>
    </w:p>
    <w:p>
      <w:pPr>
        <w:spacing w:after="0" w:line="180"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BY SENDING AN AGENT'S MESSAGE THE DTC PARTICIPANT IS DEEMED TO HAVE CERTIFIED THAT THE BENEFICIAL HOLDER FOR WHOM NOTES ARE BEING TENDERED HAS BEEN PROVIDED WITH A COPY OF THIS PROSPECTUS.</w:t>
      </w:r>
    </w:p>
    <w:p>
      <w:pPr>
        <w:spacing w:after="0" w:line="180"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delivery of Old Notes through DTC, delivery of a letter of transmittal, and any transmission of an Agent's Message through ATOP, is at the election and risk of the person tendering Old Notes. We will ask the exchange agent to instruct DTC to promptly return those Old Notes, if any, that were tendered through ATOP but were not accepted by us, to the DTC participant that tendered such Old Notes on behalf of holders of the Old Notes.</w:t>
      </w:r>
    </w:p>
    <w:p>
      <w:pPr>
        <w:spacing w:after="0" w:line="155" w:lineRule="exact"/>
        <w:rPr>
          <w:sz w:val="20"/>
          <w:szCs w:val="20"/>
          <w:color w:val="auto"/>
        </w:rPr>
      </w:pPr>
    </w:p>
    <w:p>
      <w:pPr>
        <w:ind w:right="440" w:firstLine="351"/>
        <w:spacing w:after="0" w:line="275" w:lineRule="auto"/>
        <w:rPr>
          <w:sz w:val="20"/>
          <w:szCs w:val="20"/>
          <w:color w:val="auto"/>
        </w:rPr>
      </w:pPr>
      <w:r>
        <w:rPr>
          <w:rFonts w:ascii="Arial" w:cs="Arial" w:eastAsia="Arial" w:hAnsi="Arial"/>
          <w:sz w:val="18"/>
          <w:szCs w:val="18"/>
          <w:b w:val="1"/>
          <w:bCs w:val="1"/>
          <w:color w:val="auto"/>
        </w:rPr>
        <w:t>THE AGENT'S MESSAGE MUST BE TRANSMITTED TO THE EXCHANGE AGENT ON OR BEFORE 12:00 MIDNIGHT, NEW YORK CITY TIME, ON THE EXPIRATION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outstanding Old Notes for exchange; Delivery of Exchange Notes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will accept validly tendered Old Notes when the conditions to the exchange offer have been satisfied or we have waived them. We will have accepted your validly tendered Old Notes when we have given oral (promptly confirmed in writing) or written notice to the exchange agent. The exchange agent will act as agent for the tendering holders for the purpose of receiving the Exchange Notes from us. We will issue the Exchange Notes promptly after termination of the exchange offer. If we do not accept any tendered Old Notes for exchange by book-entry transfer because of an invalid tender or other valid reason, we will credit the Old Notes to an account maintained with DTC promptly after the exchange offer terminates or expires.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you desire to tender Old Notes pursuant to the exchange offer and (1) time will not permit your letter of transmittal and all other required documents to reach the exchange agent on or prior to the expiration date, or (2) the procedures for book-entry transfer (including delivery of an agent's message) cannot be completed on or prior to the expiration date, you may nevertheless tender such Old Notes with the effect that such tender will be deemed to have been received on or prior to the expiration date if all the following conditions are satisfied:</w:t>
      </w:r>
    </w:p>
    <w:p>
      <w:pPr>
        <w:spacing w:after="0" w:line="224"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must effect your tender through an "eligible guarantor institution";</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properly completed and duly executed notice of guaranteed delivery, substantially in the form provided by us herewith, or an agent's message with respect to guaranteed delivery that is accepted by us, is received by the exchange agent on or prior to the expiration date as provided below; and</w:t>
      </w:r>
    </w:p>
    <w:p>
      <w:pPr>
        <w:spacing w:after="0" w:line="207" w:lineRule="exact"/>
        <w:rPr>
          <w:rFonts w:ascii="Arial" w:cs="Arial" w:eastAsia="Arial" w:hAnsi="Arial"/>
          <w:sz w:val="18"/>
          <w:szCs w:val="18"/>
          <w:color w:val="auto"/>
        </w:rPr>
      </w:pPr>
    </w:p>
    <w:p>
      <w:pPr>
        <w:ind w:left="1080" w:right="200" w:hanging="532"/>
        <w:spacing w:after="0" w:line="298"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book-entry confirmation of the transfer of such notes into the exchange agent account at DTC as described above, together with a letter of transmittal (or a manually signed facsimile of the letter of transmittal) properly completed and duly executed, with any signature guarantees and any other documents required by the letter of transmittal or a properly transmitted agent's message, are received by the exchange agent within three business days after the date of execution of the notice of guaranteed delivery.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notice of guaranteed delivery may be sent by hand delivery, facsimile transmission or mail to the exchange agent and must include a guarantee by an eligible guarantor institution in the form set forth in the notice of guaranteed delivery.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withdraw your tender of Old Notes at any time before 12:00 midnight, New York City time, on the expiration date.</w:t>
      </w:r>
    </w:p>
    <w:p>
      <w:pPr>
        <w:spacing w:after="0" w:line="225"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For a withdrawal to be effective, you should contact your bank or broker where your Old Notes are held and have them send a telegram, telex, letter or facsimile transmission notice of withdrawal (or in the case of Old Notes transferred by book-entry transfer, an electronic ATOP transmission notice of withdrawal) so that it is received by the exchange agent before 12:00 midnight, New York City time, on the expiration date. Such notice of withdrawal must:</w:t>
      </w:r>
    </w:p>
    <w:p>
      <w:pPr>
        <w:spacing w:after="0" w:line="174"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specify the name of the person that tendered the Old Notes to be withdrawn;</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 the Old Notes to be withdrawn, including the CUSIP number and principal amount at maturity of the Old Notes; specify the name and number of an account at the DTC to which your withdrawn Old Notes can be credited;</w:t>
      </w:r>
    </w:p>
    <w:p>
      <w:pPr>
        <w:spacing w:after="0" w:line="199"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applicable, be signed by the holder in the same manner as the original signature on the letter of transmittal by which such Old Notes were tendered, with any required signature guarantees, or be accompanied by documents of transfer sufficient to have the trustee with respect to the Old Notes register the transfer of such Old Notes into the name of the person withdrawing the tender; and</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specify the name in which any such notes are to be registered, if different from that of the registered holder.</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will decide all questions as to the validity, form and eligibility of the notices and our determination will be final and binding on all parties. Any tendered Old Notes that you withdraw will not be considered to have been validly tendered. We will promptly return any outstanding Old Notes that have been tendered but not exchanged, or credit them to the DTC account. You may re-tender properly withdrawn Old Notes by following one of the procedures described above before the expiration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Notwithstanding any other provision of the exchange offer, or any extension of the exchange offer, we will not be required to accept for exchange, or to issue Exchange Notes in exchange for, any outstanding Old Notes and may terminate the exchange offer (whether or not any Old Notes have been accepted for exchange) or amend the exchange offer, if any of the following conditions has occurred or exists or has not been satisfied, or has not been waived by us, prior to the expiration date:</w:t>
      </w:r>
    </w:p>
    <w:p>
      <w:pPr>
        <w:spacing w:after="0" w:line="224" w:lineRule="exact"/>
        <w:rPr>
          <w:sz w:val="20"/>
          <w:szCs w:val="20"/>
          <w:color w:val="auto"/>
        </w:rPr>
      </w:pPr>
    </w:p>
    <w:p>
      <w:pPr>
        <w:ind w:left="1080" w:right="1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threatened, instituted or pending any action or proceeding before, or any injunction, order or decree issued by, any court or governmental agency or other governmental regulatory or administrative agency or commission:</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seeking to restrain or prohibit the making or completion of the exchange offer or any other transaction contemplated by the exchange offer, or assessing or seeking any damages as a result of this transaction;</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resulting in a material delay in our ability to accept for exchange or exchange some or all of the Old Notes in the exchange offer;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right="140" w:hanging="532"/>
        <w:spacing w:after="0" w:line="332" w:lineRule="auto"/>
        <w:tabs>
          <w:tab w:leader="none" w:pos="16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statute, rule, regulation, order or injunction has been sought, proposed, introduced, enacted, promulgated or deemed applicable to the exchange offer or any of the transactions contemplated by the exchange offer by any governmental authority, domestic or foreign; or</w:t>
      </w:r>
    </w:p>
    <w:p>
      <w:pPr>
        <w:spacing w:after="0" w:line="382" w:lineRule="exact"/>
        <w:rPr>
          <w:rFonts w:ascii="Arial" w:cs="Arial" w:eastAsia="Arial" w:hAnsi="Arial"/>
          <w:sz w:val="16"/>
          <w:szCs w:val="16"/>
          <w:color w:val="auto"/>
        </w:rPr>
      </w:pPr>
    </w:p>
    <w:p>
      <w:pPr>
        <w:ind w:left="1080" w:right="100" w:hanging="532"/>
        <w:spacing w:after="0" w:line="306"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action has been taken, proposed or threatened, by any governmental authority, domestic or foreign, that would, directly or indirectly, result in any of the consequences referred to in clauses (1), (2) or (3) above or would result in the holders of Exchange Notes having obligations with respect to resales and transfers of Exchange Notes which are greater than those described in the interpretation of the SEC referred to above;</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the following has occurred: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general suspension of or general limitation on prices for, or trading in, securities on any national securities exchange or in the over-the-counter market;</w:t>
      </w:r>
    </w:p>
    <w:p>
      <w:pPr>
        <w:spacing w:after="0" w:line="212" w:lineRule="exact"/>
        <w:rPr>
          <w:rFonts w:ascii="Arial" w:cs="Arial" w:eastAsia="Arial" w:hAnsi="Arial"/>
          <w:sz w:val="18"/>
          <w:szCs w:val="18"/>
          <w:color w:val="auto"/>
        </w:rPr>
      </w:pPr>
    </w:p>
    <w:p>
      <w:pPr>
        <w:ind w:left="1620" w:right="120" w:hanging="532"/>
        <w:spacing w:after="0" w:line="268"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limitation by a governmental authority which adversely affects our ability to complete the transactions contemplated by the exchange offer;</w:t>
      </w:r>
    </w:p>
    <w:p>
      <w:pPr>
        <w:spacing w:after="0" w:line="199" w:lineRule="exact"/>
        <w:rPr>
          <w:rFonts w:ascii="Arial" w:cs="Arial" w:eastAsia="Arial" w:hAnsi="Arial"/>
          <w:sz w:val="18"/>
          <w:szCs w:val="18"/>
          <w:color w:val="auto"/>
        </w:rPr>
      </w:pPr>
    </w:p>
    <w:p>
      <w:pPr>
        <w:ind w:left="1620" w:right="340" w:hanging="532"/>
        <w:spacing w:after="0" w:line="268"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declaration of a banking moratorium or any suspension of payments in respect of banks in the United States or any limitation by any governmental agency or authority which adversely affects the extension of credit;</w:t>
      </w:r>
    </w:p>
    <w:p>
      <w:pPr>
        <w:spacing w:after="0" w:line="199" w:lineRule="exact"/>
        <w:rPr>
          <w:rFonts w:ascii="Arial" w:cs="Arial" w:eastAsia="Arial" w:hAnsi="Arial"/>
          <w:sz w:val="18"/>
          <w:szCs w:val="18"/>
          <w:color w:val="auto"/>
        </w:rPr>
      </w:pPr>
    </w:p>
    <w:p>
      <w:pPr>
        <w:ind w:left="1620" w:right="60" w:hanging="532"/>
        <w:spacing w:after="0" w:line="259"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commencement of a war, armed hostilities or other similar international calamity directly or indirectly involving the United States, or, in the case of any of the preceding events existing at the time of the commencement of the exchange offer, a material acceleration or worsening of these calamities; or</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change, or any development involving a prospective change, has occurred or been threatened in our business, financial condition, operations or prospects and those of our subsidiaries taken as a whole that is or may be adverse to us, or we have become aware of facts that have or may have an adverse impact on the value of the Old Notes or the Exchange Notes;</w:t>
      </w:r>
    </w:p>
    <w:p>
      <w:pPr>
        <w:spacing w:after="0" w:line="207" w:lineRule="exact"/>
        <w:rPr>
          <w:rFonts w:ascii="Arial" w:cs="Arial" w:eastAsia="Arial" w:hAnsi="Arial"/>
          <w:sz w:val="18"/>
          <w:szCs w:val="18"/>
          <w:color w:val="auto"/>
        </w:rPr>
      </w:pPr>
    </w:p>
    <w:p>
      <w:pPr>
        <w:ind w:left="1080" w:right="80" w:hanging="532"/>
        <w:spacing w:after="0" w:line="318" w:lineRule="auto"/>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there shall occur a change in the current interpretation by the Staff of the SEC which permits the Exchange Notes issued pursuant to the exchange offer in exchange for Old Notes to be offered for resale, resold and otherwise transferred by holders thereof (other than broker-dealers and any such holder which is our affiliate within the meaning of Rule 405 promulgated under the Securities Act) without compliance with the registration and prospectus delivery provisions of the Securities Act, provided that such Exchange Notes are acquired in the ordinary course of such holders' business and such holders have no arrangement or understanding with any person to participate in the distribution of such Exchange Notes;</w:t>
      </w:r>
    </w:p>
    <w:p>
      <w:pPr>
        <w:spacing w:after="0" w:line="167" w:lineRule="exact"/>
        <w:rPr>
          <w:rFonts w:ascii="Arial" w:cs="Arial" w:eastAsia="Arial" w:hAnsi="Arial"/>
          <w:sz w:val="15"/>
          <w:szCs w:val="15"/>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law, statute, rule or regulation shall have been adopted or enacted which would impair our ability to proceed with the exchange offer;</w:t>
      </w:r>
    </w:p>
    <w:p>
      <w:pPr>
        <w:spacing w:after="0" w:line="275" w:lineRule="exact"/>
        <w:rPr>
          <w:rFonts w:ascii="Arial" w:cs="Arial" w:eastAsia="Arial" w:hAnsi="Arial"/>
          <w:sz w:val="16"/>
          <w:szCs w:val="16"/>
          <w:color w:val="auto"/>
        </w:rPr>
      </w:pPr>
    </w:p>
    <w:p>
      <w:pPr>
        <w:ind w:left="1080" w:right="500" w:hanging="532"/>
        <w:spacing w:after="0" w:line="306"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stop order shall have been issued by the SEC or any state securities authority suspending the effectiveness of the registration statement, or proceedings shall have been initiated or, to our knowledge, threatened for that purpose, or any governmental approval necessary for the consummation of the exchange offer as contemplated hereby has not been obtained; or</w:t>
      </w:r>
    </w:p>
    <w:p>
      <w:pPr>
        <w:spacing w:after="0" w:line="174"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received an opinion of counsel experienced in such matters to the effect that there exists any actual or threatened legal impediment (including a default or prospective default under an agreement, indenture or other instrument or obligation to which we are a party or by which we are bound) to the consummation of the transactions contemplated by the exchange offer.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If any of the foregoing events or conditions has occurred or exists or has not been satisfied, we may, subject to applicable law, terminate the exchange offer (whether or not any Old Notes have been accepted for exchange) or may waive any such condition or otherwise amend the terms of the exchange offer in any respect. If such waiver or amendment constitutes a material change to the exchange offer, we will promptly disclose such waiver or amendment by means of a prospectus supplement that will be distributed to the registered holders of the Old Notes and will extend the exchange offer to the extent required by Rule 14e-1 promulgated under the Exchange Act.</w:t>
      </w:r>
    </w:p>
    <w:p>
      <w:pPr>
        <w:spacing w:after="0" w:line="197"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These conditions are for our sole benefit and we may assert them regardless of the circumstances giving rise to any of these conditions, or we may waive them, in whole or in part, provided that we will not waive any condition with respect to an individual holder of Old Notes unless we waive that condition for all such holders. Any reasonable determination made by us concerning an event, development or circumstance described or referred to above will be final and binding on all parties. Our failure at any time to exercise any of the foregoing rights will not be a waiver of our rights and each such right will be deemed an ongoing right which may be asserted at any time before the expiration of the exchange offer.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have appointed Delaware Trust Company as the exchange agent for the exchange offer. You should direct questions, requests for assistance, and requests for additional copies of this prospectus and the letter of transmittal that may accompany this prospectus to the exchange agent addressed as follows: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DELAWARE TRUST COMPANY, EXCHANGE AGENT</w:t>
      </w:r>
    </w:p>
    <w:p>
      <w:pPr>
        <w:spacing w:after="0" w:line="231"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2860" w:type="dxa"/>
            <w:vAlign w:val="bottom"/>
          </w:tcPr>
          <w:p>
            <w:pPr>
              <w:jc w:val="center"/>
              <w:ind w:right="372"/>
              <w:spacing w:after="0"/>
              <w:rPr>
                <w:sz w:val="20"/>
                <w:szCs w:val="20"/>
                <w:color w:val="auto"/>
              </w:rPr>
            </w:pPr>
            <w:r>
              <w:rPr>
                <w:rFonts w:ascii="Arial" w:cs="Arial" w:eastAsia="Arial" w:hAnsi="Arial"/>
                <w:sz w:val="18"/>
                <w:szCs w:val="18"/>
                <w:i w:val="1"/>
                <w:iCs w:val="1"/>
                <w:color w:val="auto"/>
                <w:w w:val="90"/>
              </w:rPr>
              <w:t>By Registered or Certified Mail or</w:t>
            </w:r>
          </w:p>
        </w:tc>
        <w:tc>
          <w:tcPr>
            <w:tcW w:w="3020" w:type="dxa"/>
            <w:vAlign w:val="bottom"/>
          </w:tcPr>
          <w:p>
            <w:pPr>
              <w:jc w:val="center"/>
              <w:spacing w:after="0"/>
              <w:rPr>
                <w:sz w:val="20"/>
                <w:szCs w:val="20"/>
                <w:color w:val="auto"/>
              </w:rPr>
            </w:pPr>
            <w:r>
              <w:rPr>
                <w:rFonts w:ascii="Arial" w:cs="Arial" w:eastAsia="Arial" w:hAnsi="Arial"/>
                <w:sz w:val="18"/>
                <w:szCs w:val="18"/>
                <w:i w:val="1"/>
                <w:iCs w:val="1"/>
                <w:color w:val="auto"/>
                <w:w w:val="90"/>
              </w:rPr>
              <w:t>Facsimile Transmission:</w:t>
            </w:r>
          </w:p>
        </w:tc>
        <w:tc>
          <w:tcPr>
            <w:tcW w:w="2740" w:type="dxa"/>
            <w:vAlign w:val="bottom"/>
          </w:tcPr>
          <w:p>
            <w:pPr>
              <w:jc w:val="center"/>
              <w:ind w:left="432"/>
              <w:spacing w:after="0"/>
              <w:rPr>
                <w:sz w:val="20"/>
                <w:szCs w:val="20"/>
                <w:color w:val="auto"/>
              </w:rPr>
            </w:pPr>
            <w:r>
              <w:rPr>
                <w:rFonts w:ascii="Arial" w:cs="Arial" w:eastAsia="Arial" w:hAnsi="Arial"/>
                <w:sz w:val="18"/>
                <w:szCs w:val="18"/>
                <w:i w:val="1"/>
                <w:iCs w:val="1"/>
                <w:color w:val="auto"/>
                <w:w w:val="92"/>
              </w:rPr>
              <w:t>By Hand Delivery:</w:t>
            </w:r>
          </w:p>
        </w:tc>
      </w:tr>
      <w:tr>
        <w:trPr>
          <w:trHeight w:val="216"/>
        </w:trPr>
        <w:tc>
          <w:tcPr>
            <w:tcW w:w="2860" w:type="dxa"/>
            <w:vAlign w:val="bottom"/>
          </w:tcPr>
          <w:p>
            <w:pPr>
              <w:jc w:val="center"/>
              <w:ind w:right="372"/>
              <w:spacing w:after="0"/>
              <w:rPr>
                <w:sz w:val="20"/>
                <w:szCs w:val="20"/>
                <w:color w:val="auto"/>
              </w:rPr>
            </w:pPr>
            <w:r>
              <w:rPr>
                <w:rFonts w:ascii="Arial" w:cs="Arial" w:eastAsia="Arial" w:hAnsi="Arial"/>
                <w:sz w:val="18"/>
                <w:szCs w:val="18"/>
                <w:i w:val="1"/>
                <w:iCs w:val="1"/>
                <w:color w:val="auto"/>
                <w:w w:val="95"/>
              </w:rPr>
              <w:t>Overnight Carrier:</w:t>
            </w:r>
          </w:p>
        </w:tc>
        <w:tc>
          <w:tcPr>
            <w:tcW w:w="3020" w:type="dxa"/>
            <w:vAlign w:val="bottom"/>
          </w:tcPr>
          <w:p>
            <w:pPr>
              <w:jc w:val="center"/>
              <w:spacing w:after="0"/>
              <w:rPr>
                <w:sz w:val="20"/>
                <w:szCs w:val="20"/>
                <w:color w:val="auto"/>
              </w:rPr>
            </w:pPr>
            <w:r>
              <w:rPr>
                <w:rFonts w:ascii="Arial" w:cs="Arial" w:eastAsia="Arial" w:hAnsi="Arial"/>
                <w:sz w:val="18"/>
                <w:szCs w:val="18"/>
                <w:i w:val="1"/>
                <w:iCs w:val="1"/>
                <w:color w:val="auto"/>
                <w:w w:val="92"/>
              </w:rPr>
              <w:t>(for eligible institutions only)</w:t>
            </w:r>
          </w:p>
        </w:tc>
        <w:tc>
          <w:tcPr>
            <w:tcW w:w="2740" w:type="dxa"/>
            <w:vAlign w:val="bottom"/>
          </w:tcPr>
          <w:p>
            <w:pPr>
              <w:spacing w:after="0"/>
              <w:rPr>
                <w:sz w:val="18"/>
                <w:szCs w:val="18"/>
                <w:color w:val="auto"/>
              </w:rPr>
            </w:pPr>
          </w:p>
        </w:tc>
      </w:tr>
      <w:tr>
        <w:trPr>
          <w:trHeight w:val="216"/>
        </w:trPr>
        <w:tc>
          <w:tcPr>
            <w:tcW w:w="2860" w:type="dxa"/>
            <w:vAlign w:val="bottom"/>
          </w:tcPr>
          <w:p>
            <w:pPr>
              <w:jc w:val="center"/>
              <w:ind w:right="372"/>
              <w:spacing w:after="0"/>
              <w:rPr>
                <w:sz w:val="20"/>
                <w:szCs w:val="20"/>
                <w:color w:val="auto"/>
              </w:rPr>
            </w:pPr>
            <w:r>
              <w:rPr>
                <w:rFonts w:ascii="Arial" w:cs="Arial" w:eastAsia="Arial" w:hAnsi="Arial"/>
                <w:sz w:val="18"/>
                <w:szCs w:val="18"/>
                <w:color w:val="auto"/>
                <w:w w:val="88"/>
              </w:rPr>
              <w:t>Delaware Trust Company</w:t>
            </w: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(302) 636-8666</w:t>
            </w:r>
          </w:p>
        </w:tc>
        <w:tc>
          <w:tcPr>
            <w:tcW w:w="2740" w:type="dxa"/>
            <w:vAlign w:val="bottom"/>
          </w:tcPr>
          <w:p>
            <w:pPr>
              <w:jc w:val="center"/>
              <w:ind w:left="432"/>
              <w:spacing w:after="0"/>
              <w:rPr>
                <w:sz w:val="20"/>
                <w:szCs w:val="20"/>
                <w:color w:val="auto"/>
              </w:rPr>
            </w:pPr>
            <w:r>
              <w:rPr>
                <w:rFonts w:ascii="Arial" w:cs="Arial" w:eastAsia="Arial" w:hAnsi="Arial"/>
                <w:sz w:val="18"/>
                <w:szCs w:val="18"/>
                <w:color w:val="auto"/>
                <w:w w:val="89"/>
              </w:rPr>
              <w:t>Delaware Trust Company</w:t>
            </w:r>
          </w:p>
        </w:tc>
      </w:tr>
      <w:tr>
        <w:trPr>
          <w:trHeight w:val="216"/>
        </w:trPr>
        <w:tc>
          <w:tcPr>
            <w:tcW w:w="2860" w:type="dxa"/>
            <w:vAlign w:val="bottom"/>
          </w:tcPr>
          <w:p>
            <w:pPr>
              <w:jc w:val="center"/>
              <w:ind w:right="372"/>
              <w:spacing w:after="0"/>
              <w:rPr>
                <w:sz w:val="20"/>
                <w:szCs w:val="20"/>
                <w:color w:val="auto"/>
              </w:rPr>
            </w:pPr>
            <w:r>
              <w:rPr>
                <w:rFonts w:ascii="Arial" w:cs="Arial" w:eastAsia="Arial" w:hAnsi="Arial"/>
                <w:sz w:val="18"/>
                <w:szCs w:val="18"/>
                <w:color w:val="auto"/>
                <w:w w:val="88"/>
              </w:rPr>
              <w:t>103 Foulk Road</w:t>
            </w:r>
          </w:p>
        </w:tc>
        <w:tc>
          <w:tcPr>
            <w:tcW w:w="3020" w:type="dxa"/>
            <w:vAlign w:val="bottom"/>
          </w:tcPr>
          <w:p>
            <w:pPr>
              <w:spacing w:after="0"/>
              <w:rPr>
                <w:sz w:val="18"/>
                <w:szCs w:val="18"/>
                <w:color w:val="auto"/>
              </w:rPr>
            </w:pPr>
          </w:p>
        </w:tc>
        <w:tc>
          <w:tcPr>
            <w:tcW w:w="2740" w:type="dxa"/>
            <w:vAlign w:val="bottom"/>
          </w:tcPr>
          <w:p>
            <w:pPr>
              <w:jc w:val="center"/>
              <w:ind w:left="432"/>
              <w:spacing w:after="0"/>
              <w:rPr>
                <w:sz w:val="20"/>
                <w:szCs w:val="20"/>
                <w:color w:val="auto"/>
              </w:rPr>
            </w:pPr>
            <w:r>
              <w:rPr>
                <w:rFonts w:ascii="Arial" w:cs="Arial" w:eastAsia="Arial" w:hAnsi="Arial"/>
                <w:sz w:val="18"/>
                <w:szCs w:val="18"/>
                <w:color w:val="auto"/>
                <w:w w:val="89"/>
              </w:rPr>
              <w:t>103 Foulk Road</w:t>
            </w:r>
          </w:p>
        </w:tc>
      </w:tr>
      <w:tr>
        <w:trPr>
          <w:trHeight w:val="216"/>
        </w:trPr>
        <w:tc>
          <w:tcPr>
            <w:tcW w:w="2860" w:type="dxa"/>
            <w:vAlign w:val="bottom"/>
          </w:tcPr>
          <w:p>
            <w:pPr>
              <w:jc w:val="center"/>
              <w:ind w:right="372"/>
              <w:spacing w:after="0"/>
              <w:rPr>
                <w:sz w:val="20"/>
                <w:szCs w:val="20"/>
                <w:color w:val="auto"/>
              </w:rPr>
            </w:pPr>
            <w:r>
              <w:rPr>
                <w:rFonts w:ascii="Arial" w:cs="Arial" w:eastAsia="Arial" w:hAnsi="Arial"/>
                <w:sz w:val="18"/>
                <w:szCs w:val="18"/>
                <w:color w:val="auto"/>
                <w:w w:val="91"/>
              </w:rPr>
              <w:t>Wilmington, DE 19803</w:t>
            </w:r>
          </w:p>
        </w:tc>
        <w:tc>
          <w:tcPr>
            <w:tcW w:w="3020" w:type="dxa"/>
            <w:vAlign w:val="bottom"/>
          </w:tcPr>
          <w:p>
            <w:pPr>
              <w:jc w:val="center"/>
              <w:spacing w:after="0"/>
              <w:rPr>
                <w:sz w:val="20"/>
                <w:szCs w:val="20"/>
                <w:color w:val="auto"/>
              </w:rPr>
            </w:pPr>
            <w:r>
              <w:rPr>
                <w:rFonts w:ascii="Arial" w:cs="Arial" w:eastAsia="Arial" w:hAnsi="Arial"/>
                <w:sz w:val="18"/>
                <w:szCs w:val="18"/>
                <w:i w:val="1"/>
                <w:iCs w:val="1"/>
                <w:color w:val="auto"/>
                <w:w w:val="88"/>
              </w:rPr>
              <w:t>Confirm by Telephone:</w:t>
            </w:r>
          </w:p>
        </w:tc>
        <w:tc>
          <w:tcPr>
            <w:tcW w:w="2740" w:type="dxa"/>
            <w:vAlign w:val="bottom"/>
          </w:tcPr>
          <w:p>
            <w:pPr>
              <w:jc w:val="center"/>
              <w:ind w:left="432"/>
              <w:spacing w:after="0"/>
              <w:rPr>
                <w:sz w:val="20"/>
                <w:szCs w:val="20"/>
                <w:color w:val="auto"/>
              </w:rPr>
            </w:pPr>
            <w:r>
              <w:rPr>
                <w:rFonts w:ascii="Arial" w:cs="Arial" w:eastAsia="Arial" w:hAnsi="Arial"/>
                <w:sz w:val="18"/>
                <w:szCs w:val="18"/>
                <w:color w:val="auto"/>
                <w:w w:val="92"/>
              </w:rPr>
              <w:t>Wilmington, DE 19803</w:t>
            </w:r>
          </w:p>
        </w:tc>
      </w:tr>
      <w:tr>
        <w:trPr>
          <w:trHeight w:val="222"/>
        </w:trPr>
        <w:tc>
          <w:tcPr>
            <w:tcW w:w="2860" w:type="dxa"/>
            <w:vAlign w:val="bottom"/>
          </w:tcPr>
          <w:p>
            <w:pPr>
              <w:jc w:val="center"/>
              <w:ind w:right="372"/>
              <w:spacing w:after="0"/>
              <w:rPr>
                <w:sz w:val="20"/>
                <w:szCs w:val="20"/>
                <w:color w:val="auto"/>
              </w:rPr>
            </w:pPr>
            <w:r>
              <w:rPr>
                <w:rFonts w:ascii="Arial" w:cs="Arial" w:eastAsia="Arial" w:hAnsi="Arial"/>
                <w:sz w:val="18"/>
                <w:szCs w:val="18"/>
                <w:color w:val="auto"/>
                <w:w w:val="92"/>
              </w:rPr>
              <w:t>Attention: Trust Administration</w:t>
            </w: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(877) 374-6010</w:t>
            </w:r>
          </w:p>
        </w:tc>
        <w:tc>
          <w:tcPr>
            <w:tcW w:w="2740" w:type="dxa"/>
            <w:vAlign w:val="bottom"/>
          </w:tcPr>
          <w:p>
            <w:pPr>
              <w:jc w:val="center"/>
              <w:ind w:left="432"/>
              <w:spacing w:after="0"/>
              <w:rPr>
                <w:sz w:val="20"/>
                <w:szCs w:val="20"/>
                <w:color w:val="auto"/>
              </w:rPr>
            </w:pPr>
            <w:r>
              <w:rPr>
                <w:rFonts w:ascii="Arial" w:cs="Arial" w:eastAsia="Arial" w:hAnsi="Arial"/>
                <w:sz w:val="18"/>
                <w:szCs w:val="18"/>
                <w:color w:val="auto"/>
                <w:w w:val="92"/>
              </w:rPr>
              <w:t>Attention: Trust Administration</w:t>
            </w:r>
          </w:p>
        </w:tc>
      </w:tr>
    </w:tbl>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to an address other than set forth above will not constitute a valid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principal solicitation is being made through DTC by Delaware Trust Company, as exchange agent on our behalf. We will pay the exchange agent customary fees for its services, reimburse the exchange agent for its reasonable costs and expenses (including reasonable fees, costs and expenses of its counsel) incurred in connection with the provisions of these services and pay other registration expenses, including registration and filing fees, fees and expenses of compliance with federal securities and state blue sky securities laws, printing expenses, messenger and delivery services and telephone, fees and disbursements to our counsel, application and filing fees and any fees and disbursements to our independent certified public accountants. We will not make any payment to brokers, dealers, or others soliciting acceptances of the exchange offer except for reimbursement of mailing expenses.</w:t>
      </w:r>
    </w:p>
    <w:p>
      <w:pPr>
        <w:spacing w:after="0" w:line="174"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Additional solicitations may be made by telephone, facsimile or in person by our and our affiliates' officers employees and by persons so engaged by the exchange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Exchange Notes will be recorded at the same carrying value as the existing Old Notes, as reflected in our accounting records on the date of exchange. Accordingly, we will recognize no gain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loss for accounting purposes. The expenses of the exchange offer will be capitalized and expensed over the term of the Exchange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you tender outstanding Old Notes for exchange you will not be obligated to pay any transfer taxes. However, if you instruct us to register Exchange Notes in the name of, or request that your Old Notes not tendered or not accepted in the exchange offer be returned to, a person other than the registered tendering holder, you will be responsible for paying any transfer tax owed.</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YOU MAY SUFFER ADVERSE CONSEQUENCES IF YOU FAIL TO EXCHANGE OUTSTANDING OLD NOTES.</w:t>
      </w:r>
    </w:p>
    <w:p>
      <w:pPr>
        <w:spacing w:after="0" w:line="231"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If you do not tender your outstanding Old Notes, you will not have any further registration rights, except for the rights described in the Registration Rights Agreement and described above, and your Old Notes will continue to be subject to the provisions of the respective indenture governing the Old Notes regarding transfer and exchange of the Old Notes and the restrictions on transfer of the Old Notes imposed by the Securities Act and states securities law when we complete the exchange offer. These transfer restrictions are required because the Old Notes were issued under an exemption from, or in a transaction not subject to, the registration requirements of the Securities Act and applicable state securities laws. Accordingly, if you do not tender your Old Notes in the exchange offer, your ability to sell your Old Notes could be adversely affected. Once we have completed the exchange offer, holders who have not tendered notes will not continue to be entitled to any increase in interest rate that the indenture governing the Old Note provides for if we do not complete the exchange offer.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exchange</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Old Notes that are not exchanged for Exchange Notes pursuant to the exchange offer will remain restricted securities. Accordingly, the Old Notes may be resold only:</w:t>
      </w:r>
    </w:p>
    <w:p>
      <w:pPr>
        <w:spacing w:after="0" w:line="19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us upon redemption thereof or otherwise;</w:t>
      </w:r>
    </w:p>
    <w:p>
      <w:pPr>
        <w:spacing w:after="0" w:line="252" w:lineRule="exact"/>
        <w:rPr>
          <w:rFonts w:ascii="Arial" w:cs="Arial" w:eastAsia="Arial" w:hAnsi="Arial"/>
          <w:sz w:val="18"/>
          <w:szCs w:val="18"/>
          <w:color w:val="auto"/>
        </w:rPr>
      </w:pPr>
    </w:p>
    <w:p>
      <w:pPr>
        <w:ind w:left="1080" w:right="360" w:hanging="532"/>
        <w:spacing w:after="0" w:line="298"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so long as the outstanding securities are eligible for resale pursuant to Rule 144A, to a person inside the United States who is a qualified institutional buyer within the meaning of Rule 144A under the Securities Act in a transaction meeting the requirements of Rule 144A, in accordance with Rule 144 under the Securities Act, or pursuant to another exemption from the registration requirements of the Securities Act, which other exemption is based upon an opinion of counsel reasonably acceptable to us;</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outside the United States to a foreign person in a transaction meeting the requirements of Rule 904 under the Securities Act; or</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in each case in accordance with any applicable securities laws of any state of the United States.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certain limited circumstances, the Registration Rights Agreement requires that we file a shelf registration statement if:</w:t>
      </w:r>
    </w:p>
    <w:p>
      <w:pPr>
        <w:spacing w:after="0" w:line="252" w:lineRule="exact"/>
        <w:rPr>
          <w:sz w:val="20"/>
          <w:szCs w:val="20"/>
          <w:color w:val="auto"/>
        </w:rPr>
      </w:pPr>
    </w:p>
    <w:p>
      <w:pPr>
        <w:ind w:left="1080" w:right="1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not permitted by applicable law or SEC policy to file a registration statement covering the exchange offer or to consummate the exchange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holder of the Old Notes notifies the Issuer prior to the 20th calendar day following the consummation of the exchange offer that:</w:t>
      </w:r>
    </w:p>
    <w:p>
      <w:pPr>
        <w:spacing w:after="0" w:line="200" w:lineRule="exact"/>
        <w:rPr>
          <w:sz w:val="20"/>
          <w:szCs w:val="20"/>
          <w:color w:val="auto"/>
        </w:rPr>
      </w:pPr>
    </w:p>
    <w:p>
      <w:pPr>
        <w:spacing w:after="0" w:line="278" w:lineRule="exact"/>
        <w:rPr>
          <w:sz w:val="20"/>
          <w:szCs w:val="20"/>
          <w:color w:val="auto"/>
        </w:rPr>
      </w:pPr>
    </w:p>
    <w:p>
      <w:pPr>
        <w:ind w:left="5620" w:right="4300" w:hanging="4532"/>
        <w:spacing w:after="0" w:line="613" w:lineRule="auto"/>
        <w:tabs>
          <w:tab w:leader="none" w:pos="1622" w:val="left"/>
        </w:tabs>
        <w:numPr>
          <w:ilvl w:val="0"/>
          <w:numId w:val="29"/>
        </w:numPr>
        <w:rPr>
          <w:rFonts w:ascii="Arial" w:cs="Arial" w:eastAsia="Arial" w:hAnsi="Arial"/>
          <w:sz w:val="16"/>
          <w:szCs w:val="16"/>
          <w:color w:val="auto"/>
        </w:rPr>
      </w:pPr>
      <w:r>
        <w:rPr>
          <w:rFonts w:ascii="Arial" w:cs="Arial" w:eastAsia="Arial" w:hAnsi="Arial"/>
          <w:sz w:val="16"/>
          <w:szCs w:val="16"/>
          <w:color w:val="auto"/>
        </w:rPr>
        <w:t>it is prohibited by law or SEC policy from participating in the exchange offer;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it may not resell the Exchange Notes acquired by it in the exchange offer to the public without delivering a prospectus and this prospectus is not appropriate or available for such resales; or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it is a broker-dealer and owns Old Notes acquired directly from the Issuer or an affiliate of the Issuer.</w:t>
      </w:r>
    </w:p>
    <w:p>
      <w:pPr>
        <w:spacing w:after="0" w:line="200" w:lineRule="exact"/>
        <w:rPr>
          <w:sz w:val="20"/>
          <w:szCs w:val="20"/>
          <w:color w:val="auto"/>
        </w:rPr>
      </w:pPr>
    </w:p>
    <w:p>
      <w:pPr>
        <w:sectPr>
          <w:pgSz w:w="11900" w:h="16838" w:orient="portrait"/>
          <w:cols w:equalWidth="0" w:num="2">
            <w:col w:w="1260" w:space="360"/>
            <w:col w:w="9720"/>
          </w:cols>
          <w:pgMar w:left="240" w:top="131" w:right="319" w:bottom="1440" w:gutter="0" w:footer="0" w:header="0"/>
        </w:sectPr>
      </w:pPr>
    </w:p>
    <w:p>
      <w:pPr>
        <w:spacing w:after="0" w:line="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will also register the Exchange Notes under the securities laws of jurisdictions that holders may request before offering or selling notes in a public offering. We do not intend to register Exchange Notes in any jurisdiction unless a holder requests that we do so.</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Old Notes may be subject to restrictions on transfer until:</w:t>
      </w:r>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person other than a broker-dealer has exchanged the Old Notes in the exchange offer;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broker-dealer has exchanged the Old Notes in the exchange offer and sells them to a purchaser that receives a prospectus from the broker, dealer on or before the sale;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Old Notes are sold under an effective shelf registration statement that we have filed;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Old Notes are sold to the public under Rule 144 of the Securities Act.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right="340" w:firstLine="348"/>
        <w:spacing w:after="0" w:line="306" w:lineRule="auto"/>
        <w:rPr>
          <w:sz w:val="20"/>
          <w:szCs w:val="20"/>
          <w:color w:val="auto"/>
        </w:rPr>
      </w:pPr>
      <w:r>
        <w:rPr>
          <w:rFonts w:ascii="Arial" w:cs="Arial" w:eastAsia="Arial" w:hAnsi="Arial"/>
          <w:sz w:val="16"/>
          <w:szCs w:val="16"/>
          <w:color w:val="auto"/>
        </w:rPr>
        <w:t>This exchange offer is intended to satisfy our obligations under the Registration Rights Agreement. We will not receive any cash proceeds, or otherwise, from the issuance of the Exchange Notes. The Old Notes properly tendered and exchanged for Exchange Notes will be retired and cancelled. Accordingly, no additional debt will result from the exchange. We have agreed to bear the expense of the exchange offer.</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jc w:val="both"/>
        <w:ind w:right="120" w:firstLine="348"/>
        <w:spacing w:after="0" w:line="256" w:lineRule="auto"/>
        <w:rPr>
          <w:sz w:val="20"/>
          <w:szCs w:val="20"/>
          <w:color w:val="auto"/>
        </w:rPr>
      </w:pPr>
      <w:r>
        <w:rPr>
          <w:rFonts w:ascii="Arial" w:cs="Arial" w:eastAsia="Arial" w:hAnsi="Arial"/>
          <w:sz w:val="18"/>
          <w:szCs w:val="18"/>
          <w:color w:val="auto"/>
        </w:rPr>
        <w:t>The ratio of earnings to fixed charges for the periods indicated is stated below. For this purpose, "earnings" include pre-tax income before adjustments for noncontrolling interest in our consolidated subsidiaries and income or loss from equity investees, plus fixed charges and distributed income of equity investees, reduced by interest capitalized. "Fixed charges" include interest, whether expensed or capitalized, amortization of debt expense and the portion of rental expense that is representative of the interest factor in these rentals.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c>
          <w:tcPr>
            <w:tcW w:w="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gridSpan w:val="5"/>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March 31, 2017</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33</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following table sets forth our cash and cash equivalents and capitalization as of March 31, 2017 on an actual historical basis. The table below should be read in conjunction with "Use of Proceeds," the "Management's Discussion and Analysis of Financial Condition and Results of Operations" contained in our 2016 Form 10-K and the consolidated financial statements and the related notes thereto incorporated by reference into this prospectus.</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6"/>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Long-term debt: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Revolving Credit Facility(1)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notes—Yield Inc.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5.375% Senior Notes due 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5.000% Senior Notes due 2026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Project-level debt</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 long-term debt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Member's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 member's equity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 capitalization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60" w:type="dxa"/>
            <w:vAlign w:val="bottom"/>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8,144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5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80" w:hanging="531"/>
        <w:spacing w:after="0" w:line="268"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March 31, 2017, the total borrowing capacity under the Revolving Credit Facility was $495 million, with $431 million of available borrowings and $64 million in letters of credit outstanding thereunder.</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For more information on the various components of our debt, see Note 6—Long-term Debt in the Notes to Consolidated Financial Statements included in our First Quarter Form 10-Q and Note 10—Long-term Debt in the Notes to Consolidated Financial Statements included in our 2016 Form 10-K, which are incorporated herein by reference.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CERTAIN OTHER INDEBTEDNESS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April 25, 2014, each of Yield Operating LLC, as borrower, and Yield LLC, as a guarantor, entered into the Amended and Restated Credit Agreement with certain subsidiaries of Yield Operating LLC party thereto, as guarantors, Royal Bank of Canada, as administrative agent, the lenders and letter of credit issuers party thereto and the other parties listed on the signature pages thereof, as amended by that certain First Amendment to Amended &amp; Restated Credit Agreement (the "First Amendment"), dated as of June 26, 2015, among Yield Operating LLC, Yield LLC, the other guarantors party thereto, the lenders and letter of credit issuers party thereto and Royal Bank of Canada, as administrative agent (the "Revolving Credit Facility") that amended and restated that certain Credit Agreement, dated as of July 22, 2013, as amended, among Yield Operating LLC, Yield LLC, the lenders and letter of credit issuers party thereto and Bank of America, N.A., as administrative agent.</w:t>
      </w:r>
    </w:p>
    <w:p>
      <w:pPr>
        <w:spacing w:after="0" w:line="172"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Revolving Credit Facility provides that Yield Operating LLC can borrow (on a revolving basis) up to a maximum principal amount of $495 million at a rate per annum equal to LIBOR or a base rate plus an applicable margin determined by reference to a leverage based pricing grid and ranging from (a) 2.25% to 2.75% in the case of LIBOR loans and (b) 1.25% to 1.75% in the case of base rate loans. The Revolving Credit Facility will mature on April 25, 2019. The lenders under the Revolving Credit Facility will be paid a per annum commitment fee determined by reference to a leverage based pricing grid and ranging from 0.375% to 0.50% on the average daily amount of the unused portion of the commitments. The Revolving Credit Facility provides for the issuance of letters of credit pursuant to a letter of credit sub-facility, up to a maximum principal amount that is the lesser of (a) $450 million and (b) the aggregate amount of the letter of credit commitments accepted by Royal Bank of Canada and any additional letter of credit issuers (which letter of credit commitment is equal to $180 million in the aggregate pursuant to the First Amendment). The amount of Yield Operating LLC's outstanding letters of credit under the Revolving Credit Facility reduces the availability of the revolver commitment under the Revolving Credit Facility. We may raise additional revolving or term indebtedness under the Revolving Credit Facility pursuant to customary incremental or "accordion" facilities, up to an additional $200 million in revolver loans (of which $45 million of incremental revolver commitment was incurred pursuant to the First Amendment) and term loans up to the greater of $230 million and two times consolidated cash flows (as determined based on the most recently ended four fiscal quarter period) (to be no greater than $500 million).</w:t>
      </w:r>
    </w:p>
    <w:p>
      <w:pPr>
        <w:spacing w:after="0" w:line="17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Borrowings under the Revolving Credit Facility are guaranteed by Yield LLC and certain subsidiaries of Yield Operating LLC, other than subsidiaries that are excluded project companies, and are secured by substantially all of the assets of Yield Operating LLC and the guarantors, subject to certain customary exceptions. The Revolving Credit Facility contains covenants that limit certain of Yield Operating LLC's and the guarantors' activities, including those relating to: mergers; consolidations; the ability to secure additional indebtedness; sales, transfers and other dispositions of property and assets; providing new guarantees; investments; payment of cash dividends; and granting additional security interests. The Revolving Credit Facility also contains customary events of default and related cure provisions, including the requirement that Yield Operating LLC pay additional interest at the rate of 2.0% per year upon the occurrence of certain Events of Default. Additionally, Yield Operating LLC is required to comply with a maximum leverage ratio covenant and a minimum interest coverage ratio covenant on a quarterly basis.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August 5, 2014, Yield Operating LLC issued $500 million of senior unsecured notes (the "2024 Senior Notes"). The 2024 Senior Notes bear interest at 5.375% and mature in August 2024. Interest 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notes is payable semi-annually on February 15 and August 15 of each year. The 2024 Senior Notes are senior unsecured obligations of Yield Operating LLC and are guaranteed by Yield LLC and by certain of Yield Operating LLC's wholly owned current and future subsidiaries.</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indenture governing the 2024 Senior Notes provides for customary events of default, which include: nonpayment of principal or interest; breach of other agreements in the indenture; defaults in failure to pay certain other indebtedness; the rendering of judgments to pay certain amounts of money against Yield Operating LLC and its subsidiaries; the failure of certain guarantees to be enforceable; and certain events of bankruptcy or insolvency. Generally, if an event of default occurs, the Trustee or the holders of at least 25% in principal amount of the then outstanding series of 2024 Senior Notes may declare all of the 2024 Senior Notes to be due and payable immediately.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terms of the 2024 Senior Notes, among other things, limit Yield Operating LLC's ability to create liens and consolidate or merge.</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Prior to August 15, 2017, Yield Operating LLC may redeem up to 35% of the 2024 Senior Notes with net cash proceeds of certain equity offerings at a price of 105.375% of the principal amount of the notes redeemed, provided at least 65% of the aggregate principal amount of the notes issued remain outstanding after the redemption. Prior to August 15, 2019, Yield Operating LLC may redeem all or a portion of the 2024 Senior Notes at a price equal to 100% of the principal amount of the notes redeemed, plus a premium and any accrued and unpaid interest. The premium is the greater of (i) 1.0% of the principal amount of the notes redeemed, or (ii) the present value of 102.688% of the notes redeemed, plus interest payments due on the notes redeemed from the date of redemption through August 15, 2019, discounted at a Treasury rate plus 0.50% over the principal amount of the notes redeemed. On or after August 15, 2019 Yield Operating LLC may redeem some or all of the notes at redemption prices set forth in the indenture governing the 2024 Senior Notes, plus accrued and unpaid interest on the notes redeemed to the applicable redemption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Intercompany Note and 3.50% Convertible Notes</w:t>
      </w:r>
    </w:p>
    <w:p>
      <w:pPr>
        <w:spacing w:after="0" w:line="225"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On February 11, 2014, in connection with the issuance by Yield Inc. of the 3.50% convertible notes due 2019 (the "3.50% Convertible Notes"), Yield Operating LLC and Yield Inc. entered into an intercompany note. Pursuant to the intercompany note, Yield Inc. loaned the net proceeds from the 3.50% Convertible Notes to Yield Operating LLC, and Yield Operating LLC agreed to pay interest, principal and other payments under the intercompany note on the same terms and conditions payable by Yield Inc. under the indenture governing the 3.50% Convertible Notes.</w:t>
      </w:r>
    </w:p>
    <w:p>
      <w:pPr>
        <w:spacing w:after="0" w:line="167" w:lineRule="exact"/>
        <w:rPr>
          <w:sz w:val="20"/>
          <w:szCs w:val="20"/>
          <w:color w:val="auto"/>
        </w:rPr>
      </w:pPr>
    </w:p>
    <w:p>
      <w:pPr>
        <w:ind w:right="40" w:firstLine="345"/>
        <w:spacing w:after="0" w:line="290" w:lineRule="auto"/>
        <w:rPr>
          <w:sz w:val="20"/>
          <w:szCs w:val="20"/>
          <w:color w:val="auto"/>
        </w:rPr>
      </w:pPr>
      <w:r>
        <w:rPr>
          <w:rFonts w:ascii="Arial" w:cs="Arial" w:eastAsia="Arial" w:hAnsi="Arial"/>
          <w:sz w:val="16"/>
          <w:szCs w:val="16"/>
          <w:color w:val="auto"/>
        </w:rPr>
        <w:t>Yield Inc. has $345 million aggregate principal amount of the 3.50% Convertible Notes outstanding. The Indenture governing the 3.50% Convertible Notes (the "2019 Indenture") provides, among other things, that the 3.50% Convertible Notes are Yield Inc.'s unsecured and unsubordinated obligations and rank senior in right of payment to any of Yield Inc.'s indebtedness that is expressly subordinated in right of payment to the 3.50% Convertible Notes; rank equal in right of payment to Yield Inc.'s unsecured indebtedness that is not so subordinated; be effectively subordinated in right of payment to Yield Inc.'s secured indebtedness to the extent of the value of the assets securing such indebtedness; and be structurally subordinated to all indebtedness and liabilities of Yield Inc.'s non-guarantor subsidiaries. Interest is payable on the 3.50% Convertible Notes on February 1 and August 1 of each year beginning on August 1, 2014 until their maturity date of February 1, 2019.</w:t>
      </w:r>
    </w:p>
    <w:p>
      <w:pPr>
        <w:spacing w:after="0" w:line="17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Prior to the close of business on the business day immediately preceding August 1, 2018, holders may convert all or a portion of their 3.50% Convertible Notes, in principal amounts equal to $1,000 or an integral multiple thereof, only under the following circumstances: (1) during any calendar quarter commencing after March 31, 2014, if, for at least 20 trading days (whether or not consecutive) during the 30 consecutive trading day period ending on, and including, the last trading day of the immediately preceding calendar quarter, the last reported sale price of Yield Inc.'s Class A common stock on such</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trading day is greater than or equal to 130% of the applicable conversion price on such trading day; (2) during the five consecutive business day period immediately following any five consecutive trading day period (that five consecutive trading day period, the "measurement period") in which, for each trading day of that measurement period, the trading price (as defined in the 2019 Indenture) per $1,000 in principal amount of 3.50% Convertible Notes for such trading day was less than 98% of the product of the last reported sale price of Yield Inc.'s Class A common stock on such trading day and the applicable conversion rate on such trading day; or (3) upon the occurrence of specified corporate transactions described in the 2019 Indenture. On and after August 1, 2018 until the close of business on the second scheduled trading day immediately preceding the maturity date, holders may convert all or a portion of their 3.50% Convertible Notes, in principal amounts equal to $1,000 or an integral multiple thereof, at any time, regardless of the foregoing circumstances.</w:t>
      </w:r>
    </w:p>
    <w:p>
      <w:pPr>
        <w:spacing w:after="0" w:line="172" w:lineRule="exact"/>
        <w:rPr>
          <w:sz w:val="20"/>
          <w:szCs w:val="20"/>
          <w:color w:val="auto"/>
        </w:rPr>
      </w:pPr>
    </w:p>
    <w:p>
      <w:pPr>
        <w:ind w:right="40" w:firstLine="348"/>
        <w:spacing w:after="0" w:line="283" w:lineRule="auto"/>
        <w:rPr>
          <w:sz w:val="20"/>
          <w:szCs w:val="20"/>
          <w:color w:val="auto"/>
        </w:rPr>
      </w:pPr>
      <w:r>
        <w:rPr>
          <w:rFonts w:ascii="Arial" w:cs="Arial" w:eastAsia="Arial" w:hAnsi="Arial"/>
          <w:sz w:val="16"/>
          <w:szCs w:val="16"/>
          <w:color w:val="auto"/>
        </w:rPr>
        <w:t>The conversion rate initially equals 21.4822 shares of Yield Inc.'s Class A common stock per $1,000 in principal amount of 3.50% Convertible Notes (which is equivalent to an initial conversion price of approximately $46.55 per share of Yield Inc.'s Class A common stock). On May 15, 2015, the conversion ratio increased to 42.9644 in connection with the Class A stock split. The conversion rate is subject to adjustment upon the occurrence of certain specified events but will not be adjusted for accrued and unpaid interest. In addition, upon the occurrence of a make-whole fundamental change (as defined in the Indenture),</w:t>
      </w:r>
    </w:p>
    <w:p>
      <w:pPr>
        <w:spacing w:after="0" w:line="3"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Yield Inc. will, in certain circumstances, increase the conversion rate by a number of additional shares for a holder that elects to convert its 3.50% Convertible Notes in connection with such make-whole fundamental change. Upon conversion of the 3.50% Convertible Notes, Yield Inc. will settle the conversion through payment or delivery, as the case may be, of cash, shares of Class A common stock or a combination thereof, at Yield Inc.'s election, as described in the 2019 Indenture. Yield Inc. may not redeem the 3.50% Convertible Notes prior to their maturity. Upon the occurrence of a fundamental change (as defined in the 2019 Indenture), holders may require Yield Inc. to purchase all or a portion of their 3.50% Convertible Notes, in principal amounts equal to $1,000 or an integral multiple thereof, for cash at a price equal to 100% of the principal amount of the 3.50% Convertible Notes to be purchased plus any accrued and unpaid interest, if any, to, but excluding, the fundamental change purchase date.</w:t>
      </w:r>
    </w:p>
    <w:p>
      <w:pPr>
        <w:spacing w:after="0" w:line="177"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2019 Indenture provides for customary events of default, which include (subject in certain cases to customary grace and cure periods), among others: nonpayment of principal or interest; breach of other agreements in the indenture; defaults in failure to pay certain other indebtedness; the rendering of judgments to pay certain amounts of money against us and our subsidiaries; the failure of certain guarantees to be enforceable; and certain events of bankruptcy or insolvency. Generally, if an event of default occurs and is not cured within the time periods specified, the Trustee or the holders of at least 25% in principal amount of the 3.50% Convertible Notes may declare all the notes of such series to be due and payable immediately.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Intercompany Note and 3.25% Convertible Notes</w:t>
      </w:r>
    </w:p>
    <w:p>
      <w:pPr>
        <w:spacing w:after="0" w:line="225"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On June 29, 2015, in connection with the issuance by Yield Inc. of the 3.25% convertible notes due 2020 (the "3.25% Convertible Notes"), Yield Operating LLC and Yield Inc. entered into an intercompany note. Pursuant to the intercompany note, Yield Inc. loaned the net proceeds from the 3.25% Convertible Notes to Yield Operating LLC, and Yield Operating LLC agreed to pay interest, principal and other payments under the intercompany note on the same terms and conditions payable by Yield Inc. under the indenture governing the 3.25% Convertible Notes.</w:t>
      </w:r>
    </w:p>
    <w:p>
      <w:pPr>
        <w:spacing w:after="0" w:line="167" w:lineRule="exact"/>
        <w:rPr>
          <w:sz w:val="20"/>
          <w:szCs w:val="20"/>
          <w:color w:val="auto"/>
        </w:rPr>
      </w:pPr>
    </w:p>
    <w:p>
      <w:pPr>
        <w:ind w:firstLine="345"/>
        <w:spacing w:after="0" w:line="256" w:lineRule="auto"/>
        <w:rPr>
          <w:sz w:val="20"/>
          <w:szCs w:val="20"/>
          <w:color w:val="auto"/>
        </w:rPr>
      </w:pPr>
      <w:r>
        <w:rPr>
          <w:rFonts w:ascii="Arial" w:cs="Arial" w:eastAsia="Arial" w:hAnsi="Arial"/>
          <w:sz w:val="18"/>
          <w:szCs w:val="18"/>
          <w:color w:val="auto"/>
        </w:rPr>
        <w:t>Yield Inc. has $287.5 million aggregate principal amount of the 3.25% Convertible Notes outstanding. The Indenture governing the 3.25% Convertible Notes (the "2020 Indenture") provides, among other things, that the 3.25% Convertible Notes are Yield Inc.'s unsecured and unsubordinated obligations and rank senior in right of payment to any of Yield Inc.'s indebtedness that is expressly subordinated in right of payment to the 3.25% Convertible Notes; rank equal in right of payment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Yield Inc.'s unsecured indebtedness that is not so subordinated; be effectively subordinated in right of payment to Yield Inc.'s secured indebtedness to the extent of the value of the assets securing such indebtedness; and be structurally subordinated to all indebtedness and liabilities of Yield Inc.'s non-guarantor subsidiaries. Interest is payable on the 3.25% Convertible Notes on June 1 and December 1 of each year beginning on December 1, 2015 until their maturity date of June 1, 2020.</w:t>
      </w:r>
    </w:p>
    <w:p>
      <w:pPr>
        <w:spacing w:after="0" w:line="197" w:lineRule="exact"/>
        <w:rPr>
          <w:sz w:val="20"/>
          <w:szCs w:val="20"/>
          <w:color w:val="auto"/>
        </w:rPr>
      </w:pPr>
    </w:p>
    <w:p>
      <w:pPr>
        <w:ind w:right="40" w:firstLine="351"/>
        <w:spacing w:after="0" w:line="301" w:lineRule="auto"/>
        <w:rPr>
          <w:sz w:val="20"/>
          <w:szCs w:val="20"/>
          <w:color w:val="auto"/>
        </w:rPr>
      </w:pPr>
      <w:r>
        <w:rPr>
          <w:rFonts w:ascii="Arial" w:cs="Arial" w:eastAsia="Arial" w:hAnsi="Arial"/>
          <w:sz w:val="15"/>
          <w:szCs w:val="15"/>
          <w:color w:val="auto"/>
        </w:rPr>
        <w:t>Prior to the close of business on the business day immediately preceding December 1, 2019, holders may convert all or a portion of their 3.25% Convertible Notes, in principal amounts equal to $1,000 or an integral multiple thereof, only under the following circumstances: (1) during any calendar quarter commencing after September 30, 2015, if, for at least 20 trading days (whether or not consecutive) during the 30 consecutive trading day period ending on, and including, the last trading day of the immediately preceding calendar quarter, the last reported sale price of Yield Inc.'s Class C common stock on such trading day is greater than or equal to 130% of the applicable conversion price on such trading day; (2) during the five consecutive business day period immediately following any five consecutive trading day period (that five consecutive trading day period, the "measurement period") in which, for each trading day of that measurement period, the trading price (as defined in the 2020 Indenture) per $1,000 in principal amount of 3.25% Convertible Notes for such trading day was less than 98% of the product of the last reported sale price of Yield Inc.'s Class C common stock on such trading day and the applicable conversion rate on such trading day; or</w:t>
      </w:r>
    </w:p>
    <w:p>
      <w:pPr>
        <w:spacing w:after="0" w:line="4" w:lineRule="exact"/>
        <w:rPr>
          <w:sz w:val="20"/>
          <w:szCs w:val="20"/>
          <w:color w:val="auto"/>
        </w:rPr>
      </w:pPr>
    </w:p>
    <w:p>
      <w:pPr>
        <w:ind w:right="340" w:firstLine="8"/>
        <w:spacing w:after="0" w:line="302" w:lineRule="auto"/>
        <w:tabs>
          <w:tab w:leader="none" w:pos="2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upon the occurrence of specified corporate transactions described in the 2020 Indenture. On and after December 1, 2019 until the close of business on the second scheduled trading day immediately preceding the maturity date, holders may convert all or a portion of their 3.25% Convertible Notes, in principal amounts equal to $1,000 or an integral multiple thereof, at any time, regardless of the foregoing circumstances.</w:t>
      </w:r>
    </w:p>
    <w:p>
      <w:pPr>
        <w:spacing w:after="0" w:line="163"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conversion rate initially equals 36.3636 shares of Yield Inc.'s Class C common stock per $1,000 in principal amount of 3.25% Convertible Notes (which is equivalent to an initial conversion price of approximately $27.50 per share of Yield Inc.'s Class C common stock). The conversion rate is subject to adjustment upon the occurrence of certain specified events but will not be adjusted for accrued and unpaid interest. In addition, upon the occurrence of a make-whole fundamental change (as defined in the 2020 Indenture), Yield Inc. will, in certain circumstances, increase the conversion rate by a number of additional shares for a holder that elects to convert its 3.25% Convertible Notes in connection with such make-whole fundamental change. Upon conversion of the 3.25% Convertible Notes, Yield Inc. will settle the conversion through payment or delivery, as the case may be, of cash, shares of Class C common stock or a combination thereof, at Yield Inc.'s election, as described in the 2020 Indenture. Yield Inc. may not redeem the 3.25% Convertible Notes prior to their maturity. Upon the occurrence of a fundamental change (as defined in the 2020 Indenture), holders may require Yield Inc. to purchase all or a portion of their 3.25% Convertible Notes, in principal amounts equal to $1,000 or an integral multiple thereof, for cash at a price equal to 100% of the principal amount of the 3.25% Convertible Notes to be purchased plus any accrued and unpaid interest, if any, to, but excluding, the fundamental change purchase date.</w:t>
      </w:r>
    </w:p>
    <w:p>
      <w:pPr>
        <w:spacing w:after="0" w:line="17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2020 Indenture provides for customary events of default, which include (subject in certain cases to customary grace and cure periods), among others: nonpayment of principal or interest; breach of other agreements in the indenture; defaults in failure to pay certain other indebtedness; the rendering of judgments to pay certain amounts of money against us and our subsidiaries; the failure of certain guarantees to be enforceable; and certain events of bankruptcy or insolvency. Generally, if an event of default occurs and is not cured within the time periods specified, the Trustee or the holders of at least 25% in principal amount of the 3.25% Convertible Notes may declare all the notes of such series to be due and payable immediately.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Project-Level Financing Arrangements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to the corporate level debt described above, we have outstanding project specific non-recourse financing that is backed by certain of our assets. These financing arrangements generally include customary covenants, including restrictive covenants that limit the ability of the project level entities to make cash distributions to their parent companies and ultimately to us, including if certain financial ratios are not met. For a description of such project level financing arrangements, see Note 10—Long-term Debt in the Notes to Consolidated Financial Statements included in our 2016 Form 10-K and Note 6—Long-term Debt in the Notes to Consolidated Financial Statements included in our First Quarter Form 10-Q, which are incorporated herein by reference.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 this description, "Yield Operating LLC" refers only to NRG Yield Operating LLC and not to any of its subsidiaries or parent entities.</w:t>
      </w:r>
    </w:p>
    <w:p>
      <w:pPr>
        <w:spacing w:after="0" w:line="225" w:lineRule="exact"/>
        <w:rPr>
          <w:sz w:val="20"/>
          <w:szCs w:val="20"/>
          <w:color w:val="auto"/>
        </w:rPr>
      </w:pPr>
    </w:p>
    <w:p>
      <w:pPr>
        <w:ind w:right="100" w:firstLine="345"/>
        <w:spacing w:after="0" w:line="254" w:lineRule="auto"/>
        <w:rPr>
          <w:sz w:val="20"/>
          <w:szCs w:val="20"/>
          <w:color w:val="auto"/>
        </w:rPr>
      </w:pPr>
      <w:r>
        <w:rPr>
          <w:rFonts w:ascii="Arial" w:cs="Arial" w:eastAsia="Arial" w:hAnsi="Arial"/>
          <w:sz w:val="18"/>
          <w:szCs w:val="18"/>
          <w:color w:val="auto"/>
        </w:rPr>
        <w:t>Yield Operating LLC issued the Old Notes under an indenture among Yield Operating LLC, the Guarantors named therein and Delaware Trust Company (successor in interest to Law Debenture Trust Company of New York), as trustee (the "indenture"). The terms of the Exchange Notes offered in exchange for the Old Notes will be substantially identical to the terms of the Old Notes, except that the Exchange Notes are registered under the Securities Act, and the transfer restrictions, registration rights and related additional interest terms applicable to the Old Notes (as described under "Exchange Offer—Purpose of the exchange offer") will not apply to the Exchange Notes. As a result, we refer to the Exchange Notes and the Old Notes collectively as the "notes" for purposes of the following summary.</w:t>
      </w:r>
    </w:p>
    <w:p>
      <w:pPr>
        <w:spacing w:after="0" w:line="19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statements under this caption relating to the indenture and the notes are summaries and are not a complete description thereof, and where reference is made to particular provisions, such provisions, including the definitions of certain terms, are qualified in their entirety by reference to all of the provisions of the indenture and the notes and those terms made part of the indenture by the Trust Indenture Act of 1939, as amended (the "Trust Indenture Act"). The definitions of certain capitalized terms used in the following summary are set forth under the caption "—Certain Definitions." Certain defined terms used in this description but not defined below under "—Certain Definitions" have the meanings assigned to them in the indenture and the registration rights agreement. Copies of the indenture are available upon request from Yield Operating LLC. We urge you to read these documents carefully because they, and not the following description, govern your rights as a holder.</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registered holder of a note is treated as the owner of it for all purposes. Only registered holders of notes have rights under the indenture.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be general unsecured obligations of Yield Operating LLC;</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Yield Operating LLC, including Yield Operating LLC's Indebtedness under the Credit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be senior in right of payment to any future subordinated Indebtedness of Yield Operating LLC;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be unconditionally guaranteed on a joint and several basis by the Guarantors.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However, the notes will be effectively subordinated to all borrowings under the Credit Agreement, which is secured by substantially all of the assets of Yield Operating LLC and the Guarantors, and any other secured Indebtedness (including any secured Hedging Obligations) of Yield Operating LLC or the Guarantors, in each case to the extent of the value of the assets that secure the Credit Agreement or such other secured Indebtedness. See "Risk Factors—Risks Related to the Notes—In the event of a bankruptcy or insolvency, holders of our secured indebtedness and other secured obligations will have a prior secured claim to any collateral securing such indebtedness or other obligations."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Parent Guarantor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will be guaranteed by NRG Yield LLC (the "</w:t>
      </w:r>
      <w:r>
        <w:rPr>
          <w:rFonts w:ascii="Arial" w:cs="Arial" w:eastAsia="Arial" w:hAnsi="Arial"/>
          <w:sz w:val="18"/>
          <w:szCs w:val="18"/>
          <w:i w:val="1"/>
          <w:iCs w:val="1"/>
          <w:color w:val="auto"/>
        </w:rPr>
        <w:t>Parent Guarantor</w:t>
      </w:r>
      <w:r>
        <w:rPr>
          <w:rFonts w:ascii="Arial" w:cs="Arial" w:eastAsia="Arial" w:hAnsi="Arial"/>
          <w:sz w:val="18"/>
          <w:szCs w:val="18"/>
          <w:color w:val="auto"/>
        </w:rPr>
        <w:t>"). The Parent Guarantee of the notes:</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 be a general unsecured obligation of the Parent Guarantor;</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the Parent Guarantor, including the Parent Guarantor's guarantee under the Credit Agreement;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 be senior in right of payment to any future subordinated Indebtedness of the Parent Guarantor.</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However, the Parent Guarantor's guarantee of the notes will be effectively subordinated to the Parent Guarantor's guarantee under the Credit Agreement and any other secured Indebtedness of the Parent Guarantor (including any secured Hedging Obligations), in each case, to the extent of the value of the assets of the Parent Guarantor that secure the Credit Agreement or such other secured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Subsidiary Guarantors</w:t>
      </w:r>
    </w:p>
    <w:p>
      <w:pPr>
        <w:spacing w:after="0" w:line="231"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In addition to the Parent Guarantee, the notes will initially be guaranteed by each Wholly Owned Subsidiary of Yield Operating LLC that guarantees any obligations of Yield Operating LLC under the Credit Agreement of Yield Operating LLC. Each Subsidiary Guarantee of the notes:</w:t>
      </w:r>
    </w:p>
    <w:p>
      <w:pPr>
        <w:spacing w:after="0" w:line="153"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will be a general unsecured obligation of the Subsidiary Guarantor;</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that Subsidiary Guarantor, including such Subsidiary Guarantor's guarantee under the Credit Agreement;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will be senior in right of payment to any future subordinated Indebtedness of that Subsidiary Guarantor.</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However, each Subsidiary Guarantor's guarantee of the notes will be effectively subordinated to such Subsidiary Guarantor's guarantee under the Credit Agreement and any other secured Indebtedness of such Subsidiary Guarantor (including any secured Hedging Obligations), in each case, to the extent of the value of the assets of such Subsidiary Guarantor that secure the Credit Agreement or such other secured Indebtedness.</w:t>
      </w:r>
    </w:p>
    <w:p>
      <w:pPr>
        <w:spacing w:after="0" w:line="16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operations of Yield Operating LLC are primarily conducted through its subsidiaries and, therefore, Yield Operating LLC depends on the cash flow of its subsidiaries to meet its obligations, including its obligations under the notes. Not all of Yield Operating LLC's subsidiaries will guarantee the notes. The notes will be effectively subordinated in right of payment to all Indebtedness and other liabilities and commitments (including trade payables, lease obligations, project financing and other indebtedness for borrowed money and Hedging Obligations) of these non-guarantor subsidiaries. Any right of Yield Operating LLC to receive assets of any of its subsidiaries upon the subsidiary's liquidation or reorganization (and the consequent right of the holders of notes to participate in those assets) will be effectively subordinated to the claims of that subsidiary's creditors, except to the extent that Yield Operating LLC is itself recognized as a creditor of the subsidiary, in which case its claims would still be subordinate in right of payment to any security in the assets of the subsidiary and any indebtedness of the subsidiary senior to that held by Yield Operating LLC. The Subsidiary Guarantors accounted for approximately 2% and 2% of Yield Operating LLC's revenues from operations for the twelve months ended December 31, 2016 and the three months ended March 31, 2017, respectively. The Subsidiary Guarantors held approximately 9% of Yield Operating LLC's consolidated assets as of March 31, 2017. As of March 31, 2017, Yield Operating LLC's non-guarantor subsidiaries had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approximately $4,347 million in aggregate principal amount of non-current liabilities and outstanding trade payables of approximately $25 million.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31" w:lineRule="exact"/>
        <w:rPr>
          <w:sz w:val="20"/>
          <w:szCs w:val="20"/>
          <w:color w:val="auto"/>
        </w:rPr>
      </w:pPr>
    </w:p>
    <w:p>
      <w:pPr>
        <w:ind w:firstLine="345"/>
        <w:spacing w:after="0" w:line="298" w:lineRule="auto"/>
        <w:rPr>
          <w:sz w:val="20"/>
          <w:szCs w:val="20"/>
          <w:color w:val="auto"/>
        </w:rPr>
      </w:pPr>
      <w:r>
        <w:rPr>
          <w:rFonts w:ascii="Arial" w:cs="Arial" w:eastAsia="Arial" w:hAnsi="Arial"/>
          <w:sz w:val="16"/>
          <w:szCs w:val="16"/>
          <w:color w:val="auto"/>
        </w:rPr>
        <w:t>Yield Operating LLC will issue up to $350 million aggregate principal amount of Exchange Notes in this offering. Yield Operating LLC may issue additional notes of the same series under the indenture from time to time after this offering. Any issuance of additional notes is subject to all of the covenants in the indenture. The notes and any additional notes of the same series subsequently issued under the indenture will be treated as a single class for all purposes under the indenture, including, without limitation, waivers, amendments, redemptions and offers to purchase.</w:t>
      </w:r>
    </w:p>
    <w:p>
      <w:pPr>
        <w:spacing w:after="0" w:line="167" w:lineRule="exact"/>
        <w:rPr>
          <w:sz w:val="20"/>
          <w:szCs w:val="20"/>
          <w:color w:val="auto"/>
        </w:rPr>
      </w:pPr>
    </w:p>
    <w:p>
      <w:pPr>
        <w:ind w:right="40" w:firstLine="345"/>
        <w:spacing w:after="0" w:line="268" w:lineRule="auto"/>
        <w:rPr>
          <w:sz w:val="20"/>
          <w:szCs w:val="20"/>
          <w:color w:val="auto"/>
        </w:rPr>
      </w:pPr>
      <w:r>
        <w:rPr>
          <w:rFonts w:ascii="Arial" w:cs="Arial" w:eastAsia="Arial" w:hAnsi="Arial"/>
          <w:sz w:val="18"/>
          <w:szCs w:val="18"/>
          <w:color w:val="auto"/>
        </w:rPr>
        <w:t>Yield Operating LLC will issue notes in denominations of $2,000 and integral multiples of $1,000 in excess thereof. The notes will mature on September 15, 2026.</w:t>
      </w:r>
    </w:p>
    <w:p>
      <w:pPr>
        <w:spacing w:after="0" w:line="186"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color w:val="auto"/>
        </w:rPr>
        <w:t>Interest will accrue at the rate of 5.000% per annum, and will be payable semi-annually in arrears on March 15 and September 15 of each year, commencing on March 15, 2017. Yield Operating LLC will make each interest payment to the holders of record on the immediately preceding March 1 and September 1.</w:t>
      </w:r>
    </w:p>
    <w:p>
      <w:pPr>
        <w:spacing w:after="0" w:line="11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If a holder of notes has given wire transfer instructions to Yield Operating LLC, Yield Operating LLC will pay or cause to be paid all principal, interest and premium on that holder's notes in accordance with those instructions. All other payments on notes will be made at the office or agency of the paying agent and registrar within the City and State of New York unless Yield Operating LLC elects to make interest payments by check mailed to the holders of the notes at their address set forth in the register of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Yield Operating LLC may change the paying agent or registrar without prior notice to the holders of the notes, and Yield Operating LLC or any of its Subsidiaries or parent entities may act as paying agent or registrar.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31"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of the notes will be required to pay all taxes due on transfer. Yield Operating LLC is not required to transfer or exchange any note selected for redemption. Also, Yield Operating LLC is not required to transfer or exchange any note for a period of 15 days before a selection of notes to be redeemed.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Guarantee</w:t>
      </w:r>
    </w:p>
    <w:p>
      <w:pPr>
        <w:spacing w:after="0" w:line="231" w:lineRule="exact"/>
        <w:rPr>
          <w:sz w:val="20"/>
          <w:szCs w:val="20"/>
          <w:color w:val="auto"/>
        </w:rPr>
      </w:pPr>
    </w:p>
    <w:p>
      <w:pPr>
        <w:ind w:right="120" w:firstLine="345"/>
        <w:spacing w:after="0" w:line="259" w:lineRule="auto"/>
        <w:rPr>
          <w:sz w:val="20"/>
          <w:szCs w:val="20"/>
          <w:color w:val="auto"/>
        </w:rPr>
      </w:pPr>
      <w:r>
        <w:rPr>
          <w:rFonts w:ascii="Arial" w:cs="Arial" w:eastAsia="Arial" w:hAnsi="Arial"/>
          <w:sz w:val="18"/>
          <w:szCs w:val="18"/>
          <w:color w:val="auto"/>
        </w:rPr>
        <w:t>Yield Operating LLC's payment obligations under the notes will be guaranteed on a full and unconditional basis by the Parent Guarantor. The obligations of the Parent Guarantor under the Parent Guarantee will be limited as necessary to prevent the Parent Guarantee from constituting a fraudulent conveyance under Applicable Law. See "Risk Factors—Risks Related to the Notes—Federal and state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statutes allow courts, under specific circumstances, to void guarantees and require holders of the notes to return payments received from guarantors."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Guarantees</w:t>
      </w:r>
    </w:p>
    <w:p>
      <w:pPr>
        <w:spacing w:after="0" w:line="231" w:lineRule="exact"/>
        <w:rPr>
          <w:sz w:val="20"/>
          <w:szCs w:val="20"/>
          <w:color w:val="auto"/>
        </w:rPr>
      </w:pPr>
    </w:p>
    <w:p>
      <w:pPr>
        <w:ind w:right="20" w:firstLine="345"/>
        <w:spacing w:after="0" w:line="255" w:lineRule="auto"/>
        <w:rPr>
          <w:sz w:val="20"/>
          <w:szCs w:val="20"/>
          <w:color w:val="auto"/>
        </w:rPr>
      </w:pPr>
      <w:r>
        <w:rPr>
          <w:rFonts w:ascii="Arial" w:cs="Arial" w:eastAsia="Arial" w:hAnsi="Arial"/>
          <w:sz w:val="18"/>
          <w:szCs w:val="18"/>
          <w:color w:val="auto"/>
        </w:rPr>
        <w:t>Yield Operating LLC's payment obligations under the notes will be guaranteed on a full and unconditional basis by each of the Subsidiary Guarantors. These Subsidiary Guarantees will be joint and several obligations of the Subsidiary Guarantors. The obligations of each Subsidiary Guarantor under its Subsidiary Guarantee will be limited as necessary to prevent that Subsidiary Guarantee from constituting a fraudulent conveyance under Applicable Law. See "Risk Factors —Risks Related to the Notes—Federal and state statutes allow courts, under specific circumstances, to void guarantees and require holders of the notes to return payments received from guarantors."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Subsidiary Guarantee of a Subsidiary Guarantor will be released automatically:</w:t>
      </w:r>
    </w:p>
    <w:p>
      <w:pPr>
        <w:spacing w:after="0" w:line="225" w:lineRule="exact"/>
        <w:rPr>
          <w:sz w:val="20"/>
          <w:szCs w:val="20"/>
          <w:color w:val="auto"/>
        </w:rPr>
      </w:pPr>
    </w:p>
    <w:p>
      <w:pPr>
        <w:ind w:left="540" w:right="80" w:firstLine="359"/>
        <w:spacing w:after="0" w:line="259" w:lineRule="auto"/>
        <w:tabs>
          <w:tab w:leader="none" w:pos="12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Yield Operating LLC or a Subsidiary of Yield Operating LLC;</w:t>
      </w:r>
    </w:p>
    <w:p>
      <w:pPr>
        <w:spacing w:after="0" w:line="194" w:lineRule="exact"/>
        <w:rPr>
          <w:rFonts w:ascii="Arial" w:cs="Arial" w:eastAsia="Arial" w:hAnsi="Arial"/>
          <w:sz w:val="18"/>
          <w:szCs w:val="18"/>
          <w:color w:val="auto"/>
        </w:rPr>
      </w:pPr>
    </w:p>
    <w:p>
      <w:pPr>
        <w:ind w:left="540" w:firstLine="359"/>
        <w:spacing w:after="0" w:line="259" w:lineRule="auto"/>
        <w:tabs>
          <w:tab w:leader="none" w:pos="12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Capital Stock of that Subsidiary Guarantor to a Person that is not (either before or after giving effect to such transaction) Yield Operating LLC or a Subsidiary of Yield Operating LLC, if following such sale or other disposition, that Subsidiary Guarantor is no longer a direct or indirect Subsidiary of Yield Operating LLC;</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repayment in full of the notes;</w:t>
      </w:r>
    </w:p>
    <w:p>
      <w:pPr>
        <w:spacing w:after="0" w:line="225" w:lineRule="exact"/>
        <w:rPr>
          <w:rFonts w:ascii="Arial" w:cs="Arial" w:eastAsia="Arial" w:hAnsi="Arial"/>
          <w:sz w:val="18"/>
          <w:szCs w:val="18"/>
          <w:color w:val="auto"/>
        </w:rPr>
      </w:pPr>
    </w:p>
    <w:p>
      <w:pPr>
        <w:ind w:left="540" w:right="880" w:firstLine="359"/>
        <w:spacing w:after="0" w:line="268" w:lineRule="auto"/>
        <w:tabs>
          <w:tab w:leader="none" w:pos="12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defeasance or satisfaction and discharge of the notes as provided below under the captions "—Legal Defeasance and Covenant Defeasance" and "—Satisfaction and Discharge;"</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a dissolution of a Subsidiary Guarantor that is permitted under the indenture; or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otherwise with respect to the Guarantee of any Subsidiary Guarantor:</w:t>
      </w:r>
    </w:p>
    <w:p>
      <w:pPr>
        <w:spacing w:after="0" w:line="225" w:lineRule="exact"/>
        <w:rPr>
          <w:rFonts w:ascii="Arial" w:cs="Arial" w:eastAsia="Arial" w:hAnsi="Arial"/>
          <w:sz w:val="18"/>
          <w:szCs w:val="18"/>
          <w:color w:val="auto"/>
        </w:rPr>
      </w:pPr>
    </w:p>
    <w:p>
      <w:pPr>
        <w:ind w:left="1760" w:hanging="320"/>
        <w:spacing w:after="0"/>
        <w:tabs>
          <w:tab w:leader="none" w:pos="17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upon the prior consent of holders of at least a majority in aggregate principal amount of the notes then outstanding;</w:t>
      </w:r>
    </w:p>
    <w:p>
      <w:pPr>
        <w:spacing w:after="0" w:line="225" w:lineRule="exact"/>
        <w:rPr>
          <w:rFonts w:ascii="Arial" w:cs="Arial" w:eastAsia="Arial" w:hAnsi="Arial"/>
          <w:sz w:val="18"/>
          <w:szCs w:val="18"/>
          <w:color w:val="auto"/>
        </w:rPr>
      </w:pPr>
    </w:p>
    <w:p>
      <w:pPr>
        <w:ind w:left="1080" w:firstLine="360"/>
        <w:spacing w:after="0" w:line="254" w:lineRule="auto"/>
        <w:tabs>
          <w:tab w:leader="none" w:pos="17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Yield Operating LLC has Indebtedness outstanding under the Credit Agreement at that time, upon the consent of the requisite lenders under the Credit Agreement to the release of such Subsidiary Guarantor's Guarantee of all Obligations under the Credit Agreement, or, if there is no Indebtedness of Yield Operating LLC outstanding under the Credit Agreement at that time, upon the requisite consent of the holders of all other Material Indebtedness ofYield Operating LLC that is guaranteed by such Subsidiary Guarantor at that time outstanding to the release of such Subsidiary Guarantor's Guarantee of all Obligations with respect to all such other Material Indebtedness that is guaranteed by such Subsidiary Guarantor at that time; or</w:t>
      </w:r>
    </w:p>
    <w:p>
      <w:pPr>
        <w:spacing w:after="0" w:line="198" w:lineRule="exact"/>
        <w:rPr>
          <w:rFonts w:ascii="Arial" w:cs="Arial" w:eastAsia="Arial" w:hAnsi="Arial"/>
          <w:sz w:val="18"/>
          <w:szCs w:val="18"/>
          <w:color w:val="auto"/>
        </w:rPr>
      </w:pPr>
    </w:p>
    <w:p>
      <w:pPr>
        <w:ind w:left="1080" w:right="60" w:firstLine="360"/>
        <w:spacing w:after="0" w:line="298" w:lineRule="auto"/>
        <w:tabs>
          <w:tab w:leader="none" w:pos="1758" w:val="left"/>
        </w:tabs>
        <w:numPr>
          <w:ilvl w:val="1"/>
          <w:numId w:val="36"/>
        </w:numPr>
        <w:rPr>
          <w:rFonts w:ascii="Arial" w:cs="Arial" w:eastAsia="Arial" w:hAnsi="Arial"/>
          <w:sz w:val="16"/>
          <w:szCs w:val="16"/>
          <w:color w:val="auto"/>
        </w:rPr>
      </w:pPr>
      <w:r>
        <w:rPr>
          <w:rFonts w:ascii="Arial" w:cs="Arial" w:eastAsia="Arial" w:hAnsi="Arial"/>
          <w:sz w:val="16"/>
          <w:szCs w:val="16"/>
          <w:color w:val="auto"/>
        </w:rPr>
        <w:t>if Yield Operating LLC has Indebtedness outstanding under the Credit Agreement at that time, upon the release of such Subsidiary Guarantor's Guarantee of all Obligations of Yield Operating LLC under the Credit Agreement, or, if there is no Indebtedness of Yield Operating LLC outstanding under the Credit Agreement at that time, upon the release of such Subsidiary Guarantor's Guarantee of all Obligations with respect to all other Material Indebtedness of Yield Operating LLC at that time outstanding.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right="100" w:firstLine="341"/>
        <w:spacing w:after="0" w:line="323" w:lineRule="auto"/>
        <w:rPr>
          <w:sz w:val="20"/>
          <w:szCs w:val="20"/>
          <w:color w:val="auto"/>
        </w:rPr>
      </w:pPr>
      <w:r>
        <w:rPr>
          <w:rFonts w:ascii="Arial" w:cs="Arial" w:eastAsia="Arial" w:hAnsi="Arial"/>
          <w:sz w:val="15"/>
          <w:szCs w:val="15"/>
          <w:color w:val="auto"/>
        </w:rPr>
        <w:t xml:space="preserve">At any time prior to September 15, 2019, Yield Operating LLC may on any one or more occasions redeem up to 35% of the aggregate principal amount of the notes, upon not less than 30 nor more than 60 days' prior notice, at a redemption price equal to 105.000% of the principal amount of the notes redeemed, plus accrued and unpaid interest (including Special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w:t>
      </w:r>
    </w:p>
    <w:p>
      <w:pPr>
        <w:spacing w:after="0" w:line="152" w:lineRule="exact"/>
        <w:rPr>
          <w:sz w:val="20"/>
          <w:szCs w:val="20"/>
          <w:color w:val="auto"/>
        </w:rPr>
      </w:pPr>
    </w:p>
    <w:p>
      <w:pPr>
        <w:ind w:left="540" w:firstLine="359"/>
        <w:spacing w:after="0" w:line="268" w:lineRule="auto"/>
        <w:tabs>
          <w:tab w:leader="none" w:pos="12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least 65% of the aggregate principal amount of the notes issued in this offering (excluding notes held by Yield Operating LLC, its Subsidiaries and parent entities) remains outstanding immediately after the occurrence of such redemption;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redemption occurs within 90 days of the date of the closing of such Equity Offering.</w:t>
      </w:r>
    </w:p>
    <w:p>
      <w:pPr>
        <w:spacing w:after="0" w:line="22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At any time prior to September 15, 2021, Yield Operating LLC may on any one or more occasions redeem all or a part of the notes, upon not less than 30 nor more than 60 days' prior notice, at a redemption price equal to 100% of the principal amount of notes redeemed plus the Applicable Premium as of, and accrued and unpaid interest (including Special Interest), if any, to, the redemption date, subject to the rights of holders of notes on the relevant record date to receive interest due on the relevant interest payment date.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pursuant to the preceding paragraphs, the notes will not be redeemable at Yield Operating LLC's option prior to September 15, 2021.</w:t>
      </w:r>
    </w:p>
    <w:p>
      <w:pPr>
        <w:spacing w:after="0" w:line="248" w:lineRule="exact"/>
        <w:rPr>
          <w:sz w:val="20"/>
          <w:szCs w:val="20"/>
          <w:color w:val="auto"/>
        </w:rPr>
      </w:pPr>
    </w:p>
    <w:p>
      <w:pPr>
        <w:jc w:val="both"/>
        <w:ind w:right="280" w:firstLine="351"/>
        <w:spacing w:after="0" w:line="323" w:lineRule="auto"/>
        <w:rPr>
          <w:sz w:val="20"/>
          <w:szCs w:val="20"/>
          <w:color w:val="auto"/>
        </w:rPr>
      </w:pPr>
      <w:r>
        <w:rPr>
          <w:rFonts w:ascii="Arial" w:cs="Arial" w:eastAsia="Arial" w:hAnsi="Arial"/>
          <w:sz w:val="15"/>
          <w:szCs w:val="15"/>
          <w:color w:val="auto"/>
        </w:rPr>
        <w:t>On or after September 15, 2021, Yield Operating LLC may on any one or more occasions redeem all or a part of the notes upon not less than 30 nor more than 60 days' prior notice, at the redemption prices (expressed as percentages of principal amount) set forth below plus accrued and unpaid interest (including Special Interest), if any, on the notes redeemed, to the applicable redemption date, if redeemed during the 12-month period beginning on September 15 of the years indicated below, subject to the rights of holders of notes on the relevant record date to receive interest on the relevant interest payment date.</w:t>
      </w:r>
    </w:p>
    <w:p>
      <w:pPr>
        <w:spacing w:after="0" w:line="1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0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2022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100.833%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560" w:firstLine="345"/>
        <w:spacing w:after="0" w:line="268" w:lineRule="auto"/>
        <w:rPr>
          <w:sz w:val="20"/>
          <w:szCs w:val="20"/>
          <w:color w:val="auto"/>
        </w:rPr>
      </w:pPr>
      <w:r>
        <w:rPr>
          <w:rFonts w:ascii="Arial" w:cs="Arial" w:eastAsia="Arial" w:hAnsi="Arial"/>
          <w:sz w:val="18"/>
          <w:szCs w:val="18"/>
          <w:color w:val="auto"/>
        </w:rPr>
        <w:t>Yield Operating LLC and its affiliates are not prohibited, however, from acquiring the notes in market transactions by means other than a redemption, whether pursuant to a tender offer or otherwise, assuming such action does not otherwise violate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Yield Operating LLC will not be required to make mandatory redemption or sinking fund payments with respect to the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Triggering Event</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a Change of Control Triggering Event occurs, each holder of notes will have the right to require Yield Operating LLC to repurchase all or any part (equal to $2,000 or an integral multiple of $1,000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excess thereof) of that holder's notes pursuant to a Change of Control Offer on the terms set forth in the indenture.</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the Change of Control Offer, Yield Operating LLC will offer a Change of Control Payment in cash equal to 101% of the aggregate principal amount of the notes, plus accrued and unpaid interest (including Special Interest), if any, on the notes to the date of purchase, subject to the rights of holders of the notes on the relevant record date to receive interest due on the relevant interest payment date. Within 30 days following any Change of Control Triggering Event, Yield Operating LLC will mail a notice to each holder describing the transaction or transactions that constitute the Change of Control and offering to repurchase notes on the Change of Control Payment Date specified in the notice, which date will be no earlier than 30 days and no later than 60 days from the date such notice is mailed, pursuant to the procedures required by the indenture and described in such notice. Yield Operating LLC will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Change of Control provisions of the indenture, Yield Operating LLC will comply with the applicable securities laws and regulations and will not be deemed to have breached its obligations under the Change of Control provisions of the indenture by virtue of such compliance.</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the Change of Control Payment Date, Yield Operating LLC will, to the extent lawful:</w:t>
      </w:r>
    </w:p>
    <w:p>
      <w:pPr>
        <w:spacing w:after="0" w:line="225" w:lineRule="exact"/>
        <w:rPr>
          <w:sz w:val="20"/>
          <w:szCs w:val="20"/>
          <w:color w:val="auto"/>
        </w:rPr>
      </w:pPr>
    </w:p>
    <w:p>
      <w:pPr>
        <w:ind w:left="1240" w:hanging="341"/>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ind w:left="540" w:right="340" w:firstLine="359"/>
        <w:spacing w:after="0" w:line="268" w:lineRule="auto"/>
        <w:tabs>
          <w:tab w:leader="none" w:pos="12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Yield Operating LLC.</w:t>
      </w:r>
    </w:p>
    <w:p>
      <w:pPr>
        <w:spacing w:after="0" w:line="186"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 xml:space="preserve">The paying agent will promptly mail to each holder of notes properly tendered the Change of Control Payment for the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principal amount of $2,000 or an integral multiple of $1,000 in excess thereof. Yield Operating LLC will publicly announce the results of the Change of Control Offer on or as soon as practicable after the Change of Control Payment Date.</w:t>
      </w:r>
    </w:p>
    <w:p>
      <w:pPr>
        <w:spacing w:after="0" w:line="16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provisions described above that require Yield Operating LLC to make a Change of Control Offer following a Change of Control Triggering Event will be applicable whether or not any other provisions of the indenture are applicable.</w:t>
      </w:r>
    </w:p>
    <w:p>
      <w:pPr>
        <w:spacing w:after="0" w:line="186"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Except as described above with respect to a Change of Control Triggering Event, the indenture does not contain provisions that permit the holders of the notes to require that Yield Operating LLC repurchase or redeem the notes in the event of a takeover, recapitalization or similar transaction.</w:t>
      </w:r>
    </w:p>
    <w:p>
      <w:pPr>
        <w:spacing w:after="0" w:line="139" w:lineRule="exact"/>
        <w:rPr>
          <w:sz w:val="20"/>
          <w:szCs w:val="20"/>
          <w:color w:val="auto"/>
        </w:rPr>
      </w:pPr>
    </w:p>
    <w:p>
      <w:pPr>
        <w:ind w:right="320" w:firstLine="345"/>
        <w:spacing w:after="0" w:line="294" w:lineRule="auto"/>
        <w:rPr>
          <w:sz w:val="20"/>
          <w:szCs w:val="20"/>
          <w:color w:val="auto"/>
        </w:rPr>
      </w:pPr>
      <w:r>
        <w:rPr>
          <w:rFonts w:ascii="Arial" w:cs="Arial" w:eastAsia="Arial" w:hAnsi="Arial"/>
          <w:sz w:val="16"/>
          <w:szCs w:val="16"/>
          <w:color w:val="auto"/>
        </w:rPr>
        <w:t>Yield Operating LLC will not be required to make a Change of Control Offer upon a Change of Control Triggering Event if (1) a third party makes the Change of Control Offer in the manner, at the times and otherwise in compliance with the requirements set forth in the indenture applicable to a Change of Control Offer made by Yield Operating LLC and purchases all notes properly tendered and not withdrawn under the Change of Control Offer, or (2) notice of redemption has been given pursuant to the indenture as described above under the caption "—Optional Redemption," unless and until there is a default in payment of the applicable redemption price. A Change of Control Offer may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be made in advance of a Change of Control Triggering Event, with the obligation to pay and the timing of payment conditioned upon the occurrence of a Change of Control Triggering Event, if a definitive agreement to effect a Change of Control is in place at the time the Change of Control Offer is made.</w:t>
      </w:r>
    </w:p>
    <w:p>
      <w:pPr>
        <w:spacing w:after="0" w:line="139"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Yield Operating LLC and its Subsidiaries taken as a whole. There is a limited body of case law interpreting the phrase "substantially all," and there is no precise established definition of the phrase under Applicable Law. Accordingly, the ability of a holder of notes to require Yield Operating LLC to repurchase its notes as a result of a sale, lease, transfer, conveyance or other disposition of less than all of the assets of Yield Operating LLC and its Subsidiaries taken as a whole to another Person or group may be uncertain.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If less than all of the notes are to be redeemed at any time, the trustee for the notes will select notes for redemption on a pro rata basis unless otherwise required by law or applicable stock exchange requirements.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No notes of $2,000 or less can be redeemed in part. Notices of redemption will be mailed by first class mail at least 30 but not more than 60 days before the redemption date to each holder of notes to be redeemed at its registered address, except that redemption notices may be mailed more than 60 days prior to a redemption date if the notice is issued in connection with a defeasance of the notes or a satisfaction and discharge of the indenture. Any redemption notice may, in Yield Operating LLC's discretion, be subject to the satisfaction of one or more conditions precedent. If a redemption notice is subject to satisfaction of one or more conditions precedent, such notice will state that, at Yield Operating LLC's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17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 so long as Yield Operating LLC has deposited with the paying agent funds sufficient to pay the principal of, plus accrued and unpaid interest and premium, if any, on, the notes to be redeemed.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225" w:lineRule="exact"/>
        <w:rPr>
          <w:sz w:val="20"/>
          <w:szCs w:val="20"/>
          <w:color w:val="auto"/>
        </w:rPr>
      </w:pPr>
    </w:p>
    <w:p>
      <w:pPr>
        <w:ind w:right="40" w:firstLine="345"/>
        <w:spacing w:after="0" w:line="298" w:lineRule="auto"/>
        <w:rPr>
          <w:sz w:val="20"/>
          <w:szCs w:val="20"/>
          <w:color w:val="auto"/>
        </w:rPr>
      </w:pPr>
      <w:r>
        <w:rPr>
          <w:rFonts w:ascii="Arial" w:cs="Arial" w:eastAsia="Arial" w:hAnsi="Arial"/>
          <w:sz w:val="16"/>
          <w:szCs w:val="16"/>
          <w:color w:val="auto"/>
        </w:rPr>
        <w:t>Yield Operating LLC will not, and will not permit any Subsidiary Guarantor, to create or permit to exist any Lien upon any Principal Property owned by Yield Operating LLC or any Subsidiary Guarantor or upon any Equity Interests issued by, or Indebtedness of, any direct or indirect Subsidiary of Yield Operating LLC to secure any Indebtedness of Yield Operating LLC or any Subsidiary Guarantor without providing for the notes to be equally and ratably secured with (or prior to) any and all such Indebtedness and any other Indebtedness similarly entitled to be equally and ratably secured,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so long as such Indebtedness is so secured;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restriction will not apply to, or prevent the creation or existence of:</w:t>
      </w:r>
    </w:p>
    <w:p>
      <w:pPr>
        <w:spacing w:after="0" w:line="225" w:lineRule="exact"/>
        <w:rPr>
          <w:sz w:val="20"/>
          <w:szCs w:val="20"/>
          <w:color w:val="auto"/>
        </w:rPr>
      </w:pPr>
    </w:p>
    <w:p>
      <w:pPr>
        <w:ind w:left="540" w:right="120" w:firstLine="359"/>
        <w:spacing w:after="0" w:line="306" w:lineRule="auto"/>
        <w:tabs>
          <w:tab w:leader="none" w:pos="1228" w:val="left"/>
        </w:tabs>
        <w:numPr>
          <w:ilvl w:val="1"/>
          <w:numId w:val="40"/>
        </w:numPr>
        <w:rPr>
          <w:rFonts w:ascii="Arial" w:cs="Arial" w:eastAsia="Arial" w:hAnsi="Arial"/>
          <w:sz w:val="16"/>
          <w:szCs w:val="16"/>
          <w:color w:val="auto"/>
        </w:rPr>
      </w:pPr>
      <w:r>
        <w:rPr>
          <w:rFonts w:ascii="Arial" w:cs="Arial" w:eastAsia="Arial" w:hAnsi="Arial"/>
          <w:sz w:val="16"/>
          <w:szCs w:val="16"/>
          <w:color w:val="auto"/>
        </w:rPr>
        <w:t>Liens securing Indebtedness of Yield Operating LLC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$1.0 billion and (c) 2.5 times Adjusted LTM CAFD;</w:t>
      </w:r>
    </w:p>
    <w:p>
      <w:pPr>
        <w:spacing w:after="0" w:line="160" w:lineRule="exact"/>
        <w:rPr>
          <w:rFonts w:ascii="Arial" w:cs="Arial" w:eastAsia="Arial" w:hAnsi="Arial"/>
          <w:sz w:val="16"/>
          <w:szCs w:val="16"/>
          <w:color w:val="auto"/>
        </w:rPr>
      </w:pPr>
    </w:p>
    <w:p>
      <w:pPr>
        <w:ind w:left="1240" w:hanging="341"/>
        <w:spacing w:after="0"/>
        <w:tabs>
          <w:tab w:leader="none" w:pos="12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Existing Liens;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Liens securing Indebtedness of any Person that (a) is acquired by Yield Operating LLC or any of its Subsidiaries after the date of the indenture,</w:t>
      </w:r>
    </w:p>
    <w:p>
      <w:pPr>
        <w:spacing w:after="0" w:line="38" w:lineRule="exact"/>
        <w:rPr>
          <w:rFonts w:ascii="Arial" w:cs="Arial" w:eastAsia="Arial" w:hAnsi="Arial"/>
          <w:sz w:val="16"/>
          <w:szCs w:val="16"/>
          <w:color w:val="auto"/>
        </w:rPr>
      </w:pPr>
    </w:p>
    <w:p>
      <w:pPr>
        <w:ind w:left="540" w:right="260" w:firstLine="8"/>
        <w:spacing w:after="0" w:line="292" w:lineRule="auto"/>
        <w:tabs>
          <w:tab w:leader="none" w:pos="789"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is merged or amalgamated with or into Yield Operating LLC or any of its Subsidiaries after the date of the indenture or (c) becomes consolidated in the financial statements of Yield Operating LLC or any of its Subsidiaries after the date of the indenture in accordance with GAAP;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Yield Operating LLC or any of its Subsidiaries;</w:t>
      </w:r>
    </w:p>
    <w:p>
      <w:pPr>
        <w:spacing w:after="0" w:line="170" w:lineRule="exact"/>
        <w:rPr>
          <w:rFonts w:ascii="Arial" w:cs="Arial" w:eastAsia="Arial" w:hAnsi="Arial"/>
          <w:sz w:val="16"/>
          <w:szCs w:val="16"/>
          <w:color w:val="auto"/>
        </w:rPr>
      </w:pPr>
    </w:p>
    <w:p>
      <w:pPr>
        <w:jc w:val="both"/>
        <w:ind w:left="540" w:firstLine="359"/>
        <w:spacing w:after="0" w:line="298" w:lineRule="auto"/>
        <w:tabs>
          <w:tab w:leader="none" w:pos="1228"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Liens securing Indebtedness of Yield Operating LLC or any Subsidiary Guarantor incurred to finance (whether prior to or within 365 days after) the acquisition, construction or improvement of assets (whether through the direct purchase of assets or through the purchase of the Equity Interests of any Person owning such assets or through an acquisition of any such Person by merger);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Indebtedness is only secured by Liens on the Equity Interests and assets acquired, constructed or improved in such financing;</w:t>
      </w:r>
    </w:p>
    <w:p>
      <w:pPr>
        <w:spacing w:after="0" w:line="166" w:lineRule="exact"/>
        <w:rPr>
          <w:rFonts w:ascii="Arial" w:cs="Arial" w:eastAsia="Arial" w:hAnsi="Arial"/>
          <w:sz w:val="16"/>
          <w:szCs w:val="16"/>
          <w:color w:val="auto"/>
        </w:rPr>
      </w:pPr>
    </w:p>
    <w:p>
      <w:pPr>
        <w:ind w:left="1240" w:hanging="341"/>
        <w:spacing w:after="0"/>
        <w:tabs>
          <w:tab w:leader="none" w:pos="12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Liens in favor of Yield Operating LLC or any of its Subsidiaries;</w:t>
      </w:r>
    </w:p>
    <w:p>
      <w:pPr>
        <w:spacing w:after="0" w:line="225" w:lineRule="exact"/>
        <w:rPr>
          <w:rFonts w:ascii="Arial" w:cs="Arial" w:eastAsia="Arial" w:hAnsi="Arial"/>
          <w:sz w:val="18"/>
          <w:szCs w:val="18"/>
          <w:color w:val="auto"/>
        </w:rPr>
      </w:pPr>
    </w:p>
    <w:p>
      <w:pPr>
        <w:ind w:left="540" w:right="420" w:firstLine="359"/>
        <w:spacing w:after="0" w:line="268" w:lineRule="auto"/>
        <w:tabs>
          <w:tab w:leader="none" w:pos="1228"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Liens securing Hedging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agreements were not entered into for speculative purposes (as determined by Yield Operating LLC in its reasonable discretion acting in good faith);</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Liens relating to current or future escrow arrangements securing Indebtedness of Yield Operating LLC or any Subsidiary Guarantor;</w:t>
      </w:r>
    </w:p>
    <w:p>
      <w:pPr>
        <w:spacing w:after="0" w:line="248" w:lineRule="exact"/>
        <w:rPr>
          <w:rFonts w:ascii="Arial" w:cs="Arial" w:eastAsia="Arial" w:hAnsi="Arial"/>
          <w:sz w:val="16"/>
          <w:szCs w:val="16"/>
          <w:color w:val="auto"/>
        </w:rPr>
      </w:pPr>
    </w:p>
    <w:p>
      <w:pPr>
        <w:ind w:left="540" w:right="140" w:firstLine="359"/>
        <w:spacing w:after="0" w:line="268" w:lineRule="auto"/>
        <w:tabs>
          <w:tab w:leader="none" w:pos="1228" w:val="left"/>
        </w:tabs>
        <w:numPr>
          <w:ilvl w:val="1"/>
          <w:numId w:val="41"/>
        </w:numPr>
        <w:rPr>
          <w:rFonts w:ascii="Arial" w:cs="Arial" w:eastAsia="Arial" w:hAnsi="Arial"/>
          <w:sz w:val="18"/>
          <w:szCs w:val="18"/>
          <w:color w:val="auto"/>
        </w:rPr>
      </w:pPr>
      <w:r>
        <w:rPr>
          <w:rFonts w:ascii="Arial" w:cs="Arial" w:eastAsia="Arial" w:hAnsi="Arial"/>
          <w:sz w:val="18"/>
          <w:szCs w:val="18"/>
          <w:color w:val="auto"/>
        </w:rPr>
        <w:t>Liens to secure Environmental CapEx Debt or Necessary CapEx Debt that encumber only the assets purchased, installed or otherwise acquired with the proceeds of such Environmental CapEx Debt or Necessary CapEx Debt;</w:t>
      </w:r>
    </w:p>
    <w:p>
      <w:pPr>
        <w:spacing w:after="0" w:line="185" w:lineRule="exact"/>
        <w:rPr>
          <w:rFonts w:ascii="Arial" w:cs="Arial" w:eastAsia="Arial" w:hAnsi="Arial"/>
          <w:sz w:val="18"/>
          <w:szCs w:val="18"/>
          <w:color w:val="auto"/>
        </w:rPr>
      </w:pPr>
    </w:p>
    <w:p>
      <w:pPr>
        <w:ind w:left="540" w:right="640" w:firstLine="359"/>
        <w:spacing w:after="0" w:line="268" w:lineRule="auto"/>
        <w:tabs>
          <w:tab w:leader="none" w:pos="1228" w:val="left"/>
        </w:tabs>
        <w:numPr>
          <w:ilvl w:val="1"/>
          <w:numId w:val="41"/>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Yield Operating LLC or any Guarantor, including rights of offset and set-off;</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Refinancing Liens;</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Liens on the stock or assets of Project Subsidiaries securing Project Debt of one or more Project Subsidiaries;</w:t>
      </w:r>
    </w:p>
    <w:p>
      <w:pPr>
        <w:spacing w:after="0" w:line="225" w:lineRule="exact"/>
        <w:rPr>
          <w:rFonts w:ascii="Arial" w:cs="Arial" w:eastAsia="Arial" w:hAnsi="Arial"/>
          <w:sz w:val="18"/>
          <w:szCs w:val="18"/>
          <w:color w:val="auto"/>
        </w:rPr>
      </w:pPr>
    </w:p>
    <w:p>
      <w:pPr>
        <w:ind w:left="540" w:right="60" w:firstLine="359"/>
        <w:spacing w:after="0" w:line="298" w:lineRule="auto"/>
        <w:tabs>
          <w:tab w:leader="none" w:pos="1228"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securing Indebtedness incurred to finance an acquisition of assets or a business or multiple businesses; </w:t>
      </w:r>
      <w:r>
        <w:rPr>
          <w:rFonts w:ascii="Arial" w:cs="Arial" w:eastAsia="Arial" w:hAnsi="Arial"/>
          <w:sz w:val="16"/>
          <w:szCs w:val="16"/>
          <w:i w:val="1"/>
          <w:iCs w:val="1"/>
          <w:color w:val="auto"/>
        </w:rPr>
        <w:t>provided</w:t>
      </w:r>
      <w:r>
        <w:rPr>
          <w:rFonts w:ascii="Arial" w:cs="Arial" w:eastAsia="Arial" w:hAnsi="Arial"/>
          <w:sz w:val="16"/>
          <w:szCs w:val="16"/>
          <w:color w:val="auto"/>
        </w:rPr>
        <w:t>, that within 180 days from the date the related Indebtedness was Incurred, such cash or cash equivalents are used to (a) fund the acquisition (or a</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transaction), including any related fees and expenses, and the related Indebtedness is (1) secured by Liens otherwise permitted under this covenant or (2) unsecured; or (b) retire or repay the Indebtedness that it secures and to pay any related fees and expenses;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80" w:firstLine="359"/>
        <w:spacing w:after="0" w:line="259" w:lineRule="auto"/>
        <w:tabs>
          <w:tab w:leader="none" w:pos="12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Liens, in addition to those permitted in clauses (1) through (12) above, securing Indebtedness of Yield Operating LLC or any Subsidiary Guarantor having an aggregate principal amount, measured as of the date of creation of any such Lien and the date of incurrence of any such Indebtedness, not to exceed the greater of (i) 2.0% of Total Assets and (ii) $100.0 million.</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Liens securing Indebtedness under the Credit Agreement existing on the date of the indenture will be deemed to have been incurred on such date in reliance on the exception provided by clause (1) above. For purposes of determining compliance with this "Liens" covenant, in the event that a proposed Lien meets the criteria of more than one of the categories of Liens described in clauses (1) through (13) above, Yield Operating LLC will be permitted to classify such Lien on the date of its incurrence, or later reclassify all or a portion of such Lien, in any manner that complies with this covenant.</w:t>
      </w:r>
    </w:p>
    <w:p>
      <w:pPr>
        <w:spacing w:after="0" w:line="16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If Yield Operating LLC or any Subsidiary Guarantor proposes to create or permit to exist any Lien upon any Principal Property owned by Yield Operating LLC or any Subsidiary Guarantor or upon any Equity Interests or Indebtedness of any direct or indirect Subsidiary of Yield Operating LLC to secure any Indebtedness, other than as permitted by clauses (1) through (13) of the previous paragraph, Yield Operating LLC will give prior written notice thereof to the trustee, who will give notice to the holders of notes, and Yield Operating LLC will further agree, prior to or simultaneously with the creation of such Lien, effectively to secure all the notes equally and ratably with (or prior to) such other Indebtedness, for so long as such other Indebtedness is so secured.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Neither the Parent Guarantor nor Yield Operating LLC will, directly or indirectly: (1) consolidate or merge with or into another Person (whether or not the Parent Guarantor or Yield Operating LLC is the surviving Person); or (2) sell, assign, transfer, convey or otherwise dispose of all or substantially all of the properties or assets of the Parent Guarantor or the Parent Guarantor and its Subsidiaries taken as a whole or Yield Operating LLC or Yield Operating LLC and its Subsidiaries taken as a whole, in one or more related transactions, to another Person; unless:</w:t>
      </w:r>
    </w:p>
    <w:p>
      <w:pPr>
        <w:spacing w:after="0" w:line="167" w:lineRule="exact"/>
        <w:rPr>
          <w:sz w:val="20"/>
          <w:szCs w:val="20"/>
          <w:color w:val="auto"/>
        </w:rPr>
      </w:pPr>
    </w:p>
    <w:p>
      <w:pPr>
        <w:ind w:left="540" w:firstLine="359"/>
        <w:spacing w:after="0" w:line="253" w:lineRule="auto"/>
        <w:tabs>
          <w:tab w:leader="none" w:pos="12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either: (a) the Parent Guarantor or Yield Operating LLC, as the case may be, is the surviving Person; or (b) the Person formed by or surviving any such consolidation or merger (if other than the Parent Guarantor or Yield Operating LLC,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Person is a partnership or limited liability company, then a corporation wholly owned by such Person organized or existing under the laws of the United States, any state of the United States or the District of Columbia that does not and will not have any material assets or operations shall become a co-issuer of the notes pursuant to a supplemental indenture duly executed by the trustee;</w:t>
      </w:r>
    </w:p>
    <w:p>
      <w:pPr>
        <w:spacing w:after="0" w:line="201" w:lineRule="exact"/>
        <w:rPr>
          <w:rFonts w:ascii="Arial" w:cs="Arial" w:eastAsia="Arial" w:hAnsi="Arial"/>
          <w:sz w:val="18"/>
          <w:szCs w:val="18"/>
          <w:color w:val="auto"/>
        </w:rPr>
      </w:pPr>
    </w:p>
    <w:p>
      <w:pPr>
        <w:ind w:left="540" w:firstLine="359"/>
        <w:spacing w:after="0" w:line="256" w:lineRule="auto"/>
        <w:tabs>
          <w:tab w:leader="none" w:pos="12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Parent Guarantor or Yield Operating LLC, as the case may be) or the Person to which such sale, assignment, transfer, conveyance or other disposition has been made assumes all the obligations of the Parent Guarantor or Yield Operating LLC, as the case may be, under the notes and the indenture pursuant to a supplemental indenture or other documents and agreements reasonably satisfactory to the trustee; and</w:t>
      </w:r>
    </w:p>
    <w:p>
      <w:pPr>
        <w:spacing w:after="0" w:line="197" w:lineRule="exact"/>
        <w:rPr>
          <w:rFonts w:ascii="Arial" w:cs="Arial" w:eastAsia="Arial" w:hAnsi="Arial"/>
          <w:sz w:val="18"/>
          <w:szCs w:val="18"/>
          <w:color w:val="auto"/>
        </w:rPr>
      </w:pPr>
    </w:p>
    <w:p>
      <w:pPr>
        <w:ind w:left="1240" w:hanging="341"/>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In addition, neither the Parent Guarantor nor Yield Operating LLC may, directly or indirectly, lease all or substantially all of its and its respective Subsidiaries' properties or assets, in one or more related transactions, to any other Person.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This "Merger, Consolidation or Sale of Assets" covenant will not apply to (1) a merger of the Parent Guarantor or Yield Operating LLC, as the case may be, with an Affiliate solely for the purpose of reforming the Parent Guarantor or Yield Operating LLC, as the case may be, in another jurisdiction or forming a direct or indirect holding company of Yield Operating LLC that is a Wholly Owned Subsidiary of the Parent Guarantor; and (2) any sale, transfer, assignment, conveyance, lease or other disposition of assets between or among the Parent Guarantor, Yield Operating LLC and their respective Subsidiaries, including by way of merger or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Guarantees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540" w:right="480" w:firstLine="359"/>
        <w:spacing w:after="0" w:line="268" w:lineRule="auto"/>
        <w:tabs>
          <w:tab w:leader="none" w:pos="1221" w:val="left"/>
        </w:tabs>
        <w:numPr>
          <w:ilvl w:val="0"/>
          <w:numId w:val="44"/>
        </w:numPr>
        <w:rPr>
          <w:rFonts w:ascii="Arial" w:cs="Arial" w:eastAsia="Arial" w:hAnsi="Arial"/>
          <w:sz w:val="18"/>
          <w:szCs w:val="18"/>
          <w:color w:val="auto"/>
        </w:rPr>
      </w:pPr>
      <w:r>
        <w:rPr>
          <w:rFonts w:ascii="Arial" w:cs="Arial" w:eastAsia="Arial" w:hAnsi="Arial"/>
          <w:sz w:val="18"/>
          <w:szCs w:val="18"/>
          <w:color w:val="auto"/>
        </w:rPr>
        <w:t>Yield Operating LLC or any of its Subsidiaries acquires or creates another Wholly Owned Subsidiary after the issue date and such Wholly Owned Subsidiary Guarantees any Obligations of Yield Operating LLC under the Credit Agreement, or</w:t>
      </w:r>
    </w:p>
    <w:p>
      <w:pPr>
        <w:spacing w:after="0" w:line="185" w:lineRule="exact"/>
        <w:rPr>
          <w:rFonts w:ascii="Arial" w:cs="Arial" w:eastAsia="Arial" w:hAnsi="Arial"/>
          <w:sz w:val="18"/>
          <w:szCs w:val="18"/>
          <w:color w:val="auto"/>
        </w:rPr>
      </w:pPr>
    </w:p>
    <w:p>
      <w:pPr>
        <w:ind w:left="540" w:right="300" w:firstLine="359"/>
        <w:spacing w:after="0" w:line="268" w:lineRule="auto"/>
        <w:tabs>
          <w:tab w:leader="none" w:pos="12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Wholly Owned Subsidiary of Yield Operating LLC that does not currently Guarantee any Obligations of Yield Operating LLC under the Credit Agreement subsequently Guarantees any Obligations of Yield Operating LLC under the Credit Agreement, or</w:t>
      </w:r>
    </w:p>
    <w:p>
      <w:pPr>
        <w:spacing w:after="0" w:line="185" w:lineRule="exact"/>
        <w:rPr>
          <w:rFonts w:ascii="Arial" w:cs="Arial" w:eastAsia="Arial" w:hAnsi="Arial"/>
          <w:sz w:val="18"/>
          <w:szCs w:val="18"/>
          <w:color w:val="auto"/>
        </w:rPr>
      </w:pPr>
    </w:p>
    <w:p>
      <w:pPr>
        <w:ind w:left="540" w:right="20" w:firstLine="359"/>
        <w:spacing w:after="0" w:line="291" w:lineRule="auto"/>
        <w:tabs>
          <w:tab w:leader="none" w:pos="1228"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there is no Indebtedness of Yield Operating LLC outstanding under the Credit Agreement at that time, any Wholly Owned Subsidiary of Yield Operating LLC (including any newly acquired or created Wholly Owned Subsidiary) Guarantees any Obligations with respect to any other Material Indebtedness of Yield Operating LLC, then such newly acquired or created Wholly Owned Subsidiary or Wholly Owned Subsidiary that subsequently fully and unconditionally Guarantees obligations under the Credit Agreement or other Material Indebtedness of Yield Operating LLC, as the case may be, will become a Guarantor of the notes and execute a supplemental indenture and deliver an opinion of counsel satisfactory to the trustee within 30 business days of the date on which it was acquired or created or guaranteed other Material Indebtedness of Yield Operating LLC, as the case may be.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Whether or not required by the Commission's rules and regulations, so long as any notes are outstanding, Yield Operating LLC will furnish or cause to be furnished to the holders of notes or cause the trustee to furnish to the holders of notes, within the time periods (including any extensions thereof) specified in the Commission's rules and regulations:</w:t>
      </w:r>
    </w:p>
    <w:p>
      <w:pPr>
        <w:spacing w:after="0" w:line="194" w:lineRule="exact"/>
        <w:rPr>
          <w:sz w:val="20"/>
          <w:szCs w:val="20"/>
          <w:color w:val="auto"/>
        </w:rPr>
      </w:pPr>
    </w:p>
    <w:p>
      <w:pPr>
        <w:ind w:left="540" w:right="160" w:firstLine="359"/>
        <w:spacing w:after="0" w:line="268" w:lineRule="auto"/>
        <w:tabs>
          <w:tab w:leader="none" w:pos="12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Commission on Forms 10-Q and 10-K if Yield Operating LLC were required to file such reports;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current reports that would be required to be filed with the Commission on Form 8-K if Yield Operating LLC were required to file such</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reports.</w:t>
      </w:r>
    </w:p>
    <w:p>
      <w:pPr>
        <w:spacing w:after="0" w:line="219"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Yield Operating LLC's consolidated financial statements by Yield Operating LLC's independent registered public accounting firm. In addition, after consummation of the exchange offer contemplated by the registration rights agreement, Yield Operating LLC will file a copy of each of the reports referred to in clauses (1) and (2) above with the Commission for public availability within the time periods specified in the rules and regulations applicable to such reports (unless the Commission will not accept such a filing). To the extent such filings are made, the reports will be deemed to be furnished to the trustee and holders of notes.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If Yield Operating LLC is no longer subject to the periodic reporting requirements of the Exchange Act for any reason, Yield Operating LLC will nevertheless continue filing the reports specified in the preceding paragraph with the Commission within the time periods specified above unless the Commission will not accept such a filing. Yield Operating LLC agrees that it will not take any action for the purpose of causing the Commission not to accept any such filings. If, notwithstanding the foregoing, the Commission will not accept Yield Operating LLC's filings for any reason, Yield Operating LLC will post the reports referred to in the preceding paragraph on NRG Yield, Inc.'s website within the time periods that would apply if Yield Operating LLC were required to file those reports with the Commission.</w:t>
      </w:r>
    </w:p>
    <w:p>
      <w:pPr>
        <w:spacing w:after="0" w:line="19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So long as the Parent Guarantor continues to own, directly or indirectly, all of the Equity Interests of Yield Operating LLC, the Parent Guarantor may elect to prepare and file and furnish the quarterly, annual and current reports and consolidated financial statements referred to above in respect of the Parent Guarantor and such reports and consolidated financial statements will be deemed to satisfy the obligations of Yield Operating LLC under this reporting covenant.</w:t>
      </w:r>
    </w:p>
    <w:p>
      <w:pPr>
        <w:spacing w:after="0" w:line="161" w:lineRule="exact"/>
        <w:rPr>
          <w:sz w:val="20"/>
          <w:szCs w:val="20"/>
          <w:color w:val="auto"/>
        </w:rPr>
      </w:pPr>
    </w:p>
    <w:p>
      <w:pPr>
        <w:jc w:val="both"/>
        <w:ind w:right="200" w:firstLine="351"/>
        <w:spacing w:after="0" w:line="335" w:lineRule="auto"/>
        <w:rPr>
          <w:sz w:val="20"/>
          <w:szCs w:val="20"/>
          <w:color w:val="auto"/>
        </w:rPr>
      </w:pPr>
      <w:r>
        <w:rPr>
          <w:rFonts w:ascii="Arial" w:cs="Arial" w:eastAsia="Arial" w:hAnsi="Arial"/>
          <w:sz w:val="15"/>
          <w:szCs w:val="15"/>
          <w:color w:val="auto"/>
        </w:rPr>
        <w:t>In addition, Yield Operating LLC, the Parent Guarantor and the Subsidiary Guarantors agree that, for so long as any notes remain outstanding, at any time they are not required to file the reports required by the preceding paragraphs with the Commission, they will furnish to the holders of the notes and to securities analysts and prospective investors, upon their request, the information required to be delivered pursuant to Rule 144A(d)(4) under the Securities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Status</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Parent Guarantor will not engage in any business, activity or transaction or own any interest (fee, leasehold or otherwise) in any real property, or incur, assume, or suffer to exist any Indebtedness other than:</w:t>
      </w:r>
    </w:p>
    <w:p>
      <w:pPr>
        <w:spacing w:after="0" w:line="186" w:lineRule="exact"/>
        <w:rPr>
          <w:sz w:val="20"/>
          <w:szCs w:val="20"/>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ownership of debt or equity interests in Yield Operating LLC;</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maintaining its corporate existence;</w:t>
      </w:r>
    </w:p>
    <w:p>
      <w:pPr>
        <w:spacing w:after="0" w:line="225" w:lineRule="exact"/>
        <w:rPr>
          <w:rFonts w:ascii="Arial" w:cs="Arial" w:eastAsia="Arial" w:hAnsi="Arial"/>
          <w:sz w:val="18"/>
          <w:szCs w:val="18"/>
          <w:color w:val="auto"/>
        </w:rPr>
      </w:pPr>
    </w:p>
    <w:p>
      <w:pPr>
        <w:ind w:left="540" w:right="780" w:firstLine="359"/>
        <w:spacing w:after="0" w:line="268" w:lineRule="auto"/>
        <w:tabs>
          <w:tab w:leader="none" w:pos="12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participating in tax, accounting and other administrative activities as the parent of a consolidated group of companies, including Yield Operating LLC;</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making distributions to holders of its debt or equity interests or to Yield Operating LLC or any Subsidiary of Yield Operating LLC;</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performance of its obligations under the Exchange Agreement and similar agreements;</w:t>
      </w:r>
    </w:p>
    <w:p>
      <w:pPr>
        <w:spacing w:after="0" w:line="225" w:lineRule="exact"/>
        <w:rPr>
          <w:rFonts w:ascii="Arial" w:cs="Arial" w:eastAsia="Arial" w:hAnsi="Arial"/>
          <w:sz w:val="18"/>
          <w:szCs w:val="18"/>
          <w:color w:val="auto"/>
        </w:rPr>
      </w:pPr>
    </w:p>
    <w:p>
      <w:pPr>
        <w:ind w:left="540" w:right="40" w:firstLine="359"/>
        <w:spacing w:after="0" w:line="259" w:lineRule="auto"/>
        <w:tabs>
          <w:tab w:leader="none" w:pos="12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issuing a Guarantee in respect of, or otherwise becoming liable with respect to, Indebtedness incurred by NRG Yield, Inc., Yield Operating LLC or any Subsidiary of Yield Operating LLC and the execution and delivery of any agreements related to the foregoing, including credit agreements, indentures, security agreements, notes and registration rights agreements;</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issuing equity securities and/or issuing or incurring Indebtedness, including to finance acquisitions;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clauses (1) through (7) above.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is an Event of Default with respect to the notes:</w:t>
      </w:r>
    </w:p>
    <w:p>
      <w:pPr>
        <w:spacing w:after="0" w:line="225" w:lineRule="exact"/>
        <w:rPr>
          <w:sz w:val="20"/>
          <w:szCs w:val="20"/>
          <w:color w:val="auto"/>
        </w:rPr>
      </w:pPr>
    </w:p>
    <w:p>
      <w:pPr>
        <w:ind w:left="1240" w:hanging="341"/>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w:t>
      </w:r>
    </w:p>
    <w:p>
      <w:pPr>
        <w:spacing w:after="0" w:line="225" w:lineRule="exact"/>
        <w:rPr>
          <w:rFonts w:ascii="Arial" w:cs="Arial" w:eastAsia="Arial" w:hAnsi="Arial"/>
          <w:sz w:val="18"/>
          <w:szCs w:val="18"/>
          <w:color w:val="auto"/>
        </w:rPr>
      </w:pPr>
    </w:p>
    <w:p>
      <w:pPr>
        <w:ind w:left="540" w:firstLine="359"/>
        <w:spacing w:after="0" w:line="268" w:lineRule="auto"/>
        <w:tabs>
          <w:tab w:leader="none" w:pos="12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by Yield Operating LLC or any Guarantor for 45 days after written notice given by the trustee or holders, to comply with any of the other agreements in the indenture;</w:t>
      </w:r>
    </w:p>
    <w:p>
      <w:pPr>
        <w:spacing w:after="0" w:line="185" w:lineRule="exact"/>
        <w:rPr>
          <w:rFonts w:ascii="Arial" w:cs="Arial" w:eastAsia="Arial" w:hAnsi="Arial"/>
          <w:sz w:val="18"/>
          <w:szCs w:val="18"/>
          <w:color w:val="auto"/>
        </w:rPr>
      </w:pPr>
    </w:p>
    <w:p>
      <w:pPr>
        <w:ind w:left="540" w:right="400" w:firstLine="359"/>
        <w:spacing w:after="0" w:line="306" w:lineRule="auto"/>
        <w:tabs>
          <w:tab w:leader="none" w:pos="1228"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for money borrowed by Yield Operating LLC or any Guarantor (or the payment of which is guaranteed by Yield Operating LLC or any Guarantor) whether such Indebtedness or guarantee now exists, or is created after the issue date, if that default:</w:t>
      </w:r>
    </w:p>
    <w:p>
      <w:pPr>
        <w:spacing w:after="0" w:line="160" w:lineRule="exact"/>
        <w:rPr>
          <w:rFonts w:ascii="Arial" w:cs="Arial" w:eastAsia="Arial" w:hAnsi="Arial"/>
          <w:sz w:val="16"/>
          <w:szCs w:val="16"/>
          <w:color w:val="auto"/>
        </w:rPr>
      </w:pPr>
    </w:p>
    <w:p>
      <w:pPr>
        <w:ind w:left="1080" w:right="140" w:firstLine="360"/>
        <w:spacing w:after="0" w:line="268" w:lineRule="auto"/>
        <w:tabs>
          <w:tab w:leader="none" w:pos="1758" w:val="left"/>
        </w:tabs>
        <w:numPr>
          <w:ilvl w:val="1"/>
          <w:numId w:val="47"/>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185" w:lineRule="exact"/>
        <w:rPr>
          <w:rFonts w:ascii="Arial" w:cs="Arial" w:eastAsia="Arial" w:hAnsi="Arial"/>
          <w:sz w:val="18"/>
          <w:szCs w:val="18"/>
          <w:color w:val="auto"/>
        </w:rPr>
      </w:pPr>
    </w:p>
    <w:p>
      <w:pPr>
        <w:ind w:left="1080" w:right="60" w:firstLine="360"/>
        <w:spacing w:after="0" w:line="306" w:lineRule="auto"/>
        <w:tabs>
          <w:tab w:leader="none" w:pos="1768" w:val="left"/>
        </w:tabs>
        <w:numPr>
          <w:ilvl w:val="1"/>
          <w:numId w:val="47"/>
        </w:numPr>
        <w:rPr>
          <w:rFonts w:ascii="Arial" w:cs="Arial" w:eastAsia="Arial" w:hAnsi="Arial"/>
          <w:sz w:val="16"/>
          <w:szCs w:val="16"/>
          <w:color w:val="auto"/>
        </w:rPr>
      </w:pPr>
      <w:r>
        <w:rPr>
          <w:rFonts w:ascii="Arial" w:cs="Arial" w:eastAsia="Arial" w:hAnsi="Arial"/>
          <w:sz w:val="16"/>
          <w:szCs w:val="16"/>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exceeds the greater of (i) 1.5% of Total Assets and (ii) $75.0 million;</w:t>
      </w:r>
    </w:p>
    <w:p>
      <w:pPr>
        <w:spacing w:after="0" w:line="161"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this clause (4) shall not apply to secured Indebtedness that becomes due as a result of the voluntary sale or transfer of the property or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securing such Indebtedness to a Person that is not an Affiliate of Yield Operating LLC;</w:t>
      </w:r>
    </w:p>
    <w:p>
      <w:pPr>
        <w:spacing w:after="0" w:line="186" w:lineRule="exact"/>
        <w:rPr>
          <w:sz w:val="20"/>
          <w:szCs w:val="20"/>
          <w:color w:val="auto"/>
        </w:rPr>
      </w:pPr>
    </w:p>
    <w:p>
      <w:pPr>
        <w:ind w:left="1240" w:hanging="341"/>
        <w:spacing w:after="0"/>
        <w:tabs>
          <w:tab w:leader="none" w:pos="12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one or more judgments for the payment of money in an aggregate amount in excess of the greater of (i) 1.5% of Total Assets and</w:t>
      </w:r>
    </w:p>
    <w:p>
      <w:pPr>
        <w:spacing w:after="0" w:line="38" w:lineRule="exact"/>
        <w:rPr>
          <w:rFonts w:ascii="Arial" w:cs="Arial" w:eastAsia="Arial" w:hAnsi="Arial"/>
          <w:sz w:val="16"/>
          <w:szCs w:val="16"/>
          <w:color w:val="auto"/>
        </w:rPr>
      </w:pPr>
    </w:p>
    <w:p>
      <w:pPr>
        <w:jc w:val="both"/>
        <w:ind w:left="540" w:right="280" w:firstLine="8"/>
        <w:spacing w:after="0" w:line="255" w:lineRule="auto"/>
        <w:tabs>
          <w:tab w:leader="none" w:pos="798" w:val="left"/>
        </w:tabs>
        <w:numPr>
          <w:ilvl w:val="0"/>
          <w:numId w:val="49"/>
        </w:numPr>
        <w:rPr>
          <w:rFonts w:ascii="Arial" w:cs="Arial" w:eastAsia="Arial" w:hAnsi="Arial"/>
          <w:sz w:val="18"/>
          <w:szCs w:val="18"/>
          <w:color w:val="auto"/>
        </w:rPr>
      </w:pPr>
      <w:r>
        <w:rPr>
          <w:rFonts w:ascii="Arial" w:cs="Arial" w:eastAsia="Arial" w:hAnsi="Arial"/>
          <w:sz w:val="18"/>
          <w:szCs w:val="18"/>
          <w:color w:val="auto"/>
        </w:rPr>
        <w:t>$75.0 million (excluding therefrom any amount reasonably expected to be covered by insurance) shall be rendered against Yield Operating LLC or any Guarantor or Guarantors or any combination thereof and the same shall not have been paid, discharged or stayed for a period of 60 days after such judgment became final and non-appealable;</w:t>
      </w:r>
    </w:p>
    <w:p>
      <w:pPr>
        <w:spacing w:after="0" w:line="198" w:lineRule="exact"/>
        <w:rPr>
          <w:rFonts w:ascii="Arial" w:cs="Arial" w:eastAsia="Arial" w:hAnsi="Arial"/>
          <w:sz w:val="18"/>
          <w:szCs w:val="18"/>
          <w:color w:val="auto"/>
        </w:rPr>
      </w:pPr>
    </w:p>
    <w:p>
      <w:pPr>
        <w:ind w:left="540" w:right="300" w:firstLine="359"/>
        <w:spacing w:after="0" w:line="255" w:lineRule="auto"/>
        <w:tabs>
          <w:tab w:leader="none" w:pos="1228" w:val="left"/>
        </w:tabs>
        <w:numPr>
          <w:ilvl w:val="1"/>
          <w:numId w:val="49"/>
        </w:numPr>
        <w:rPr>
          <w:rFonts w:ascii="Arial" w:cs="Arial" w:eastAsia="Arial" w:hAnsi="Arial"/>
          <w:sz w:val="18"/>
          <w:szCs w:val="18"/>
          <w:color w:val="auto"/>
        </w:rPr>
      </w:pPr>
      <w:r>
        <w:rPr>
          <w:rFonts w:ascii="Arial" w:cs="Arial" w:eastAsia="Arial" w:hAnsi="Arial"/>
          <w:sz w:val="18"/>
          <w:szCs w:val="18"/>
          <w:color w:val="auto"/>
        </w:rPr>
        <w:t>except as permitted by the indenture, any Guarantee shall be held in any final and non-appealable judicial proceeding to be unenforceable or invalid or shall cease for any reason to be in full force and effect or any Guarantor (or any group of Guarantors) that, if Subsidiaries of Yield Operating LLC, would constitute a Significant Subsidiary, or any Person acting on behalf of any Guarantor (or any group of Guarantors) that, if Subsidiaries of Yield Operating LLC, would constitute a Significant Subsidiary, shall deny or disaffirm its or their obligations under its or their Guarantee(s); and</w:t>
      </w:r>
    </w:p>
    <w:p>
      <w:pPr>
        <w:spacing w:after="0" w:line="196" w:lineRule="exact"/>
        <w:rPr>
          <w:rFonts w:ascii="Arial" w:cs="Arial" w:eastAsia="Arial" w:hAnsi="Arial"/>
          <w:sz w:val="18"/>
          <w:szCs w:val="18"/>
          <w:color w:val="auto"/>
        </w:rPr>
      </w:pPr>
    </w:p>
    <w:p>
      <w:pPr>
        <w:ind w:left="540" w:right="20" w:firstLine="359"/>
        <w:spacing w:after="0" w:line="259" w:lineRule="auto"/>
        <w:tabs>
          <w:tab w:leader="none" w:pos="1228" w:val="left"/>
        </w:tabs>
        <w:numPr>
          <w:ilvl w:val="1"/>
          <w:numId w:val="49"/>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Yield Operating LLC or any Guarantor that, if a Subsidiary of Yield Operating LLC, would constitute a Significant Subsidiary or any group of Guarantors that, if Subsidiaries of Yield Operating LLC, taken together, would constitute a Significant Subsidiary.</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the case of an Event of Default with respect to the notes arising from certain events of bankruptcy or insolvency with respect to Yield Operating LLC, any Guarantor or any group of Guarantors that, if subsidiaries of Yield Operating LLC, taken together, would constitute a Significant Subsidiary, all such notes that are outstanding will become due and payable immediately without further action or notice. If any other Event of Default occurs and is continuing, the trustee or the holders of at least 25% in principal amount of such notes that are outstanding may declare all the notes to be due and payable immediately.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Subject to certain limitations, holders of a majority in principal amount of the notes that are then outstanding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w:t>
      </w:r>
    </w:p>
    <w:p>
      <w:pPr>
        <w:spacing w:after="0" w:line="194"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occurs and is continuing under the indenture, the trustee will be under no obligation to exercise any of the rights or powers under the indenture at the request or direction of any holders of the notes unless such holders have offered to the trustee reasonable indemnity or security against any loss, liability or expense. Except to enforce the right to receive payment of principal, premium (if any) or interest when due, no holder of a note may pursue any remedy with respect to the indenture unless:</w:t>
      </w:r>
    </w:p>
    <w:p>
      <w:pPr>
        <w:spacing w:after="0" w:line="167" w:lineRule="exact"/>
        <w:rPr>
          <w:sz w:val="20"/>
          <w:szCs w:val="20"/>
          <w:color w:val="auto"/>
        </w:rPr>
      </w:pPr>
    </w:p>
    <w:p>
      <w:pPr>
        <w:ind w:left="1240" w:hanging="341"/>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notes that are then outstanding have requested the trustee to pursue the remedy;</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thereof and the offer of security or indemnity; and</w:t>
      </w:r>
    </w:p>
    <w:p>
      <w:pPr>
        <w:spacing w:after="0" w:line="225" w:lineRule="exact"/>
        <w:rPr>
          <w:rFonts w:ascii="Arial" w:cs="Arial" w:eastAsia="Arial" w:hAnsi="Arial"/>
          <w:sz w:val="18"/>
          <w:szCs w:val="18"/>
          <w:color w:val="auto"/>
        </w:rPr>
      </w:pPr>
    </w:p>
    <w:p>
      <w:pPr>
        <w:ind w:left="540" w:right="60" w:firstLine="359"/>
        <w:spacing w:after="0" w:line="268" w:lineRule="auto"/>
        <w:tabs>
          <w:tab w:leader="none" w:pos="12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notes that are then outstanding have not given the trustee a direction inconsistent with such request within such 60-day period.</w:t>
      </w:r>
    </w:p>
    <w:p>
      <w:pPr>
        <w:spacing w:after="0" w:line="186"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The holders of a majority in aggregate principal amount of the notes then outstanding by notice to the trustee may, on behalf of the holders of the notes, rescind an acceleration or waive any existing Default or Event of Default and its consequences under the indenture except a continuing Default or Event of Default in the payment of interest on, or the principal of, such notes.</w:t>
      </w:r>
    </w:p>
    <w:p>
      <w:pPr>
        <w:spacing w:after="0" w:line="194" w:lineRule="exact"/>
        <w:rPr>
          <w:sz w:val="20"/>
          <w:szCs w:val="20"/>
          <w:color w:val="auto"/>
        </w:rPr>
      </w:pPr>
    </w:p>
    <w:p>
      <w:pPr>
        <w:ind w:firstLine="345"/>
        <w:spacing w:after="0" w:line="332" w:lineRule="auto"/>
        <w:rPr>
          <w:sz w:val="20"/>
          <w:szCs w:val="20"/>
          <w:color w:val="auto"/>
        </w:rPr>
      </w:pPr>
      <w:r>
        <w:rPr>
          <w:rFonts w:ascii="Arial" w:cs="Arial" w:eastAsia="Arial" w:hAnsi="Arial"/>
          <w:sz w:val="16"/>
          <w:szCs w:val="16"/>
          <w:color w:val="auto"/>
        </w:rPr>
        <w:t>Yield Operating LLC is required to deliver to the trustee annually a statement regarding compliance with the indenture. Upon becoming aware of any Default or Event of Default, Yield Operating LLC is required to deliver to the trustee a statement specifying such Default or Event of Default.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No director, officer, employee, incorporator, stockholder, member or unitholder of Yield Operating LLC or any Guarantor, as such, will have any liability for any obligations of Yield Operating LLC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31" w:lineRule="exact"/>
        <w:rPr>
          <w:sz w:val="20"/>
          <w:szCs w:val="20"/>
          <w:color w:val="auto"/>
        </w:rPr>
      </w:pPr>
    </w:p>
    <w:p>
      <w:pPr>
        <w:ind w:right="280" w:firstLine="345"/>
        <w:spacing w:after="0" w:line="332" w:lineRule="auto"/>
        <w:rPr>
          <w:sz w:val="20"/>
          <w:szCs w:val="20"/>
          <w:color w:val="auto"/>
        </w:rPr>
      </w:pPr>
      <w:r>
        <w:rPr>
          <w:rFonts w:ascii="Arial" w:cs="Arial" w:eastAsia="Arial" w:hAnsi="Arial"/>
          <w:sz w:val="16"/>
          <w:szCs w:val="16"/>
          <w:color w:val="auto"/>
        </w:rPr>
        <w:t>Yield Operating LLC may, at its option and at any time, elect to have all of its obligations discharged with respect to the notes that are outstanding and all obligations of the Guarantors of such notes discharged with respect to their Guarantees ("</w:t>
      </w:r>
      <w:r>
        <w:rPr>
          <w:rFonts w:ascii="Arial" w:cs="Arial" w:eastAsia="Arial" w:hAnsi="Arial"/>
          <w:sz w:val="16"/>
          <w:szCs w:val="16"/>
          <w:i w:val="1"/>
          <w:iCs w:val="1"/>
          <w:color w:val="auto"/>
        </w:rPr>
        <w:t>Legal Defeasance</w:t>
      </w:r>
      <w:r>
        <w:rPr>
          <w:rFonts w:ascii="Arial" w:cs="Arial" w:eastAsia="Arial" w:hAnsi="Arial"/>
          <w:sz w:val="16"/>
          <w:szCs w:val="16"/>
          <w:color w:val="auto"/>
        </w:rPr>
        <w:t>"), except for:</w:t>
      </w:r>
    </w:p>
    <w:p>
      <w:pPr>
        <w:spacing w:after="0" w:line="139" w:lineRule="exact"/>
        <w:rPr>
          <w:sz w:val="20"/>
          <w:szCs w:val="20"/>
          <w:color w:val="auto"/>
        </w:rPr>
      </w:pPr>
    </w:p>
    <w:p>
      <w:pPr>
        <w:ind w:left="540" w:right="420" w:firstLine="359"/>
        <w:spacing w:after="0" w:line="268" w:lineRule="auto"/>
        <w:tabs>
          <w:tab w:leader="none" w:pos="12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rights of holders of the notes that are then outstanding to receive payments in respect of the principal of, or interest or premium on such notes when such payments are due from the trust referred to below;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20" w:firstLine="359"/>
        <w:spacing w:after="0" w:line="332" w:lineRule="auto"/>
        <w:tabs>
          <w:tab w:leader="none" w:pos="1221" w:val="left"/>
        </w:tabs>
        <w:numPr>
          <w:ilvl w:val="0"/>
          <w:numId w:val="52"/>
        </w:numPr>
        <w:rPr>
          <w:rFonts w:ascii="Arial" w:cs="Arial" w:eastAsia="Arial" w:hAnsi="Arial"/>
          <w:sz w:val="16"/>
          <w:szCs w:val="16"/>
          <w:color w:val="auto"/>
        </w:rPr>
      </w:pPr>
      <w:r>
        <w:rPr>
          <w:rFonts w:ascii="Arial" w:cs="Arial" w:eastAsia="Arial" w:hAnsi="Arial"/>
          <w:sz w:val="16"/>
          <w:szCs w:val="16"/>
          <w:color w:val="auto"/>
        </w:rPr>
        <w:t>Yield Operating LLC's obligations with respect to the notes concerning issuing temporary notes, registration of notes, mutilated, destroyed, lost or stolen notes and the maintenance of an office or agency for payment and money for security payments held in trust;</w:t>
      </w:r>
    </w:p>
    <w:p>
      <w:pPr>
        <w:spacing w:after="0" w:line="139" w:lineRule="exact"/>
        <w:rPr>
          <w:rFonts w:ascii="Arial" w:cs="Arial" w:eastAsia="Arial" w:hAnsi="Arial"/>
          <w:sz w:val="16"/>
          <w:szCs w:val="16"/>
          <w:color w:val="auto"/>
        </w:rPr>
      </w:pPr>
    </w:p>
    <w:p>
      <w:pPr>
        <w:ind w:left="540" w:right="540" w:firstLine="359"/>
        <w:spacing w:after="0" w:line="268" w:lineRule="auto"/>
        <w:tabs>
          <w:tab w:leader="none" w:pos="12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for the notes, and Yield Operating LLC's and the Guarantors' obligations in connection therewith;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Legal Defeasance provisions of the indenture governing such notes.</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addition, Yield Operating LLC may, at its option and at any time, elect to have the obligations of Yield Operating LLC and the Guarantors released with respect to certain covenants (including its obligation to make Change of Control Offers) that are described in the indenture ("</w:t>
      </w:r>
      <w:r>
        <w:rPr>
          <w:rFonts w:ascii="Arial" w:cs="Arial" w:eastAsia="Arial" w:hAnsi="Arial"/>
          <w:sz w:val="16"/>
          <w:szCs w:val="16"/>
          <w:i w:val="1"/>
          <w:iCs w:val="1"/>
          <w:color w:val="auto"/>
        </w:rPr>
        <w:t>Covenant Defeasance</w:t>
      </w:r>
      <w:r>
        <w:rPr>
          <w:rFonts w:ascii="Arial" w:cs="Arial" w:eastAsia="Arial" w:hAnsi="Arial"/>
          <w:sz w:val="16"/>
          <w:szCs w:val="16"/>
          <w:color w:val="auto"/>
        </w:rPr>
        <w:t>")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"—Events of Default and Remedies" will no longer constitute an Event of Default with respect to the notes.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25" w:lineRule="exact"/>
        <w:rPr>
          <w:sz w:val="20"/>
          <w:szCs w:val="20"/>
          <w:color w:val="auto"/>
        </w:rPr>
      </w:pPr>
    </w:p>
    <w:p>
      <w:pPr>
        <w:ind w:left="540" w:right="160" w:firstLine="359"/>
        <w:spacing w:after="0" w:line="294" w:lineRule="auto"/>
        <w:tabs>
          <w:tab w:leader="none" w:pos="1221" w:val="left"/>
        </w:tabs>
        <w:numPr>
          <w:ilvl w:val="0"/>
          <w:numId w:val="53"/>
        </w:numPr>
        <w:rPr>
          <w:rFonts w:ascii="Arial" w:cs="Arial" w:eastAsia="Arial" w:hAnsi="Arial"/>
          <w:sz w:val="16"/>
          <w:szCs w:val="16"/>
          <w:color w:val="auto"/>
        </w:rPr>
      </w:pPr>
      <w:r>
        <w:rPr>
          <w:rFonts w:ascii="Arial" w:cs="Arial" w:eastAsia="Arial" w:hAnsi="Arial"/>
          <w:sz w:val="16"/>
          <w:szCs w:val="16"/>
          <w:color w:val="auto"/>
        </w:rPr>
        <w:t>Yield Operating LLC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on such notes that are then outstanding on the Stated Maturity or on the applicable redemption date, as the case may be, and Yield Operating LLC must specify whether such notes are being defeased to maturity or to a particular redemption date;</w:t>
      </w:r>
    </w:p>
    <w:p>
      <w:pPr>
        <w:spacing w:after="0" w:line="169" w:lineRule="exact"/>
        <w:rPr>
          <w:rFonts w:ascii="Arial" w:cs="Arial" w:eastAsia="Arial" w:hAnsi="Arial"/>
          <w:sz w:val="16"/>
          <w:szCs w:val="16"/>
          <w:color w:val="auto"/>
        </w:rPr>
      </w:pPr>
    </w:p>
    <w:p>
      <w:pPr>
        <w:ind w:left="540" w:firstLine="359"/>
        <w:spacing w:after="0" w:line="254" w:lineRule="auto"/>
        <w:tabs>
          <w:tab w:leader="none" w:pos="12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Legal Defeasance, Yield Operating LLC has delivered to the trustee an opinion of counsel reasonably acceptable to the trustee confirming that (a) Yield Operating LLC has received from, or there has been published by, the Internal Revenue Service a ruling or (b) since the issue date, there has been a change in the applicable federal income tax law, in either case to the effect that, and based thereon such opinion of counsel will confirm that, the holders of the notes that are then outstanding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98" w:lineRule="exact"/>
        <w:rPr>
          <w:rFonts w:ascii="Arial" w:cs="Arial" w:eastAsia="Arial" w:hAnsi="Arial"/>
          <w:sz w:val="18"/>
          <w:szCs w:val="18"/>
          <w:color w:val="auto"/>
        </w:rPr>
      </w:pPr>
    </w:p>
    <w:p>
      <w:pPr>
        <w:ind w:left="540" w:right="60" w:firstLine="359"/>
        <w:spacing w:after="0" w:line="256" w:lineRule="auto"/>
        <w:tabs>
          <w:tab w:leader="none" w:pos="12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Covenant Defeasance, Yield Operating LLC has delivered to the trustee an opinion of counsel reasonably acceptable to the trustee confirming that the holders of the notes that are then outstanding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97" w:lineRule="exact"/>
        <w:rPr>
          <w:rFonts w:ascii="Arial" w:cs="Arial" w:eastAsia="Arial" w:hAnsi="Arial"/>
          <w:sz w:val="18"/>
          <w:szCs w:val="18"/>
          <w:color w:val="auto"/>
        </w:rPr>
      </w:pPr>
    </w:p>
    <w:p>
      <w:pPr>
        <w:ind w:left="540" w:right="20" w:firstLine="359"/>
        <w:spacing w:after="0" w:line="268" w:lineRule="auto"/>
        <w:tabs>
          <w:tab w:leader="none" w:pos="12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has occurred and is continuing on the date of such deposit (other than a Default or Event of Default resulting from the borrowing of funds to be applied to such deposit);</w:t>
      </w:r>
    </w:p>
    <w:p>
      <w:pPr>
        <w:spacing w:after="0" w:line="185" w:lineRule="exact"/>
        <w:rPr>
          <w:rFonts w:ascii="Arial" w:cs="Arial" w:eastAsia="Arial" w:hAnsi="Arial"/>
          <w:sz w:val="18"/>
          <w:szCs w:val="18"/>
          <w:color w:val="auto"/>
        </w:rPr>
      </w:pPr>
    </w:p>
    <w:p>
      <w:pPr>
        <w:ind w:left="540" w:right="180" w:firstLine="359"/>
        <w:spacing w:after="0" w:line="259" w:lineRule="auto"/>
        <w:tabs>
          <w:tab w:leader="none" w:pos="12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Yield Operating LLC or any of its Subsidiaries or the Parent Guarantor is a party or by which Yield Operating LLC or any of its Subsidiaries or the Parent Guarantor is bound;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firstLine="359"/>
        <w:spacing w:after="0" w:line="259" w:lineRule="auto"/>
        <w:tabs>
          <w:tab w:leader="none" w:pos="1221" w:val="left"/>
        </w:tabs>
        <w:numPr>
          <w:ilvl w:val="0"/>
          <w:numId w:val="54"/>
        </w:numPr>
        <w:rPr>
          <w:rFonts w:ascii="Arial" w:cs="Arial" w:eastAsia="Arial" w:hAnsi="Arial"/>
          <w:sz w:val="18"/>
          <w:szCs w:val="18"/>
          <w:color w:val="auto"/>
        </w:rPr>
      </w:pPr>
      <w:r>
        <w:rPr>
          <w:rFonts w:ascii="Arial" w:cs="Arial" w:eastAsia="Arial" w:hAnsi="Arial"/>
          <w:sz w:val="18"/>
          <w:szCs w:val="18"/>
          <w:color w:val="auto"/>
        </w:rPr>
        <w:t>Yield Operating LLC must deliver to the trustee an officers' certificate stating that the deposit was not made by Yield Operating LLC with the intent of preferring the holders of the notes over the other creditors of Yield Operating LLC with the intent of defeating, hindering, delaying or defrauding creditors of Yield Operating LLC or others; and</w:t>
      </w:r>
    </w:p>
    <w:p>
      <w:pPr>
        <w:spacing w:after="0" w:line="194" w:lineRule="exact"/>
        <w:rPr>
          <w:rFonts w:ascii="Arial" w:cs="Arial" w:eastAsia="Arial" w:hAnsi="Arial"/>
          <w:sz w:val="18"/>
          <w:szCs w:val="18"/>
          <w:color w:val="auto"/>
        </w:rPr>
      </w:pPr>
    </w:p>
    <w:p>
      <w:pPr>
        <w:ind w:left="540" w:right="420" w:firstLine="359"/>
        <w:spacing w:after="0" w:line="268" w:lineRule="auto"/>
        <w:tabs>
          <w:tab w:leader="none" w:pos="1221" w:val="left"/>
        </w:tabs>
        <w:numPr>
          <w:ilvl w:val="0"/>
          <w:numId w:val="54"/>
        </w:numPr>
        <w:rPr>
          <w:rFonts w:ascii="Arial" w:cs="Arial" w:eastAsia="Arial" w:hAnsi="Arial"/>
          <w:sz w:val="18"/>
          <w:szCs w:val="18"/>
          <w:color w:val="auto"/>
        </w:rPr>
      </w:pPr>
      <w:r>
        <w:rPr>
          <w:rFonts w:ascii="Arial" w:cs="Arial" w:eastAsia="Arial" w:hAnsi="Arial"/>
          <w:sz w:val="18"/>
          <w:szCs w:val="18"/>
          <w:color w:val="auto"/>
        </w:rPr>
        <w:t>Yield Operating LLC must deliver to the trustee an officers' certificate and an opinion of counsel, each stating that all conditions precedent relating to the Legal Defeasance or the Covenant Defeasance have been complied 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Except as provided in the next two succeeding paragraphs, the indenture or the notes outstanding thereunder may be amended or supplemented with the consent of the holders of at least a majority in principal amount of notes then outstanding (including, without limitation, consents obtained in connection with a purchase of, or tender offer or exchange offer for, the notes), and any existing default or compliance with any provision of the indenture or the notes outstanding thereunder may be waived with the consent of the holders of a majority in principal amount of the notes that are then outstanding (including, without limitation, consents obtained in connection with a purchase of, or tender offer or exchange offer for, the notes).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Without the consent of each holder of notes affected, an amendment or waiver may not (with respect to any such notes held by a non-consenting holder):</w:t>
      </w:r>
    </w:p>
    <w:p>
      <w:pPr>
        <w:spacing w:after="0" w:line="248" w:lineRule="exact"/>
        <w:rPr>
          <w:sz w:val="20"/>
          <w:szCs w:val="20"/>
          <w:color w:val="auto"/>
        </w:rPr>
      </w:pPr>
    </w:p>
    <w:p>
      <w:pPr>
        <w:ind w:left="1240" w:hanging="341"/>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 the principal amount of such notes whose holders must consent to an amendment, supplement or waiver;</w:t>
      </w:r>
    </w:p>
    <w:p>
      <w:pPr>
        <w:spacing w:after="0" w:line="225" w:lineRule="exact"/>
        <w:rPr>
          <w:rFonts w:ascii="Arial" w:cs="Arial" w:eastAsia="Arial" w:hAnsi="Arial"/>
          <w:sz w:val="18"/>
          <w:szCs w:val="18"/>
          <w:color w:val="auto"/>
        </w:rPr>
      </w:pPr>
    </w:p>
    <w:p>
      <w:pPr>
        <w:ind w:left="540" w:right="160" w:firstLine="359"/>
        <w:spacing w:after="0" w:line="259" w:lineRule="auto"/>
        <w:tabs>
          <w:tab w:leader="none" w:pos="12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such note or alter the provisions with respect to the redemption of such notes (other than provisions relating to the covenants described above under the caption "—Repurchase at the Option of Holders" and provisions relating to the number of days of notice to be given in the event of a redemption);</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such note;</w:t>
      </w:r>
    </w:p>
    <w:p>
      <w:pPr>
        <w:spacing w:after="0" w:line="225" w:lineRule="exact"/>
        <w:rPr>
          <w:rFonts w:ascii="Arial" w:cs="Arial" w:eastAsia="Arial" w:hAnsi="Arial"/>
          <w:sz w:val="18"/>
          <w:szCs w:val="18"/>
          <w:color w:val="auto"/>
        </w:rPr>
      </w:pPr>
    </w:p>
    <w:p>
      <w:pPr>
        <w:ind w:left="540" w:right="160" w:firstLine="359"/>
        <w:spacing w:after="0" w:line="259" w:lineRule="auto"/>
        <w:tabs>
          <w:tab w:leader="none" w:pos="12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on such notes (except a rescission of acceleration of such notes by the holders of at least a majority in aggregate principal amount of such notes and a waiver of the payment default that resulted from such acceleration);</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any such note payable in currency other than that stated in such notes;</w:t>
      </w:r>
    </w:p>
    <w:p>
      <w:pPr>
        <w:spacing w:after="0" w:line="225" w:lineRule="exact"/>
        <w:rPr>
          <w:rFonts w:ascii="Arial" w:cs="Arial" w:eastAsia="Arial" w:hAnsi="Arial"/>
          <w:sz w:val="18"/>
          <w:szCs w:val="18"/>
          <w:color w:val="auto"/>
        </w:rPr>
      </w:pPr>
    </w:p>
    <w:p>
      <w:pPr>
        <w:ind w:left="540" w:firstLine="359"/>
        <w:spacing w:after="0" w:line="268" w:lineRule="auto"/>
        <w:tabs>
          <w:tab w:leader="none" w:pos="12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such notes to receive payments of principal of, or interest or premium on such notes;</w:t>
      </w:r>
    </w:p>
    <w:p>
      <w:pPr>
        <w:spacing w:after="0" w:line="185" w:lineRule="exact"/>
        <w:rPr>
          <w:rFonts w:ascii="Arial" w:cs="Arial" w:eastAsia="Arial" w:hAnsi="Arial"/>
          <w:sz w:val="18"/>
          <w:szCs w:val="18"/>
          <w:color w:val="auto"/>
        </w:rPr>
      </w:pPr>
    </w:p>
    <w:p>
      <w:pPr>
        <w:ind w:left="540" w:right="240" w:firstLine="359"/>
        <w:spacing w:after="0" w:line="268" w:lineRule="auto"/>
        <w:tabs>
          <w:tab w:leader="none" w:pos="12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waive a redemption payment with respect to any such note (other than a payment required by one of the covenants described above under the caption "—Repurchase at the Option of Holders"); or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Notwithstanding the preceding, without the consent of any holder of notes, Yield Operating LLC, the Guarantors and the trustee may amend or supplement the indenture or the notes:</w:t>
      </w:r>
    </w:p>
    <w:p>
      <w:pPr>
        <w:spacing w:after="0" w:line="186" w:lineRule="exact"/>
        <w:rPr>
          <w:sz w:val="20"/>
          <w:szCs w:val="20"/>
          <w:color w:val="auto"/>
        </w:rPr>
      </w:pPr>
    </w:p>
    <w:p>
      <w:pPr>
        <w:ind w:left="1240" w:hanging="341"/>
        <w:spacing w:after="0"/>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cure any ambiguity, mistake, defect or inconsistency;</w:t>
      </w:r>
    </w:p>
    <w:p>
      <w:pPr>
        <w:spacing w:after="0" w:line="225" w:lineRule="exact"/>
        <w:rPr>
          <w:rFonts w:ascii="Arial" w:cs="Arial" w:eastAsia="Arial" w:hAnsi="Arial"/>
          <w:sz w:val="18"/>
          <w:szCs w:val="18"/>
          <w:color w:val="auto"/>
        </w:rPr>
      </w:pPr>
    </w:p>
    <w:p>
      <w:pPr>
        <w:ind w:left="5620" w:right="4520" w:hanging="4721"/>
        <w:spacing w:after="0" w:line="613" w:lineRule="auto"/>
        <w:tabs>
          <w:tab w:leader="none" w:pos="123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provide for uncertificated notes in addition to or in place of certificated notes;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20" w:firstLine="359"/>
        <w:spacing w:after="0" w:line="268" w:lineRule="auto"/>
        <w:tabs>
          <w:tab w:leader="none" w:pos="12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provide for the assumption of Yield Operating LLC's obligations to holders of notes in the case of a merger or consolidation or sale of all or substantially all of Yield Operating LLC's assets;</w:t>
      </w:r>
    </w:p>
    <w:p>
      <w:pPr>
        <w:spacing w:after="0" w:line="185" w:lineRule="exact"/>
        <w:rPr>
          <w:rFonts w:ascii="Arial" w:cs="Arial" w:eastAsia="Arial" w:hAnsi="Arial"/>
          <w:sz w:val="18"/>
          <w:szCs w:val="18"/>
          <w:color w:val="auto"/>
        </w:rPr>
      </w:pPr>
    </w:p>
    <w:p>
      <w:pPr>
        <w:ind w:left="540" w:right="100" w:firstLine="359"/>
        <w:spacing w:after="0" w:line="268" w:lineRule="auto"/>
        <w:tabs>
          <w:tab w:leader="none" w:pos="12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any indenture of any such holder;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comply with requirements of the Commission in order to effect or maintain the qualification of any indenture under the Trust Indenture Act;</w:t>
      </w:r>
    </w:p>
    <w:p>
      <w:pPr>
        <w:spacing w:after="0" w:line="248" w:lineRule="exact"/>
        <w:rPr>
          <w:rFonts w:ascii="Arial" w:cs="Arial" w:eastAsia="Arial" w:hAnsi="Arial"/>
          <w:sz w:val="16"/>
          <w:szCs w:val="16"/>
          <w:color w:val="auto"/>
        </w:rPr>
      </w:pPr>
    </w:p>
    <w:p>
      <w:pPr>
        <w:ind w:left="540" w:right="540" w:firstLine="359"/>
        <w:spacing w:after="0" w:line="268" w:lineRule="auto"/>
        <w:tabs>
          <w:tab w:leader="none" w:pos="12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conform the text of the indenture or the notes to any provision of the "Description of the Notes" in the offering memorandum of Yield Operating LLC dated August 15, 2016;</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evidence and provide for the acceptance and appointment under the indenture of a successor trustee pursuant to the requirements thereof;</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provide for the issuance of additional notes in accordance with the limitations set forth in the indenture as of the date hereof; or</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Subsidiary Guarantee with respect to the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will be discharged and will cease to be of further effect as to all notes issued thereunder, when:</w:t>
      </w:r>
    </w:p>
    <w:p>
      <w:pPr>
        <w:spacing w:after="0" w:line="225" w:lineRule="exact"/>
        <w:rPr>
          <w:sz w:val="20"/>
          <w:szCs w:val="20"/>
          <w:color w:val="auto"/>
        </w:rPr>
      </w:pPr>
    </w:p>
    <w:p>
      <w:pPr>
        <w:ind w:left="1240" w:hanging="341"/>
        <w:spacing w:after="0"/>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080" w:right="240" w:firstLine="360"/>
        <w:spacing w:after="0" w:line="259" w:lineRule="auto"/>
        <w:tabs>
          <w:tab w:leader="none" w:pos="175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such notes that have been authenticated, except lost, stolen or destroyed notes that have been replaced or paid and notes for whose payment money has been deposited in trust and thereafter repaid to Yield Operating LLC, have been delivered to the trustee for such notes for cancellation; or</w:t>
      </w:r>
    </w:p>
    <w:p>
      <w:pPr>
        <w:spacing w:after="0" w:line="194" w:lineRule="exact"/>
        <w:rPr>
          <w:rFonts w:ascii="Arial" w:cs="Arial" w:eastAsia="Arial" w:hAnsi="Arial"/>
          <w:sz w:val="18"/>
          <w:szCs w:val="18"/>
          <w:color w:val="auto"/>
        </w:rPr>
      </w:pPr>
    </w:p>
    <w:p>
      <w:pPr>
        <w:ind w:left="1080" w:firstLine="360"/>
        <w:spacing w:after="0" w:line="291" w:lineRule="auto"/>
        <w:tabs>
          <w:tab w:leader="none" w:pos="1768"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such notes that have not been delivered to the trustee for cancellation have become due and payable by reason of the mailing of a notice of redemption or otherwise or will become due and payable within one year and Yield Operating LLC or any Guarantor has irrevocably deposited or caused to be deposited with the trustee as trust funds in trust solely for the benefit of the holders of notes,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accrued interest to the date of maturity or redemption;</w:t>
      </w:r>
    </w:p>
    <w:p>
      <w:pPr>
        <w:spacing w:after="0" w:line="174" w:lineRule="exact"/>
        <w:rPr>
          <w:rFonts w:ascii="Arial" w:cs="Arial" w:eastAsia="Arial" w:hAnsi="Arial"/>
          <w:sz w:val="16"/>
          <w:szCs w:val="16"/>
          <w:color w:val="auto"/>
        </w:rPr>
      </w:pPr>
    </w:p>
    <w:p>
      <w:pPr>
        <w:ind w:left="540" w:right="120" w:firstLine="359"/>
        <w:spacing w:after="0" w:line="256" w:lineRule="auto"/>
        <w:tabs>
          <w:tab w:leader="none" w:pos="12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Default or Event of Default under such indenture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Yield Operating LLC or any Guarantor is a party or by which Yield Operating LLC or any Guarantor is bound;</w:t>
      </w:r>
    </w:p>
    <w:p>
      <w:pPr>
        <w:spacing w:after="0" w:line="197" w:lineRule="exact"/>
        <w:rPr>
          <w:rFonts w:ascii="Arial" w:cs="Arial" w:eastAsia="Arial" w:hAnsi="Arial"/>
          <w:sz w:val="18"/>
          <w:szCs w:val="18"/>
          <w:color w:val="auto"/>
        </w:rPr>
      </w:pPr>
    </w:p>
    <w:p>
      <w:pPr>
        <w:ind w:left="1220" w:hanging="321"/>
        <w:spacing w:after="0"/>
        <w:tabs>
          <w:tab w:leader="none" w:pos="1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Yield Operating LLC or any Guarantor has paid or caused to be paid all sums payable by it under the indenture; and</w:t>
      </w:r>
    </w:p>
    <w:p>
      <w:pPr>
        <w:spacing w:after="0" w:line="225" w:lineRule="exact"/>
        <w:rPr>
          <w:rFonts w:ascii="Arial" w:cs="Arial" w:eastAsia="Arial" w:hAnsi="Arial"/>
          <w:sz w:val="18"/>
          <w:szCs w:val="18"/>
          <w:color w:val="auto"/>
        </w:rPr>
      </w:pPr>
    </w:p>
    <w:p>
      <w:pPr>
        <w:ind w:left="540" w:right="40" w:firstLine="359"/>
        <w:spacing w:after="0" w:line="268" w:lineRule="auto"/>
        <w:tabs>
          <w:tab w:leader="none" w:pos="1221" w:val="left"/>
        </w:tabs>
        <w:numPr>
          <w:ilvl w:val="0"/>
          <w:numId w:val="58"/>
        </w:numPr>
        <w:rPr>
          <w:rFonts w:ascii="Arial" w:cs="Arial" w:eastAsia="Arial" w:hAnsi="Arial"/>
          <w:sz w:val="18"/>
          <w:szCs w:val="18"/>
          <w:color w:val="auto"/>
        </w:rPr>
      </w:pPr>
      <w:r>
        <w:rPr>
          <w:rFonts w:ascii="Arial" w:cs="Arial" w:eastAsia="Arial" w:hAnsi="Arial"/>
          <w:sz w:val="18"/>
          <w:szCs w:val="18"/>
          <w:color w:val="auto"/>
        </w:rPr>
        <w:t>Yield Operating LLC has delivered irrevocable instructions to the trustee under the indenture to apply the deposited money toward the payment of the notes at maturity or the redemption date, as the case may be.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In addition, Yield Operating LLC must deliver an officers' certificate and an opinion of counsel to the trustee stating that all conditions precedent to satisfaction and discharge have been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If the trustee becomes a creditor of Yield Operating LLC or any Guarantor, the indenture limits its right to obtain payment of claims in certain cases, or to realize on certain property received in respect of any such claim as security or otherwise. The trustee will be permitted to engage in other transactions; </w:t>
      </w:r>
      <w:r>
        <w:rPr>
          <w:rFonts w:ascii="Arial" w:cs="Arial" w:eastAsia="Arial" w:hAnsi="Arial"/>
          <w:sz w:val="18"/>
          <w:szCs w:val="18"/>
          <w:i w:val="1"/>
          <w:iCs w:val="1"/>
          <w:color w:val="auto"/>
        </w:rPr>
        <w:t>however</w:t>
      </w:r>
      <w:r>
        <w:rPr>
          <w:rFonts w:ascii="Arial" w:cs="Arial" w:eastAsia="Arial" w:hAnsi="Arial"/>
          <w:sz w:val="18"/>
          <w:szCs w:val="18"/>
          <w:color w:val="auto"/>
        </w:rPr>
        <w:t>, if it acquires any conflicting interest it must eliminate such conflict within 90 days, apply to the Commission for permission to continue (if such indenture has been qualified under the Trust Indenture Act) or resign.</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holders of a majority in principal amount of the notes that are outstanding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his own affairs. Subject to the provisions of the indenture,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Anyone who receives this prospectus may obtain a copy of the indenture and the registration rights agreement without charge by writing to NRG Yield Operating LLC, 804 Carnegie Center, Princeton, NJ 08540, Attention: Investor Relations.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8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LTM CAFD</w:t>
      </w:r>
      <w:r>
        <w:rPr>
          <w:rFonts w:ascii="Arial" w:cs="Arial" w:eastAsia="Arial" w:hAnsi="Arial"/>
          <w:sz w:val="18"/>
          <w:szCs w:val="18"/>
          <w:color w:val="auto"/>
        </w:rPr>
        <w:t>" means, as of any date of determination (for purposes of this definition, the "</w:t>
      </w:r>
      <w:r>
        <w:rPr>
          <w:rFonts w:ascii="Arial" w:cs="Arial" w:eastAsia="Arial" w:hAnsi="Arial"/>
          <w:sz w:val="18"/>
          <w:szCs w:val="18"/>
          <w:i w:val="1"/>
          <w:iCs w:val="1"/>
          <w:color w:val="auto"/>
        </w:rPr>
        <w:t>Calculation Date</w:t>
      </w:r>
      <w:r>
        <w:rPr>
          <w:rFonts w:ascii="Arial" w:cs="Arial" w:eastAsia="Arial" w:hAnsi="Arial"/>
          <w:sz w:val="18"/>
          <w:szCs w:val="18"/>
          <w:color w:val="auto"/>
        </w:rPr>
        <w:t>"), the net income of Yield Operating LLC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94" w:lineRule="exact"/>
        <w:rPr>
          <w:sz w:val="20"/>
          <w:szCs w:val="20"/>
          <w:color w:val="auto"/>
        </w:rPr>
      </w:pPr>
    </w:p>
    <w:p>
      <w:pPr>
        <w:ind w:left="1240" w:hanging="341"/>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plus interest expense, to the extent deducted in calculating net income during such four-quarter period;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plus income tax expense, net of income tax benefit, to the extent deducted in calculating net income during such four-quarter period;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plus depreciation and amortization, to the extent deducted in calculating net income during such four-quarter period;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minus equity in earnings of unconsolidated affiliates to the extent included in net income during four-quarter period;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plus cash distributions from unconsolidated affiliates, to the extent not included in net income during such four-quarter period;</w:t>
      </w:r>
    </w:p>
    <w:p>
      <w:pPr>
        <w:spacing w:after="0" w:line="225" w:lineRule="exact"/>
        <w:rPr>
          <w:rFonts w:ascii="Arial" w:cs="Arial" w:eastAsia="Arial" w:hAnsi="Arial"/>
          <w:sz w:val="18"/>
          <w:szCs w:val="18"/>
          <w:color w:val="auto"/>
        </w:rPr>
      </w:pPr>
    </w:p>
    <w:p>
      <w:pPr>
        <w:ind w:left="5620" w:right="220" w:hanging="4721"/>
        <w:spacing w:after="0" w:line="519" w:lineRule="auto"/>
        <w:tabs>
          <w:tab w:leader="none" w:pos="12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minus cash interest payments made by Subsidiaries of Yield Operating LLC that were added back to net income pursuant to clause (1) above;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40" w:hanging="341"/>
        <w:spacing w:after="0"/>
        <w:tabs>
          <w:tab w:leader="none" w:pos="12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minus cash income tax payments made by Yield Operating LLC and its Subsidiaries that were added back to net income pursuant to clause (2)</w:t>
      </w:r>
    </w:p>
    <w:p>
      <w:pPr>
        <w:spacing w:after="0" w:line="49"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color w:val="auto"/>
        </w:rPr>
        <w:t>above;</w:t>
      </w:r>
    </w:p>
    <w:p>
      <w:pPr>
        <w:spacing w:after="0" w:line="218" w:lineRule="exact"/>
        <w:rPr>
          <w:rFonts w:ascii="Arial" w:cs="Arial" w:eastAsia="Arial" w:hAnsi="Arial"/>
          <w:sz w:val="15"/>
          <w:szCs w:val="15"/>
          <w:color w:val="auto"/>
        </w:rPr>
      </w:pPr>
    </w:p>
    <w:p>
      <w:pPr>
        <w:ind w:left="540" w:right="720" w:firstLine="359"/>
        <w:spacing w:after="0" w:line="268" w:lineRule="auto"/>
        <w:tabs>
          <w:tab w:leader="none" w:pos="1228" w:val="left"/>
        </w:tabs>
        <w:numPr>
          <w:ilvl w:val="0"/>
          <w:numId w:val="60"/>
        </w:numPr>
        <w:rPr>
          <w:rFonts w:ascii="Arial" w:cs="Arial" w:eastAsia="Arial" w:hAnsi="Arial"/>
          <w:sz w:val="18"/>
          <w:szCs w:val="18"/>
          <w:color w:val="auto"/>
        </w:rPr>
      </w:pPr>
      <w:r>
        <w:rPr>
          <w:rFonts w:ascii="Arial" w:cs="Arial" w:eastAsia="Arial" w:hAnsi="Arial"/>
          <w:sz w:val="18"/>
          <w:szCs w:val="18"/>
          <w:color w:val="auto"/>
        </w:rPr>
        <w:t>minus principal payments and repayments of Indebtedness made by Yield Operating LLC's Subsidiaries, to the extent not deducted in calculating net income during such four-quarter period;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plus any decrease or minus any increase in amounts attributable to contract amortization and any recurring changes in other assets;</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minus maintenance capital expenditures, to the extent not deducted in calculating net income during such four-quarter period;</w:t>
      </w:r>
    </w:p>
    <w:p>
      <w:pPr>
        <w:spacing w:after="0" w:line="225" w:lineRule="exact"/>
        <w:rPr>
          <w:rFonts w:ascii="Arial" w:cs="Arial" w:eastAsia="Arial" w:hAnsi="Arial"/>
          <w:sz w:val="18"/>
          <w:szCs w:val="18"/>
          <w:color w:val="auto"/>
        </w:rPr>
      </w:pPr>
    </w:p>
    <w:p>
      <w:pPr>
        <w:jc w:val="both"/>
        <w:ind w:left="540" w:right="120" w:firstLine="359"/>
        <w:spacing w:after="0" w:line="335" w:lineRule="auto"/>
        <w:tabs>
          <w:tab w:leader="none" w:pos="1221" w:val="left"/>
        </w:tabs>
        <w:numPr>
          <w:ilvl w:val="0"/>
          <w:numId w:val="60"/>
        </w:numPr>
        <w:rPr>
          <w:rFonts w:ascii="Arial" w:cs="Arial" w:eastAsia="Arial" w:hAnsi="Arial"/>
          <w:sz w:val="15"/>
          <w:szCs w:val="15"/>
          <w:color w:val="auto"/>
        </w:rPr>
      </w:pPr>
      <w:r>
        <w:rPr>
          <w:rFonts w:ascii="Arial" w:cs="Arial" w:eastAsia="Arial" w:hAnsi="Arial"/>
          <w:sz w:val="15"/>
          <w:szCs w:val="15"/>
          <w:color w:val="auto"/>
        </w:rPr>
        <w:t>plus any expenses or charges related to any equity offering, investment, acquisition, disposition, recapitalization or incurrence of Indebtedness permitted to be incurred by the indenture including a refinancing thereof (whether or not successful), including such fees, expenses or charges related to the offering of the notes and the Credit Agreement, to the extent deducted in calculating net income during such four-quarter period; and</w:t>
      </w:r>
    </w:p>
    <w:p>
      <w:pPr>
        <w:spacing w:after="0" w:line="142" w:lineRule="exact"/>
        <w:rPr>
          <w:rFonts w:ascii="Arial" w:cs="Arial" w:eastAsia="Arial" w:hAnsi="Arial"/>
          <w:sz w:val="15"/>
          <w:szCs w:val="15"/>
          <w:color w:val="auto"/>
        </w:rPr>
      </w:pPr>
    </w:p>
    <w:p>
      <w:pPr>
        <w:ind w:left="540" w:right="20" w:firstLine="359"/>
        <w:spacing w:after="0" w:line="332" w:lineRule="auto"/>
        <w:tabs>
          <w:tab w:leader="none" w:pos="1228" w:val="left"/>
        </w:tabs>
        <w:numPr>
          <w:ilvl w:val="0"/>
          <w:numId w:val="60"/>
        </w:numPr>
        <w:rPr>
          <w:rFonts w:ascii="Arial" w:cs="Arial" w:eastAsia="Arial" w:hAnsi="Arial"/>
          <w:sz w:val="16"/>
          <w:szCs w:val="16"/>
          <w:color w:val="auto"/>
        </w:rPr>
      </w:pPr>
      <w:r>
        <w:rPr>
          <w:rFonts w:ascii="Arial" w:cs="Arial" w:eastAsia="Arial" w:hAnsi="Arial"/>
          <w:sz w:val="16"/>
          <w:szCs w:val="16"/>
          <w:color w:val="auto"/>
        </w:rPr>
        <w:t>plus any professional and underwriting fees related to any equity offering, investment, acquisition, recapitalization or Indebtedness permitted to be incurred under the indenture, to the extent deducted in calculating net income during such four-quarter period.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225" w:lineRule="exact"/>
        <w:rPr>
          <w:sz w:val="20"/>
          <w:szCs w:val="20"/>
          <w:color w:val="auto"/>
        </w:rPr>
      </w:pPr>
    </w:p>
    <w:p>
      <w:pPr>
        <w:ind w:left="540" w:right="60" w:firstLine="359"/>
        <w:spacing w:after="0" w:line="294" w:lineRule="auto"/>
        <w:tabs>
          <w:tab w:leader="none" w:pos="1228"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investments and acquisitions that have been made by Yield Operating LLC or any of its Subsidiaries, including through mergers or consolidations, or any Person or any of its Subsidiaries acquired by Yield Operating LLC or any of its Subsidiaries, and including any related financing transactions and including increases in ownership of Subsidiaries, during the four-quarter reference period or subsequent to such reference period 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69" w:lineRule="exact"/>
        <w:rPr>
          <w:rFonts w:ascii="Arial" w:cs="Arial" w:eastAsia="Arial" w:hAnsi="Arial"/>
          <w:sz w:val="16"/>
          <w:szCs w:val="16"/>
          <w:color w:val="auto"/>
        </w:rPr>
      </w:pPr>
    </w:p>
    <w:p>
      <w:pPr>
        <w:ind w:left="540" w:right="180" w:firstLine="359"/>
        <w:spacing w:after="0" w:line="268" w:lineRule="auto"/>
        <w:tabs>
          <w:tab w:leader="none" w:pos="12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Person that is a Subsidiary on the Calculation Date will be deemed to have been a Subsidiary at all times during such four-quarter period;</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8" w:lineRule="exact"/>
        <w:rPr>
          <w:rFonts w:ascii="Arial" w:cs="Arial" w:eastAsia="Arial" w:hAnsi="Arial"/>
          <w:sz w:val="16"/>
          <w:szCs w:val="16"/>
          <w:color w:val="auto"/>
        </w:rPr>
      </w:pPr>
    </w:p>
    <w:p>
      <w:pPr>
        <w:ind w:left="1240" w:hanging="341"/>
        <w:spacing w:after="0"/>
        <w:tabs>
          <w:tab w:leader="none" w:pos="12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Person that is not a Subsidiary on the Calculation Date will be deemed not to have been a Subsidiary at any time during such four-quarter</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beneficial ownership of 10% or more of the Voting Stock of a Person will be deemed to be control. For purposes of this definition,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"controlling," "controlled by" and "under common control with" have correlative meanings.</w:t>
      </w:r>
    </w:p>
    <w:p>
      <w:pPr>
        <w:spacing w:after="0" w:line="170"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Laws</w:t>
      </w:r>
      <w:r>
        <w:rPr>
          <w:rFonts w:ascii="Arial" w:cs="Arial" w:eastAsia="Arial" w:hAnsi="Arial"/>
          <w:sz w:val="18"/>
          <w:szCs w:val="18"/>
          <w:color w:val="auto"/>
        </w:rPr>
        <w:t>" means, as to any Person, any law, rule, regulation, ordinance or treaty, or any determination, ruling or other directive by or from 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225" w:lineRule="exact"/>
        <w:rPr>
          <w:sz w:val="20"/>
          <w:szCs w:val="20"/>
          <w:color w:val="auto"/>
        </w:rPr>
      </w:pPr>
    </w:p>
    <w:p>
      <w:pPr>
        <w:ind w:left="1240" w:hanging="341"/>
        <w:spacing w:after="0"/>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1.0% of the principal amount of such note; or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ind w:left="1080" w:right="80" w:firstLine="360"/>
        <w:spacing w:after="0" w:line="256" w:lineRule="auto"/>
        <w:tabs>
          <w:tab w:leader="none" w:pos="17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the present value at such redemption date of (i) the redemption price of such note at September 15, 2021 (such redemption price being set forth in the table appearing above under the caption "—Optional Redemption")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required interest payments due on the note through September 15, 2021 (excluding accrued but unpaid interest to the redemption date), computed using a discount rate equal to the Treasury Rate as of such redemption date plus 50 basis points; over</w:t>
      </w:r>
    </w:p>
    <w:p>
      <w:pPr>
        <w:spacing w:after="0" w:line="197" w:lineRule="exact"/>
        <w:rPr>
          <w:rFonts w:ascii="Arial" w:cs="Arial" w:eastAsia="Arial" w:hAnsi="Arial"/>
          <w:sz w:val="18"/>
          <w:szCs w:val="18"/>
          <w:color w:val="auto"/>
        </w:rPr>
      </w:pPr>
    </w:p>
    <w:p>
      <w:pPr>
        <w:ind w:left="1780" w:hanging="340"/>
        <w:spacing w:after="0"/>
        <w:tabs>
          <w:tab w:leader="none" w:pos="17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then outstanding principal amount of the note.</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The terms "Beneficially Owns" and "Beneficially Owned" have a corresponding meaning.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225" w:lineRule="exact"/>
        <w:rPr>
          <w:sz w:val="20"/>
          <w:szCs w:val="20"/>
          <w:color w:val="auto"/>
        </w:rPr>
      </w:pPr>
    </w:p>
    <w:p>
      <w:pPr>
        <w:ind w:left="1240" w:hanging="341"/>
        <w:spacing w:after="0"/>
        <w:tabs>
          <w:tab w:leader="none" w:pos="12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 and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225" w:lineRule="exact"/>
        <w:rPr>
          <w:sz w:val="20"/>
          <w:szCs w:val="20"/>
          <w:color w:val="auto"/>
        </w:rPr>
      </w:pPr>
    </w:p>
    <w:p>
      <w:pPr>
        <w:ind w:left="1240" w:hanging="341"/>
        <w:spacing w:after="0"/>
        <w:tabs>
          <w:tab w:leader="none" w:pos="1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540" w:right="200" w:firstLine="359"/>
        <w:spacing w:after="0" w:line="268" w:lineRule="auto"/>
        <w:tabs>
          <w:tab w:leader="none" w:pos="1228"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 and</w:t>
      </w:r>
    </w:p>
    <w:p>
      <w:pPr>
        <w:spacing w:after="0" w:line="248" w:lineRule="exact"/>
        <w:rPr>
          <w:rFonts w:ascii="Arial" w:cs="Arial" w:eastAsia="Arial" w:hAnsi="Arial"/>
          <w:sz w:val="16"/>
          <w:szCs w:val="16"/>
          <w:color w:val="auto"/>
        </w:rPr>
      </w:pPr>
    </w:p>
    <w:p>
      <w:pPr>
        <w:ind w:left="540" w:firstLine="359"/>
        <w:spacing w:after="0" w:line="259" w:lineRule="auto"/>
        <w:tabs>
          <w:tab w:leader="none" w:pos="122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25" w:lineRule="exact"/>
        <w:rPr>
          <w:sz w:val="20"/>
          <w:szCs w:val="20"/>
          <w:color w:val="auto"/>
        </w:rPr>
      </w:pPr>
    </w:p>
    <w:p>
      <w:pPr>
        <w:ind w:left="540" w:right="160" w:firstLine="359"/>
        <w:spacing w:after="0" w:line="259" w:lineRule="auto"/>
        <w:tabs>
          <w:tab w:leader="none" w:pos="12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Yield Operating LLC and its Subsidiaries taken as a whole to any "person" (as that term is used in Section 13(d) of the Exchange Act, but excluding any employee benefit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plan of Yield Operating LLC or any of its Subsidiaries, and any person or entity acting in its capacity as trustee, agent or other fiduciary or administrator of such plan);</w:t>
      </w:r>
    </w:p>
    <w:p>
      <w:pPr>
        <w:spacing w:after="0" w:line="186" w:lineRule="exact"/>
        <w:rPr>
          <w:sz w:val="20"/>
          <w:szCs w:val="20"/>
          <w:color w:val="auto"/>
        </w:rPr>
      </w:pPr>
    </w:p>
    <w:p>
      <w:pPr>
        <w:ind w:left="1240" w:hanging="341"/>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NRG Yield, Inc., the Parent Guarantor or Yield Operating LLC;</w:t>
      </w:r>
    </w:p>
    <w:p>
      <w:pPr>
        <w:spacing w:after="0" w:line="225" w:lineRule="exact"/>
        <w:rPr>
          <w:rFonts w:ascii="Arial" w:cs="Arial" w:eastAsia="Arial" w:hAnsi="Arial"/>
          <w:sz w:val="18"/>
          <w:szCs w:val="18"/>
          <w:color w:val="auto"/>
        </w:rPr>
      </w:pPr>
    </w:p>
    <w:p>
      <w:pPr>
        <w:ind w:left="540" w:firstLine="359"/>
        <w:spacing w:after="0" w:line="298" w:lineRule="auto"/>
        <w:tabs>
          <w:tab w:leader="none" w:pos="1228"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consummation of any transaction (including, without limitation, any merger or consolidation) the result of which is that any "person" (as defined above), other than (i) NRG Energy, Inc. or (ii) a corporation owned directly or indirectly by the stockholders of NRG Yield, Inc. in substantially the same proportion as their ownership of stock of NRG Yield, Inc. prior to such transaction, becomes the Beneficial Owner, directly or indirectly, of more than 50% of the Voting Stock of NRG Yield, Inc., measured by voting power rather than number of shares; or</w:t>
      </w:r>
    </w:p>
    <w:p>
      <w:pPr>
        <w:spacing w:after="0" w:line="166" w:lineRule="exact"/>
        <w:rPr>
          <w:rFonts w:ascii="Arial" w:cs="Arial" w:eastAsia="Arial" w:hAnsi="Arial"/>
          <w:sz w:val="16"/>
          <w:szCs w:val="16"/>
          <w:color w:val="auto"/>
        </w:rPr>
      </w:pPr>
    </w:p>
    <w:p>
      <w:pPr>
        <w:ind w:left="540" w:right="300" w:firstLine="359"/>
        <w:spacing w:after="0" w:line="268" w:lineRule="auto"/>
        <w:tabs>
          <w:tab w:leader="none" w:pos="12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first day on which either (i) NRG Yield, Inc. ceases to be the sole managing member of the Parent Guarantor or (ii) Yield Operating LLC ceases to be a Wholly Owned Subsidiary of the Parent Guarantor.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it in the indenture governing the notes.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(i) a Change of Control has occurred and (ii) the notes are downgraded by both S&amp;P and Moody's on any date during the period commencing 60 days prior to the consummation of such Change of Control and ending 60 days following consummation of such Change of Control.</w:t>
      </w:r>
    </w:p>
    <w:p>
      <w:pPr>
        <w:spacing w:after="0" w:line="194"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the Amended and Restated Credit Agreement, dated April 25, 2014, among Yield Operating LLC, the Parent Guarantor, each other guarantor from time to time party thereto, each lender from time to time party thereto, Royal Bank of Canada, as administrative agent, and Royal Bank of Canada, Goldman Sachs Bank USA and Bank of America, N.A., as letter of credit issuers, as described in this prospectus under the heading "Description of Certain Other Indebtedness," as the same may be amended, restated, modified, renewed, refunded, replaced or refinanced from time to time.</w:t>
      </w:r>
    </w:p>
    <w:p>
      <w:pPr>
        <w:spacing w:after="0" w:line="167" w:lineRule="exact"/>
        <w:rPr>
          <w:sz w:val="20"/>
          <w:szCs w:val="20"/>
          <w:color w:val="auto"/>
        </w:rPr>
      </w:pPr>
    </w:p>
    <w:p>
      <w:pPr>
        <w:ind w:right="260" w:firstLine="3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(i) one or more debt facilities (including, without limitation, the Credit Agreement) or commercial paper facilities, in each 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5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CapEx Debt</w:t>
      </w:r>
      <w:r>
        <w:rPr>
          <w:rFonts w:ascii="Arial" w:cs="Arial" w:eastAsia="Arial" w:hAnsi="Arial"/>
          <w:sz w:val="18"/>
          <w:szCs w:val="18"/>
          <w:color w:val="auto"/>
        </w:rPr>
        <w:t>" means Indebtedness of Yield Operating LLC or any of its Subsidiaries incurred for the purpose of financing capital expenditures to the extent deemed reasonably necessary, as determined by Yield Operating LLC or any of its Subsidiaries, as applicable, in good faith and pursuant to prudent judgment, to comply with applicable Environmental Laws.</w:t>
      </w:r>
    </w:p>
    <w:p>
      <w:pPr>
        <w:spacing w:after="0" w:line="194" w:lineRule="exact"/>
        <w:rPr>
          <w:sz w:val="20"/>
          <w:szCs w:val="20"/>
          <w:color w:val="auto"/>
        </w:rPr>
      </w:pPr>
    </w:p>
    <w:p>
      <w:pPr>
        <w:ind w:right="5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means all former, current and future federal, state, local and foreign laws (including common law), treaties, regulations, rules, ordinances and codes, and legally binding decrees, judgments, directives and orders (including consent orders), in each case, relating to protection of the environment, natural resources, occupational health and safety or the presence, release of, or exposure to, hazardous materials, substances or wastes, or the generation, manufacture, processing, distribution,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use, treatment, storage, disposal, transport, recycling or handling of, or the arrangement for such activities with respect to, hazardous materials, substances or wastes.</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Offerings</w:t>
      </w:r>
      <w:r>
        <w:rPr>
          <w:rFonts w:ascii="Arial" w:cs="Arial" w:eastAsia="Arial" w:hAnsi="Arial"/>
          <w:sz w:val="18"/>
          <w:szCs w:val="18"/>
          <w:color w:val="auto"/>
        </w:rPr>
        <w:t>" means any public or private sale after the issue date of Capital Stock of the Parent Guarantor or NRG Yield, Inc., the proceeds of which have been contributed to Yield Operating LLC as common equity, other than:</w:t>
      </w:r>
    </w:p>
    <w:p>
      <w:pPr>
        <w:spacing w:after="0" w:line="186" w:lineRule="exact"/>
        <w:rPr>
          <w:sz w:val="20"/>
          <w:szCs w:val="20"/>
          <w:color w:val="auto"/>
        </w:rPr>
      </w:pPr>
    </w:p>
    <w:p>
      <w:pPr>
        <w:ind w:left="1240" w:hanging="341"/>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public offerings with respect to NRG Yield, Inc.'s common stock registered on Form S-4 or Form S-8;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issuances to any Subsidiary of NRG Yield,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Agreement</w:t>
      </w:r>
      <w:r>
        <w:rPr>
          <w:rFonts w:ascii="Arial" w:cs="Arial" w:eastAsia="Arial" w:hAnsi="Arial"/>
          <w:sz w:val="16"/>
          <w:szCs w:val="16"/>
          <w:color w:val="auto"/>
        </w:rPr>
        <w:t>" means the Amended and Restated Exchange Agreement, dated as of May 14, 2015 by and among NRG Energy, Inc., NRG</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Yield, Inc. and the Parent Guarantor and each of the other parties thereto from time to time, as amended, supplemented or otherwise modified from time to time.</w:t>
      </w:r>
    </w:p>
    <w:p>
      <w:pPr>
        <w:spacing w:after="0" w:line="2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Notes</w:t>
      </w:r>
      <w:r>
        <w:rPr>
          <w:rFonts w:ascii="Arial" w:cs="Arial" w:eastAsia="Arial" w:hAnsi="Arial"/>
          <w:sz w:val="18"/>
          <w:szCs w:val="18"/>
          <w:color w:val="auto"/>
        </w:rPr>
        <w:t>" means the notes issued in the Exchange Offer in exchange for the notes offered hereby.</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Liens</w:t>
      </w:r>
      <w:r>
        <w:rPr>
          <w:rFonts w:ascii="Arial" w:cs="Arial" w:eastAsia="Arial" w:hAnsi="Arial"/>
          <w:sz w:val="18"/>
          <w:szCs w:val="18"/>
          <w:color w:val="auto"/>
        </w:rPr>
        <w:t>" means Liens on the property or assets of Yield Operating LLC and/or any of its Subsidiaries existing on the date of the indenture securing Indebtedness of Yield Operating LLC or any of its Subsidiaries (other than Liens incurred pursuant to clause (1) of the covenant described above under the caption "—Liens").</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operating lease would be re-characterized as a capital lease due to changes in the accounting treatment of such operating leases under GAAP since the issue date, then solely with respect to the accounting treatment of any such lease, GAAP shall be interpreted as it was in effect on the issue date.</w:t>
      </w:r>
    </w:p>
    <w:p>
      <w:pPr>
        <w:spacing w:after="0" w:line="170"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direct obligations of, or obligations guaranteed by, the United States of America (including any agency or instrumentality thereof) for the payment of which obligations or guarantees the full faith and credit of the United States of America is pledged and which are not callable or redeemable at the issuer's option.</w:t>
      </w:r>
    </w:p>
    <w:p>
      <w:pPr>
        <w:spacing w:after="0" w:line="194"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each of:</w:t>
      </w:r>
    </w:p>
    <w:p>
      <w:pPr>
        <w:spacing w:after="0" w:line="225" w:lineRule="exact"/>
        <w:rPr>
          <w:sz w:val="20"/>
          <w:szCs w:val="20"/>
          <w:color w:val="auto"/>
        </w:rPr>
      </w:pPr>
    </w:p>
    <w:p>
      <w:pPr>
        <w:ind w:left="1240" w:hanging="341"/>
        <w:spacing w:after="0"/>
        <w:tabs>
          <w:tab w:leader="none" w:pos="1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Parent Guarantor;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Subsidiary Guarantors, until such time as they are released pursuant to the provisions of the indenture; and</w:t>
      </w:r>
    </w:p>
    <w:p>
      <w:pPr>
        <w:spacing w:after="0" w:line="225" w:lineRule="exact"/>
        <w:rPr>
          <w:rFonts w:ascii="Arial" w:cs="Arial" w:eastAsia="Arial" w:hAnsi="Arial"/>
          <w:sz w:val="18"/>
          <w:szCs w:val="18"/>
          <w:color w:val="auto"/>
        </w:rPr>
      </w:pPr>
    </w:p>
    <w:p>
      <w:pPr>
        <w:ind w:left="5620" w:right="360" w:hanging="4721"/>
        <w:spacing w:after="0" w:line="519" w:lineRule="auto"/>
        <w:tabs>
          <w:tab w:leader="none" w:pos="12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Person that executes a Guarantee in accordance with the provisions of the indenture, and their respective successors and assigns.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225" w:lineRule="exact"/>
        <w:rPr>
          <w:sz w:val="20"/>
          <w:szCs w:val="20"/>
          <w:color w:val="auto"/>
        </w:rPr>
      </w:pPr>
    </w:p>
    <w:p>
      <w:pPr>
        <w:ind w:left="540" w:right="180" w:firstLine="359"/>
        <w:spacing w:after="0" w:line="268" w:lineRule="auto"/>
        <w:tabs>
          <w:tab w:leader="none" w:pos="1228" w:val="left"/>
        </w:tabs>
        <w:numPr>
          <w:ilvl w:val="1"/>
          <w:numId w:val="69"/>
        </w:numPr>
        <w:rPr>
          <w:rFonts w:ascii="Arial" w:cs="Arial" w:eastAsia="Arial" w:hAnsi="Arial"/>
          <w:sz w:val="18"/>
          <w:szCs w:val="18"/>
          <w:color w:val="auto"/>
        </w:rPr>
      </w:pPr>
      <w:r>
        <w:rPr>
          <w:rFonts w:ascii="Arial" w:cs="Arial" w:eastAsia="Arial" w:hAnsi="Arial"/>
          <w:sz w:val="18"/>
          <w:szCs w:val="18"/>
          <w:color w:val="auto"/>
        </w:rPr>
        <w:t>currency exchange, interest rate or commodity swap agreements, currency exchange, interest rate or commodity cap agreements and currency exchange, interest rate or commodity collar agreements; and</w:t>
      </w:r>
    </w:p>
    <w:p>
      <w:pPr>
        <w:spacing w:after="0" w:line="185" w:lineRule="exact"/>
        <w:rPr>
          <w:rFonts w:ascii="Arial" w:cs="Arial" w:eastAsia="Arial" w:hAnsi="Arial"/>
          <w:sz w:val="18"/>
          <w:szCs w:val="18"/>
          <w:color w:val="auto"/>
        </w:rPr>
      </w:pPr>
    </w:p>
    <w:p>
      <w:pPr>
        <w:jc w:val="both"/>
        <w:ind w:left="540" w:right="200" w:firstLine="359"/>
        <w:spacing w:after="0" w:line="284" w:lineRule="auto"/>
        <w:tabs>
          <w:tab w:leader="none" w:pos="1228" w:val="left"/>
        </w:tabs>
        <w:numPr>
          <w:ilvl w:val="1"/>
          <w:numId w:val="69"/>
        </w:numPr>
        <w:rPr>
          <w:rFonts w:ascii="Arial" w:cs="Arial" w:eastAsia="Arial" w:hAnsi="Arial"/>
          <w:sz w:val="16"/>
          <w:szCs w:val="16"/>
          <w:color w:val="auto"/>
        </w:rPr>
      </w:pPr>
      <w:r>
        <w:rPr>
          <w:rFonts w:ascii="Arial" w:cs="Arial" w:eastAsia="Arial" w:hAnsi="Arial"/>
          <w:sz w:val="16"/>
          <w:szCs w:val="16"/>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w:t>
      </w:r>
    </w:p>
    <w:p>
      <w:pPr>
        <w:spacing w:after="0" w:line="1" w:lineRule="exact"/>
        <w:rPr>
          <w:rFonts w:ascii="Arial" w:cs="Arial" w:eastAsia="Arial" w:hAnsi="Arial"/>
          <w:sz w:val="16"/>
          <w:szCs w:val="16"/>
          <w:color w:val="auto"/>
        </w:rPr>
      </w:pPr>
    </w:p>
    <w:p>
      <w:pPr>
        <w:ind w:left="540" w:right="200" w:firstLine="8"/>
        <w:spacing w:after="0" w:line="261" w:lineRule="auto"/>
        <w:tabs>
          <w:tab w:leader="none" w:pos="8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agreements or arrangements for commercial or trading activities with respect to the purchase, transmission, distribution, sale, lease or hedge of any energy related commodity or service.</w:t>
      </w:r>
    </w:p>
    <w:p>
      <w:pPr>
        <w:spacing w:after="0" w:line="192"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except as provided in clause (5) below), whether or not contingent:</w:t>
      </w:r>
    </w:p>
    <w:p>
      <w:pPr>
        <w:spacing w:after="0" w:line="186" w:lineRule="exact"/>
        <w:rPr>
          <w:sz w:val="20"/>
          <w:szCs w:val="20"/>
          <w:color w:val="auto"/>
        </w:rPr>
      </w:pPr>
    </w:p>
    <w:p>
      <w:pPr>
        <w:ind w:left="1240" w:hanging="341"/>
        <w:spacing w:after="0"/>
        <w:tabs>
          <w:tab w:leader="none" w:pos="1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representing Capital Lease Obligations in respect of sale and leaseback transactions;</w:t>
      </w:r>
    </w:p>
    <w:p>
      <w:pPr>
        <w:spacing w:after="0" w:line="225" w:lineRule="exact"/>
        <w:rPr>
          <w:rFonts w:ascii="Arial" w:cs="Arial" w:eastAsia="Arial" w:hAnsi="Arial"/>
          <w:sz w:val="18"/>
          <w:szCs w:val="18"/>
          <w:color w:val="auto"/>
        </w:rPr>
      </w:pPr>
    </w:p>
    <w:p>
      <w:pPr>
        <w:ind w:left="540" w:right="20" w:firstLine="359"/>
        <w:spacing w:after="0" w:line="268" w:lineRule="auto"/>
        <w:tabs>
          <w:tab w:leader="none" w:pos="12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representing the balance of deferred and unpaid purchase price of any property or services with a scheduled due date more than six months after such property is acquired or such services are completed; or</w:t>
      </w:r>
    </w:p>
    <w:p>
      <w:pPr>
        <w:spacing w:after="0" w:line="185" w:lineRule="exact"/>
        <w:rPr>
          <w:rFonts w:ascii="Arial" w:cs="Arial" w:eastAsia="Arial" w:hAnsi="Arial"/>
          <w:sz w:val="18"/>
          <w:szCs w:val="18"/>
          <w:color w:val="auto"/>
        </w:rPr>
      </w:pPr>
    </w:p>
    <w:p>
      <w:pPr>
        <w:ind w:left="540" w:right="220" w:firstLine="359"/>
        <w:spacing w:after="0" w:line="332" w:lineRule="auto"/>
        <w:tabs>
          <w:tab w:leader="none" w:pos="1228"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pacing w:after="0" w:line="139"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Indebtedness shall be deemed not to exceed the lesser of the amount secured by such Lien and the value of the Person's property securing such Lien.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August 18,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w:t>
      </w:r>
    </w:p>
    <w:p>
      <w:pPr>
        <w:spacing w:after="0" w:line="225" w:lineRule="exact"/>
        <w:rPr>
          <w:sz w:val="20"/>
          <w:szCs w:val="20"/>
          <w:color w:val="auto"/>
        </w:rPr>
      </w:pPr>
    </w:p>
    <w:p>
      <w:pPr>
        <w:ind w:left="540" w:right="540" w:firstLine="359"/>
        <w:spacing w:after="0" w:line="268" w:lineRule="auto"/>
        <w:tabs>
          <w:tab w:leader="none" w:pos="12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85" w:lineRule="exact"/>
        <w:rPr>
          <w:rFonts w:ascii="Arial" w:cs="Arial" w:eastAsia="Arial" w:hAnsi="Arial"/>
          <w:sz w:val="18"/>
          <w:szCs w:val="18"/>
          <w:color w:val="auto"/>
        </w:rPr>
      </w:pPr>
    </w:p>
    <w:p>
      <w:pPr>
        <w:ind w:left="540" w:right="20" w:firstLine="359"/>
        <w:spacing w:after="0" w:line="268" w:lineRule="auto"/>
        <w:tabs>
          <w:tab w:leader="none" w:pos="12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85" w:lineRule="exact"/>
        <w:rPr>
          <w:rFonts w:ascii="Arial" w:cs="Arial" w:eastAsia="Arial" w:hAnsi="Arial"/>
          <w:sz w:val="18"/>
          <w:szCs w:val="18"/>
          <w:color w:val="auto"/>
        </w:rPr>
      </w:pPr>
    </w:p>
    <w:p>
      <w:pPr>
        <w:ind w:left="540" w:firstLine="359"/>
        <w:spacing w:after="0" w:line="268" w:lineRule="auto"/>
        <w:tabs>
          <w:tab w:leader="none" w:pos="12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Equity Interests or debt securities, any purchase option, call or similar right of a third party with respect to such Equity Interests or debt securities.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means, as of any date, any series of Indebtedness with an aggregate principal amount outstanding in excess of the greater of (i) 1.5% of Total Assets, as of such date, and (ii) $75.0 million.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entity.</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Necessary CapEx Debt</w:t>
      </w:r>
      <w:r>
        <w:rPr>
          <w:rFonts w:ascii="Arial" w:cs="Arial" w:eastAsia="Arial" w:hAnsi="Arial"/>
          <w:sz w:val="18"/>
          <w:szCs w:val="18"/>
          <w:color w:val="auto"/>
        </w:rPr>
        <w:t>" means Indebtedness of Yield Operating LLC or any of its Subsidiaries incurred for the purpose of financing capital expenditures (other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97" w:lineRule="exact"/>
        <w:rPr>
          <w:sz w:val="20"/>
          <w:szCs w:val="20"/>
          <w:color w:val="auto"/>
        </w:rPr>
      </w:pPr>
    </w:p>
    <w:p>
      <w:pPr>
        <w:ind w:right="10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Guarantee</w:t>
      </w:r>
      <w:r>
        <w:rPr>
          <w:rFonts w:ascii="Arial" w:cs="Arial" w:eastAsia="Arial" w:hAnsi="Arial"/>
          <w:sz w:val="18"/>
          <w:szCs w:val="18"/>
          <w:color w:val="auto"/>
        </w:rPr>
        <w:t>" means the Guarantee by the Parent Guarantor of Yield Operating LLC's obligations under the indenture and on the notes, executed pursuant to the provisions of the indenture.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NRG Yield LLC and its successors and assigns.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8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any building, structure or other facility, and all related property, plant or equipment or other long-term assets used or useful in the ownership, development, construction or operation of such building, structure or other facility owned or leased by Yield Operating LLC or any Guarantor and having a net book value in excess of 2.0% of Total Assets, except any such building, structure or other facility (or related property, plant or equipment) that in the opinion of the Board of Directors is not of material importance to the business conducted by Yield Operating LLC and its consolidated Subsidiaries, taken as a whole.</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 Forma Cost Savings</w:t>
      </w:r>
      <w:r>
        <w:rPr>
          <w:rFonts w:ascii="Arial" w:cs="Arial" w:eastAsia="Arial" w:hAnsi="Arial"/>
          <w:sz w:val="16"/>
          <w:szCs w:val="16"/>
          <w:color w:val="auto"/>
        </w:rPr>
        <w:t>" means, without duplication, with respect to any period, reductions in costs and related adjustments that have been actually realized or are projected by Yield Operating LLC's Chief Financial Officer in good faith to result from reasonably identifiable and factually supportable actions or events, but only to the extent such reductions in costs and related adjustments are so projected by Yield Operating LLC to be realized prior to the end of the consecutive four-quarter period commencing after the transaction giving rise to such calculation.</w:t>
      </w:r>
    </w:p>
    <w:p>
      <w:pPr>
        <w:spacing w:after="0" w:line="167"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Debt</w:t>
      </w:r>
      <w:r>
        <w:rPr>
          <w:rFonts w:ascii="Arial" w:cs="Arial" w:eastAsia="Arial" w:hAnsi="Arial"/>
          <w:sz w:val="18"/>
          <w:szCs w:val="18"/>
          <w:color w:val="auto"/>
        </w:rPr>
        <w:t xml:space="preserve">" means Indebtedness of one or more Project Subsidiaries incurred for the purpose of holding, constructing or acquiring power generation facilities or related or ancillary assets or properties;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Yield Operating LLC is not liable with respect to such Indebtedness except to the extent of a non-recourse pledge of equity interests in one or more Project Subsidiaries.</w:t>
      </w:r>
    </w:p>
    <w:p>
      <w:pPr>
        <w:spacing w:after="0" w:line="194"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Project Subsidiary</w:t>
      </w:r>
      <w:r>
        <w:rPr>
          <w:rFonts w:ascii="Arial" w:cs="Arial" w:eastAsia="Arial" w:hAnsi="Arial"/>
          <w:sz w:val="16"/>
          <w:szCs w:val="16"/>
          <w:color w:val="auto"/>
        </w:rPr>
        <w:t xml:space="preserve">" means any Subsidiary of Yield Operating LLC held for the purpose of holding, constructing or acquiring power generation facilities or related or ancillary assets or properties and any Subsidiary of Yield Operating LLC whose assets consist primarily of equity interests in one or more other Project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Subsidiary will cease to be a Project Subsidiary if it Guarantees any Indebtedness of Yield Operating LLC other than obligations of Yield Operating LLC related to Project Debt of one or more Project Subsidiaries.</w:t>
      </w:r>
    </w:p>
    <w:p>
      <w:pPr>
        <w:spacing w:after="0" w:line="16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Liens</w:t>
      </w:r>
      <w:r>
        <w:rPr>
          <w:rFonts w:ascii="Arial" w:cs="Arial" w:eastAsia="Arial" w:hAnsi="Arial"/>
          <w:sz w:val="18"/>
          <w:szCs w:val="18"/>
          <w:color w:val="auto"/>
        </w:rPr>
        <w:t xml:space="preserve">" means Liens granted in connection with amending, extending, modifying, renewing, replacing, refunding or refinancing in whole or in part any Indebtedness secured by Liens described in clauses (2) through (10) of the covenant described above under the caption "—Liens;"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Refinancing Liens do not (a) extend to property or assets other than property or assets of the type that were subject to the original Lien or (b) secure Indebtedness having a principal amount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excess of the amount of Indebtedness being extended, renewed, replaced or refinanced, plus the amount of any fees and expenses (including premiums) related to any such extension, renewal, replacement or refinancing.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Group or any successor entity.</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date of the indenture.</w:t>
      </w:r>
    </w:p>
    <w:p>
      <w:pPr>
        <w:spacing w:after="0" w:line="18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ind w:left="540" w:right="60" w:firstLine="359"/>
        <w:spacing w:after="0" w:line="298" w:lineRule="auto"/>
        <w:tabs>
          <w:tab w:leader="none" w:pos="1228"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66" w:lineRule="exact"/>
        <w:rPr>
          <w:rFonts w:ascii="Arial" w:cs="Arial" w:eastAsia="Arial" w:hAnsi="Arial"/>
          <w:sz w:val="16"/>
          <w:szCs w:val="16"/>
          <w:color w:val="auto"/>
        </w:rPr>
      </w:pPr>
    </w:p>
    <w:p>
      <w:pPr>
        <w:ind w:left="540" w:right="240" w:firstLine="359"/>
        <w:spacing w:after="0" w:line="332" w:lineRule="auto"/>
        <w:tabs>
          <w:tab w:leader="none" w:pos="1228"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39"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Guarantee</w:t>
      </w:r>
      <w:r>
        <w:rPr>
          <w:rFonts w:ascii="Arial" w:cs="Arial" w:eastAsia="Arial" w:hAnsi="Arial"/>
          <w:sz w:val="18"/>
          <w:szCs w:val="18"/>
          <w:color w:val="auto"/>
        </w:rPr>
        <w:t>" means the Guarantee by each Subsidiary Guarantor of Yield Operating LLC's obligations under the indenture and on the notes, executed pursuant to the provisions of the indenture.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means:</w:t>
      </w:r>
    </w:p>
    <w:p>
      <w:pPr>
        <w:spacing w:after="0" w:line="225" w:lineRule="exact"/>
        <w:rPr>
          <w:sz w:val="20"/>
          <w:szCs w:val="20"/>
          <w:color w:val="auto"/>
        </w:rPr>
      </w:pPr>
    </w:p>
    <w:p>
      <w:pPr>
        <w:ind w:left="540" w:right="540" w:firstLine="359"/>
        <w:spacing w:after="0" w:line="268" w:lineRule="auto"/>
        <w:tabs>
          <w:tab w:leader="none" w:pos="12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Yield Operating LLC's Wholly Owned Subsidiaries that Guarantees the notes on the date of the indenture, until such time as it is released pursuant to the provisions of the indenture; and</w:t>
      </w:r>
    </w:p>
    <w:p>
      <w:pPr>
        <w:spacing w:after="0" w:line="185" w:lineRule="exact"/>
        <w:rPr>
          <w:rFonts w:ascii="Arial" w:cs="Arial" w:eastAsia="Arial" w:hAnsi="Arial"/>
          <w:sz w:val="18"/>
          <w:szCs w:val="18"/>
          <w:color w:val="auto"/>
        </w:rPr>
      </w:pPr>
    </w:p>
    <w:p>
      <w:pPr>
        <w:ind w:left="540" w:right="220" w:firstLine="359"/>
        <w:spacing w:after="0" w:line="268" w:lineRule="auto"/>
        <w:tabs>
          <w:tab w:leader="none" w:pos="12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other Subsidiary that executes a Subsidiary Guarantee in accordance with the provisions of the indenture, and their respective successors and assigns.</w:t>
      </w:r>
    </w:p>
    <w:p>
      <w:pPr>
        <w:spacing w:after="0" w:line="186" w:lineRule="exact"/>
        <w:rPr>
          <w:sz w:val="20"/>
          <w:szCs w:val="20"/>
          <w:color w:val="auto"/>
        </w:rPr>
      </w:pPr>
    </w:p>
    <w:p>
      <w:pPr>
        <w:ind w:right="86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Total Assets</w:t>
      </w:r>
      <w:r>
        <w:rPr>
          <w:rFonts w:ascii="Arial" w:cs="Arial" w:eastAsia="Arial" w:hAnsi="Arial"/>
          <w:sz w:val="15"/>
          <w:szCs w:val="15"/>
          <w:color w:val="auto"/>
        </w:rPr>
        <w:t>" means, as of any date of determination, the total consolidated assets of Yield Operating LLC and its Subsidiaries, determined on a consolidated basis in accordance with GAAP, as shown on the most recent publicly available balance sheet of Yield Operating LLC as of such date.</w:t>
      </w:r>
    </w:p>
    <w:p>
      <w:pPr>
        <w:spacing w:after="0" w:line="11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Secured Debt</w:t>
      </w:r>
      <w:r>
        <w:rPr>
          <w:rFonts w:ascii="Arial" w:cs="Arial" w:eastAsia="Arial" w:hAnsi="Arial"/>
          <w:sz w:val="18"/>
          <w:szCs w:val="18"/>
          <w:color w:val="auto"/>
        </w:rPr>
        <w:t xml:space="preserve">" means, as of any date of determination, the aggregate principal amount of Indebtedness of Yield Operating LLC and the Guarantors outstanding on such date that is secured by a Lien on any property or assets of Yield Operating LLC or any of the Guarantors (including Capital Stock of Subsidiaries of Yield Operating LLC or Indebtedness of Subsidiaries of Yield Operating LLC);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Total Secured Debt will include only the amount of payments that Yield Operating LLC or any of the Guarantors would be required to make, on the date Total Secured Debt is being determined, in the event of any early termination or similar event on such date of determination and (ii) for the avoidance of doubt, Total Secured Debt will not include the undrawn amount of any outstanding letters of credit.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xml:space="preserve">"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September 15, 2021;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the redemption date to September 15, 2021 is less than one year, the weekly average yield on actually traded United States Treasury securities adjusted to a constant maturity of one year will be used.</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86"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means, with respect to any specified Person, a direct or indirect Subsidiary of such Person, 100% of the outstanding Capital Stock or other ownership interests of which is at the time owned by such Person or by one or more Wholly Owned Subsidiaries of such Person.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BOOK-ENTRY, DELIVERY AND FORM</w:t>
      </w:r>
    </w:p>
    <w:p>
      <w:pPr>
        <w:spacing w:after="0" w:line="231"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Exchange Notes will be initially represented by one or more global notes in fully registered form without interest coupons (the "Global Notes"). The Global Notes will be deposited with the trustee, as custodian for DTC, in New York, New York, and registered in the name of DTC or its nominee, in each case for the credit to an account of a direct or indirect participant in DTC as described below. We expect that, pursuant to procedures established by DTC, (i) upon the issuance of the Global Notes, DTC or its custodian will credit, on its internal system, the principal amount at maturity of the individual beneficial interests represented by such Global Notes to the respective accounts of persons who have accounts with such depositary ("participants") and (ii) ownership of beneficial interests in the Global Notes will be shown on, and the transfer of such ownership will be effected only through, records maintained by DTC or its nominee (with respect to interests of participants) and the records of participants (with respect to interests of persons other than participants). Such accounts initially will be designated by or on behalf of the initial purchasers and ownership of beneficial interests in the Global Notes will be limited to participants or persons who hold interests through participants. Holders may hold their interests in the Global Notes directly through DTC if they are participants in such system, or indirectly through organizations that are participants in such system.</w:t>
      </w:r>
    </w:p>
    <w:p>
      <w:pPr>
        <w:spacing w:after="0" w:line="17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So long as DTC or its nominee is the registered owner or holder of the notes, DTC or such nominee, as the case may be, will be considered the sole owner or holder of the notes represented by such Global Notes for all purposes under the indenture. No beneficial owner of an interest in the Global Notes will be able to transfer that interest except in accordance with DTC's procedures, in addition to those provided for under the indenture with respect to the notes.</w:t>
      </w:r>
    </w:p>
    <w:p>
      <w:pPr>
        <w:spacing w:after="0" w:line="16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Payments of the principal of, premium (if any), and interest on, the Global Notes will be made to DTC or its nominee, as the case may be, as the registered owner thereof. None of the Issuer, the trustee or any paying agent will have any responsibility or liability for any aspect of the records relating to or payments made on account of beneficial ownership interests in the Global Notes or for maintaining, supervising or reviewing any records relating to such beneficial ownership interest.</w:t>
      </w:r>
    </w:p>
    <w:p>
      <w:pPr>
        <w:spacing w:after="0" w:line="19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expect that DTC or its nominee, upon receipt of any payment of principal of, premium (if any), and interest on the Global Notes, will credit participants' accounts with payments in amounts proportionate to their respective beneficial interests in the principal amount of the Global Notes as shown on the records of DTC or its nominee. We also expect that payments by participants to owners of beneficial interests in the Global Notes held through such participants will be governed by standing instructions and customary practice, as is now the case with securities held for the accounts of customers registered in the names of nominees for such customers. Such payments will be the responsibility of such participants.</w:t>
      </w:r>
    </w:p>
    <w:p>
      <w:pPr>
        <w:spacing w:after="0" w:line="170"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Transfers between participants in DTC will be effected in the ordinary way through DTC's same-day funds system in accordance with DTC rules and will be settled in same-day funds.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DTC has advised us that it will take any action permitted to be taken by a holder of notes (including the presentation of notes for exchange as described below) only at the direction of one or more participants to whose account the DTC interests in the Global Notes are credited and only in respect of such portion of the aggregate principal amount of notes as to which such participant or participants has or have given such direction. However, if there is an event of default under the indenture governing the notes, DTC will exchange the global notes for Certificated Notes (as defined below), which it will distribute to its participants.</w:t>
      </w:r>
    </w:p>
    <w:p>
      <w:pPr>
        <w:spacing w:after="0" w:line="167"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DTC has advised us as follows: DTC is a limited-purpose trust company organized under New York banking law, a "banking organization" within the meaning of the New York banking law, a member of the Federal Reserve System, a "clearing corporation" within the meaning of the New York</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Uniform Commercial Code and a "clearing agency" registered pursuant to the provisions of Section 17A of the Exchange Act. DTC holds and provides asset servicing for issues of U.S. and non-U.S. equity, corporate and municipal debt issues that participants deposit with DTC. DTC also facilitates the post-trade settlement among participants of sales and other securities transactions in deposited securities through electronic computerized book-entry transfers and pledges between participants' accounts. This eliminates the need for physical movement of securities certificates. Participants include both U.S. and non-U.S. securities brokers and dealers, banks, trust companies, clearing corporations and certain other organizations. Access to the DTC system is also available to indirect participants such as both U.S. and non-U.S. securities brokers and dealers, banks, trust companies and clearing corporations that clear through or maintain a custodial relationship with a participant, either directly or indirectly.</w:t>
      </w:r>
    </w:p>
    <w:p>
      <w:pPr>
        <w:spacing w:after="0" w:line="172"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Although DTC has agreed to the foregoing procedures in order to facilitate transfers of interests in the Global Notes among participants of DTC, it is under no obligation to perform such procedures, and such procedures may be discontinued at any time. None of us, the trustee or any paying agent will have any responsibility for the performance by DTC or its participants or indirect participants of their respective obligations under the rules and procedures governing their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Securities</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Global Note is exchangeable for certificated notes in fully registered form without interest coupons ("Certificated Securities") only in the following limited circumstances:</w:t>
      </w:r>
    </w:p>
    <w:p>
      <w:pPr>
        <w:spacing w:after="0" w:line="199" w:lineRule="exact"/>
        <w:rPr>
          <w:sz w:val="20"/>
          <w:szCs w:val="20"/>
          <w:color w:val="auto"/>
        </w:rPr>
      </w:pPr>
    </w:p>
    <w:p>
      <w:pPr>
        <w:ind w:left="1080" w:right="22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for the Global Notes and we fail to appoint a successor depositary within 90 days of such notice, or</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shall have occurred and be continuing an event of default with respect to the notes under the indenture and DTC shall have requested the issuance of Certificated Securities.</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laws of some states require that certain persons take physical delivery in definitive form of securities that they own. Consequently, the ability to transfer the notes is and will be limited to such extent.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following is a summary of certain United States federal income tax considerations relating to the exchange of Old Notes for Exchange Notes in the exchange offer. It does not contain a complete analysis of all the potential tax considerations relating to the exchange. This summary is limited to holders of Old Notes who hold the Old Notes as "capital assets" (in general, assets held for investment). Special situations, such as the following, are not addressed:</w:t>
      </w:r>
    </w:p>
    <w:p>
      <w:pPr>
        <w:spacing w:after="0" w:line="174" w:lineRule="exact"/>
        <w:rPr>
          <w:sz w:val="20"/>
          <w:szCs w:val="20"/>
          <w:color w:val="auto"/>
        </w:rPr>
      </w:pPr>
    </w:p>
    <w:p>
      <w:pPr>
        <w:ind w:left="1080" w:right="60" w:hanging="532"/>
        <w:spacing w:after="0" w:line="306"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tax consequences to holders who may be subject to special tax treatment, such as tax-exempt entities, dealers in securities or currencies, banks, other financial institutions, insurance companies, regulated investment companies, traders in securities that elect to use a mark-to-market method of accounting for their securities holdings or corporations that accumulate earnings to avoid United States federal income tax;</w:t>
      </w:r>
    </w:p>
    <w:p>
      <w:pPr>
        <w:spacing w:after="0" w:line="187"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tax consequences to persons holding notes as part of a hedging, integrated, constructive sale or conversion transaction or a straddle or other risk reduction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tax consequences to holders whose "functional currency" is not the United States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tax consequences to persons who hold notes through a partnership or similar pass-through entity;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United States federal gift tax, estate tax or alternative minimum tax consequences, if any;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state, local or non-United States tax consequences.</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discussion below is based upon the provisions of the United States Internal Revenue Code of 1986, as amended, existing and proposed Treasury regulations promulgated thereunder, and rulings, judicial decisions and administrative interpretations thereunder, as of the date hereof. Those authorities may be changed, perhaps retroactively, so as to result in United States federal income tax consequences different from those discussed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tendering Old Notes</w:t>
      </w:r>
    </w:p>
    <w:p>
      <w:pPr>
        <w:spacing w:after="0" w:line="231" w:lineRule="exact"/>
        <w:rPr>
          <w:sz w:val="20"/>
          <w:szCs w:val="20"/>
          <w:color w:val="auto"/>
        </w:rPr>
      </w:pPr>
    </w:p>
    <w:p>
      <w:pPr>
        <w:jc w:val="both"/>
        <w:ind w:right="20" w:firstLine="348"/>
        <w:spacing w:after="0" w:line="294" w:lineRule="auto"/>
        <w:rPr>
          <w:sz w:val="20"/>
          <w:szCs w:val="20"/>
          <w:color w:val="auto"/>
        </w:rPr>
      </w:pPr>
      <w:r>
        <w:rPr>
          <w:rFonts w:ascii="Arial" w:cs="Arial" w:eastAsia="Arial" w:hAnsi="Arial"/>
          <w:sz w:val="16"/>
          <w:szCs w:val="16"/>
          <w:color w:val="auto"/>
        </w:rPr>
        <w:t>The exchange of your Old Notes for Exchange Notes in the exchange offer should not constitute an exchange for United States federal income tax purposes because the Exchange Notes should not be considered to differ materially in kind or extent from the Old Notes. Accordingly, the exchange offer should have no United States federal income tax consequences to you if you exchange your Old Notes for Exchange Notes. For example, there should be no change in your tax basis and your holding period should carry over to the Exchange Notes. In addition, the United States federal income tax consequences of holding and disposing of your Exchange Notes should be the same as those applicable to your Old Notes.</w:t>
      </w:r>
    </w:p>
    <w:p>
      <w:pPr>
        <w:spacing w:after="0" w:line="164" w:lineRule="exact"/>
        <w:rPr>
          <w:sz w:val="20"/>
          <w:szCs w:val="20"/>
          <w:color w:val="auto"/>
        </w:rPr>
      </w:pPr>
    </w:p>
    <w:p>
      <w:pPr>
        <w:ind w:firstLine="351"/>
        <w:spacing w:after="0" w:line="310" w:lineRule="auto"/>
        <w:rPr>
          <w:sz w:val="20"/>
          <w:szCs w:val="20"/>
          <w:color w:val="auto"/>
        </w:rPr>
      </w:pPr>
      <w:r>
        <w:rPr>
          <w:rFonts w:ascii="Arial" w:cs="Arial" w:eastAsia="Arial" w:hAnsi="Arial"/>
          <w:sz w:val="16"/>
          <w:szCs w:val="16"/>
          <w:b w:val="1"/>
          <w:bCs w:val="1"/>
          <w:color w:val="auto"/>
        </w:rPr>
        <w:t>The preceding discussion of certain United States federal income tax considerations of the exchange offer is for general information only and is not tax advice. Accordingly, each investor should consult its own tax advisor as to particular tax consequences to it of exchanging Old Notes for Exchange Notes, including the applicability and effect of any state, local or foreign tax laws, and of any proposed changes in applicable laws.</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Each broker-dealer that receives Exchange Notes for its own account pursuant to the exchange offer must acknowledge that it will deliver a prospectus in connection with any resale of Exchange Notes. This prospectus, as it may be amended or supplemented from time to time, may be used by a broker or dealer in connection with resales of Exchange Notes received in exchange for Old Notes if the Old Notes were acquired as a result of market-making activities or other trading activities.</w:t>
      </w:r>
    </w:p>
    <w:p>
      <w:pPr>
        <w:spacing w:after="0" w:line="197"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have agreed to make this prospectus, as amended or supplemented, available to any broker-dealer to use in connection with any such resale for a period of at least one year after the expiration date. In addition, until (90 days after the date of this prospectus), all broker-dealers effecting transactions in the Exchange Notes may be required to deliver a prospectus.</w:t>
      </w:r>
    </w:p>
    <w:p>
      <w:pPr>
        <w:spacing w:after="0" w:line="194"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will not receive any proceeds from any sale of Exchange Notes by broker-dealers. Exchange Notes received by broker-dealers for their own account pursuant to the exchange offer may be sold from time to time in one or more transactions:</w:t>
      </w:r>
    </w:p>
    <w:p>
      <w:pPr>
        <w:spacing w:after="0" w:line="19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negotiated transactions; or</w:t>
      </w:r>
    </w:p>
    <w:p>
      <w:pPr>
        <w:spacing w:after="0" w:line="238" w:lineRule="exact"/>
        <w:rPr>
          <w:rFonts w:ascii="Arial" w:cs="Arial" w:eastAsia="Arial" w:hAnsi="Arial"/>
          <w:sz w:val="18"/>
          <w:szCs w:val="18"/>
          <w:color w:val="auto"/>
        </w:rPr>
      </w:pPr>
    </w:p>
    <w:p>
      <w:pPr>
        <w:ind w:left="360" w:right="3420" w:firstLine="188"/>
        <w:spacing w:after="0" w:line="501" w:lineRule="auto"/>
        <w:tabs>
          <w:tab w:leader="none" w:pos="109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through the writing of options on the Exchange Notes or a combination of such methods of resale. These resales may be made:</w:t>
      </w:r>
    </w:p>
    <w:p>
      <w:pPr>
        <w:spacing w:after="0" w:line="13"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market prices prevailing at the time of resale;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right="240" w:firstLine="341"/>
        <w:spacing w:after="0" w:line="306" w:lineRule="auto"/>
        <w:rPr>
          <w:sz w:val="20"/>
          <w:szCs w:val="20"/>
          <w:color w:val="auto"/>
        </w:rPr>
      </w:pPr>
      <w:r>
        <w:rPr>
          <w:rFonts w:ascii="Arial" w:cs="Arial" w:eastAsia="Arial" w:hAnsi="Arial"/>
          <w:sz w:val="16"/>
          <w:szCs w:val="16"/>
          <w:color w:val="auto"/>
        </w:rPr>
        <w:t>Any such resale may be made directly to purchasers or to or through brokers or dealers. Brokers or dealers may receive compensation in the form of commissions or concessions from any such broker-dealer or the purchasers of any such Exchange Notes. Any broker or dealer that resells Exchange Notes that were received by it for its own account in the exchange offer may be deemed to be an underwriter within the meaning of the Securities Act.</w:t>
      </w:r>
    </w:p>
    <w:p>
      <w:pPr>
        <w:spacing w:after="0" w:line="161"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Any profit on any resale of Exchange Notes and any commissions or concessions received by any broker or dealer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Furthermore, any broker-dealer that acquired any of its Old Notes directly from us and any broker or dealer that participates in a distribution of the Exchange Notes:</w:t>
      </w:r>
    </w:p>
    <w:p>
      <w:pPr>
        <w:spacing w:after="0" w:line="199" w:lineRule="exact"/>
        <w:rPr>
          <w:sz w:val="20"/>
          <w:szCs w:val="20"/>
          <w:color w:val="auto"/>
        </w:rPr>
      </w:pPr>
    </w:p>
    <w:p>
      <w:pPr>
        <w:jc w:val="both"/>
        <w:ind w:left="1080" w:right="180" w:hanging="532"/>
        <w:spacing w:after="0" w:line="25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(April 13, 1988), Morgan, Stanley &amp; Co. Inc., SEC no-action letter (June 5, 1991) and Shearman &amp; Sterling, SEC no-action letter (July 2, 1993) and therefore may not participate in the exchange offer;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of the Old Notes.</w:t>
      </w:r>
    </w:p>
    <w:p>
      <w:pPr>
        <w:spacing w:after="0" w:line="248"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For a period of one year after the expiration of the exchange offer we will promptly send additional copies of this prospectus and any amendment or supplement to this prospectus to any broker-dealer that requests those documents in the letter of transmittal. We have agreed to pay all expenses incident to performance of our obligations in connection with the exchange offer, other than commissions or concessions of any brokers or dealers. We will indemnify the holders of the Exchange Notes (including any broker-dealers) against certain liabilities, including liabilities under the Securities Act, and will contribute to payments that they may be required to make in request thereof.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Certain legal matters relating to the validity of the Exchange Notes will be passed upon for us by Kirkland &amp; Ellis LLP, Chicago, Illinois. Certain matters of Connecticut law will be passed on by Murtha Cullina LLP, Hartford, Connecticut.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consolidated financial statements and schedules of Yield LLC as of December 31, 2016 and 2015, and for each of the years in the three-year period ended December 31, 2016 have been incorporated by reference herein, in reliance upon the reports of KPMG LLP, independent registered public accounting firm, incorporated by reference herein, and upon authority of said firms as experts in accounting and auditing.</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602615</wp:posOffset>
            </wp:positionV>
            <wp:extent cx="2778760" cy="643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787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NRG Yield Operating LLC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Exchange Offer for</w:t>
      </w:r>
    </w:p>
    <w:p>
      <w:pPr>
        <w:spacing w:after="0" w:line="36"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$350,000,000</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5.000%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PROSPECTUS</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May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have not authorized any dealer, salesperson or other person to give any information or represent anything to you other than the information contained in this prospectus. You may not rely on unauthorized information or representations.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This prospectus does not offer to sell or ask for offers to buy any of the securities in any jurisdiction where it is unlawful, where the person making the offer is not qualified to do so, or to any person who cannot legally be offered the securities.</w:t>
      </w:r>
    </w:p>
    <w:p>
      <w:pPr>
        <w:spacing w:after="0" w:line="186"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information in this prospectus is current only as of the date on its cover, and may change after that date. For any time after the cover date of this prospectus, we do not represent that our affairs are the same as described or that the information in this prospectus is correct, nor do we imply those things by delivering this prospectus or selling securities to you.</w:t>
      </w:r>
    </w:p>
    <w:p>
      <w:pPr>
        <w:spacing w:after="0" w:line="188" w:lineRule="exact"/>
        <w:rPr>
          <w:sz w:val="20"/>
          <w:szCs w:val="20"/>
          <w:color w:val="auto"/>
        </w:rPr>
      </w:pPr>
    </w:p>
    <w:p>
      <w:pPr>
        <w:jc w:val="both"/>
        <w:ind w:right="80" w:firstLine="351"/>
        <w:spacing w:after="0" w:line="262" w:lineRule="auto"/>
        <w:rPr>
          <w:sz w:val="20"/>
          <w:szCs w:val="20"/>
          <w:color w:val="auto"/>
        </w:rPr>
      </w:pPr>
      <w:r>
        <w:rPr>
          <w:rFonts w:ascii="Arial" w:cs="Arial" w:eastAsia="Arial" w:hAnsi="Arial"/>
          <w:sz w:val="18"/>
          <w:szCs w:val="18"/>
          <w:b w:val="1"/>
          <w:bCs w:val="1"/>
          <w:color w:val="auto"/>
        </w:rPr>
        <w:t>Until August 24, 2017, all dealers that effect transactions in these securities, whether or not participating in the exchange offer may be required to deliver a prospectus. This is in addition to the dealers' obligations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start w:val="609"/>
    </w:lvl>
  </w:abstractNum>
  <w:abstractNum w:abstractNumId="3">
    <w:nsid w:val="153EA438"/>
    <w:multiLevelType w:val="hybridMultilevel"/>
    <w:lvl w:ilvl="0">
      <w:lvlJc w:val="left"/>
      <w:lvlText w:val="(%1)"/>
      <w:numFmt w:val="decimal"/>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lvl w:ilvl="1">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lvl w:ilvl="1">
      <w:lvlJc w:val="left"/>
      <w:lvlText w:val="(%2)"/>
      <w:numFmt w:val="decimal"/>
      <w:start w:val="1"/>
    </w:lvl>
  </w:abstractNum>
  <w:abstractNum w:abstractNumId="24">
    <w:nsid w:val="79A1DEAA"/>
    <w:multiLevelType w:val="hybridMultilevel"/>
    <w:lvl w:ilvl="0">
      <w:lvlJc w:val="left"/>
      <w:lvlText w:val="•"/>
      <w:numFmt w:val="bullet"/>
      <w:start w:val="1"/>
    </w:lvl>
    <w:lvl w:ilvl="1">
      <w:lvlJc w:val="left"/>
      <w:lvlText w:val="(%2)"/>
      <w:numFmt w:val="decimal"/>
      <w:start w:val="3"/>
    </w:lvl>
  </w:abstractNum>
  <w:abstractNum w:abstractNumId="25">
    <w:nsid w:val="75C6C33A"/>
    <w:multiLevelType w:val="hybridMultilevel"/>
    <w:lvl w:ilvl="0">
      <w:lvlJc w:val="left"/>
      <w:lvlText w:val="•"/>
      <w:numFmt w:val="bullet"/>
      <w:start w:val="1"/>
    </w:lvl>
    <w:lvl w:ilvl="1">
      <w:lvlJc w:val="left"/>
      <w:lvlText w:val="(%2)"/>
      <w:numFmt w:val="decimal"/>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1)"/>
      <w:numFmt w:val="decimal"/>
      <w:start w:val="1"/>
    </w:lvl>
  </w:abstractNum>
  <w:abstractNum w:abstractNumId="31">
    <w:nsid w:val="23F9C13C"/>
    <w:multiLevelType w:val="hybridMultilevel"/>
    <w:lvl w:ilvl="0">
      <w:lvlJc w:val="left"/>
      <w:lvlText w:val="(%1)"/>
      <w:numFmt w:val="decimal"/>
      <w:start w:val="3"/>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1)"/>
      <w:numFmt w:val="decimal"/>
      <w:start w:val="1"/>
    </w:lvl>
    <w:lvl w:ilvl="1">
      <w:lvlJc w:val="left"/>
      <w:lvlText w:val="(%2)"/>
      <w:numFmt w:val="lowerLetter"/>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1)"/>
      <w:numFmt w:val="decimal"/>
      <w:start w:val="1"/>
    </w:lvl>
  </w:abstractNum>
  <w:abstractNum w:abstractNumId="38">
    <w:nsid w:val="47398C89"/>
    <w:multiLevelType w:val="hybridMultilevel"/>
    <w:lvl w:ilvl="0">
      <w:lvlJc w:val="left"/>
      <w:lvlText w:val="(%1)"/>
      <w:numFmt w:val="decimal"/>
      <w:start w:val="3"/>
    </w:lvl>
  </w:abstractNum>
  <w:abstractNum w:abstractNumId="39">
    <w:nsid w:val="354FE9F9"/>
    <w:multiLevelType w:val="hybridMultilevel"/>
    <w:lvl w:ilvl="0">
      <w:lvlJc w:val="left"/>
      <w:lvlText w:val="%1"/>
      <w:numFmt w:val="lowerLetter"/>
      <w:start w:val="1"/>
    </w:lvl>
    <w:lvl w:ilvl="1">
      <w:lvlJc w:val="left"/>
      <w:lvlText w:val="(%2)"/>
      <w:numFmt w:val="decimal"/>
      <w:start w:val="1"/>
    </w:lvl>
  </w:abstractNum>
  <w:abstractNum w:abstractNumId="40">
    <w:nsid w:val="15B5AF5C"/>
    <w:multiLevelType w:val="hybridMultilevel"/>
    <w:lvl w:ilvl="0">
      <w:lvlJc w:val="left"/>
      <w:lvlText w:val="(%1)"/>
      <w:numFmt w:val="lowerLetter"/>
      <w:start w:val="2"/>
    </w:lvl>
    <w:lvl w:ilvl="1">
      <w:lvlJc w:val="left"/>
      <w:lvlText w:val="(%2)"/>
      <w:numFmt w:val="decimal"/>
      <w:start w:val="4"/>
    </w:lvl>
  </w:abstractNum>
  <w:abstractNum w:abstractNumId="41">
    <w:nsid w:val="741226BB"/>
    <w:multiLevelType w:val="hybridMultilevel"/>
    <w:lvl w:ilvl="0">
      <w:lvlJc w:val="left"/>
      <w:lvlText w:val="(%1)"/>
      <w:numFmt w:val="decimal"/>
      <w:start w:val="13"/>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1)"/>
      <w:numFmt w:val="decimal"/>
      <w:start w:val="1"/>
    </w:lvl>
  </w:abstractNum>
  <w:abstractNum w:abstractNumId="46">
    <w:nsid w:val="7E0C57B1"/>
    <w:multiLevelType w:val="hybridMultilevel"/>
    <w:lvl w:ilvl="0">
      <w:lvlJc w:val="left"/>
      <w:lvlText w:val="(%1)"/>
      <w:numFmt w:val="decimal"/>
      <w:start w:val="1"/>
    </w:lvl>
    <w:lvl w:ilvl="1">
      <w:lvlJc w:val="left"/>
      <w:lvlText w:val="(%2)"/>
      <w:numFmt w:val="lowerLetter"/>
      <w:start w:val="1"/>
    </w:lvl>
  </w:abstractNum>
  <w:abstractNum w:abstractNumId="47">
    <w:nsid w:val="77AE35EB"/>
    <w:multiLevelType w:val="hybridMultilevel"/>
    <w:lvl w:ilvl="0">
      <w:lvlJc w:val="left"/>
      <w:lvlText w:val="%1"/>
      <w:numFmt w:val="lowerRoman"/>
      <w:start w:val="1"/>
    </w:lvl>
    <w:lvl w:ilvl="1">
      <w:lvlJc w:val="left"/>
      <w:lvlText w:val="(%2)"/>
      <w:numFmt w:val="decimal"/>
      <w:start w:val="5"/>
    </w:lvl>
  </w:abstractNum>
  <w:abstractNum w:abstractNumId="48">
    <w:nsid w:val="579BE4F1"/>
    <w:multiLevelType w:val="hybridMultilevel"/>
    <w:lvl w:ilvl="0">
      <w:lvlJc w:val="left"/>
      <w:lvlText w:val="(%1)"/>
      <w:numFmt w:val="lowerRoman"/>
      <w:start w:val="2"/>
    </w:lvl>
    <w:lvl w:ilvl="1">
      <w:lvlJc w:val="left"/>
      <w:lvlText w:val="(%2)"/>
      <w:numFmt w:val="decimal"/>
      <w:start w:val="6"/>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1)"/>
      <w:numFmt w:val="decimal"/>
      <w:start w:val="2"/>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1)"/>
      <w:numFmt w:val="decimal"/>
      <w:start w:val="6"/>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1)"/>
      <w:numFmt w:val="decimal"/>
      <w:start w:val="1"/>
    </w:lvl>
  </w:abstractNum>
  <w:abstractNum w:abstractNumId="56">
    <w:nsid w:val="1381823A"/>
    <w:multiLevelType w:val="hybridMultilevel"/>
    <w:lvl w:ilvl="0">
      <w:lvlJc w:val="left"/>
      <w:lvlText w:val="(%1)"/>
      <w:numFmt w:val="decimal"/>
      <w:start w:val="3"/>
    </w:lvl>
  </w:abstractNum>
  <w:abstractNum w:abstractNumId="57">
    <w:nsid w:val="5DB70AE5"/>
    <w:multiLevelType w:val="hybridMultilevel"/>
    <w:lvl w:ilvl="0">
      <w:lvlJc w:val="left"/>
      <w:lvlText w:val="(%1)"/>
      <w:numFmt w:val="decimal"/>
      <w:start w:val="1"/>
    </w:lvl>
    <w:lvl w:ilvl="1">
      <w:lvlJc w:val="left"/>
      <w:lvlText w:val="(%2)"/>
      <w:numFmt w:val="lowerLetter"/>
      <w:start w:val="1"/>
    </w:lvl>
  </w:abstractNum>
  <w:abstractNum w:abstractNumId="58">
    <w:nsid w:val="100F8FCA"/>
    <w:multiLevelType w:val="hybridMultilevel"/>
    <w:lvl w:ilvl="0">
      <w:lvlJc w:val="left"/>
      <w:lvlText w:val="(%1)"/>
      <w:numFmt w:val="decimal"/>
      <w:start w:val="1"/>
    </w:lvl>
  </w:abstractNum>
  <w:abstractNum w:abstractNumId="59">
    <w:nsid w:val="6590700B"/>
    <w:multiLevelType w:val="hybridMultilevel"/>
    <w:lvl w:ilvl="0">
      <w:lvlJc w:val="left"/>
      <w:lvlText w:val="(%1)"/>
      <w:numFmt w:val="decimal"/>
      <w:start w:val="7"/>
    </w:lvl>
  </w:abstractNum>
  <w:abstractNum w:abstractNumId="60">
    <w:nsid w:val="15014ACB"/>
    <w:multiLevelType w:val="hybridMultilevel"/>
    <w:lvl w:ilvl="0">
      <w:lvlJc w:val="left"/>
      <w:lvlText w:val="(%1)"/>
      <w:numFmt w:val="decimal"/>
      <w:start w:val="1"/>
    </w:lvl>
  </w:abstractNum>
  <w:abstractNum w:abstractNumId="61">
    <w:nsid w:val="5F5E7FD0"/>
    <w:multiLevelType w:val="hybridMultilevel"/>
    <w:lvl w:ilvl="0">
      <w:lvlJc w:val="left"/>
      <w:lvlText w:val="(%1)"/>
      <w:numFmt w:val="decimal"/>
      <w:start w:val="1"/>
    </w:lvl>
    <w:lvl w:ilvl="1">
      <w:lvlJc w:val="left"/>
      <w:lvlText w:val="(%2)"/>
      <w:numFmt w:val="lowerLetter"/>
      <w:start w:val="1"/>
    </w:lvl>
  </w:abstractNum>
  <w:abstractNum w:abstractNumId="62">
    <w:nsid w:val="98A3148"/>
    <w:multiLevelType w:val="hybridMultilevel"/>
    <w:lvl w:ilvl="0">
      <w:lvlJc w:val="left"/>
      <w:lvlText w:val="(%1)"/>
      <w:numFmt w:val="decimal"/>
      <w:start w:val="1"/>
    </w:lvl>
  </w:abstractNum>
  <w:abstractNum w:abstractNumId="63">
    <w:nsid w:val="799D0247"/>
    <w:multiLevelType w:val="hybridMultilevel"/>
    <w:lvl w:ilvl="0">
      <w:lvlJc w:val="left"/>
      <w:lvlText w:val="(%1)"/>
      <w:numFmt w:val="decimal"/>
      <w:start w:val="1"/>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1)"/>
      <w:numFmt w:val="decimal"/>
      <w:start w:val="2"/>
    </w:lvl>
  </w:abstractNum>
  <w:abstractNum w:abstractNumId="66">
    <w:nsid w:val="168E121F"/>
    <w:multiLevelType w:val="hybridMultilevel"/>
    <w:lvl w:ilvl="0">
      <w:lvlJc w:val="left"/>
      <w:lvlText w:val="(%1)"/>
      <w:numFmt w:val="decimal"/>
      <w:start w:val="1"/>
    </w:lvl>
  </w:abstractNum>
  <w:abstractNum w:abstractNumId="67">
    <w:nsid w:val="1EBA5D23"/>
    <w:multiLevelType w:val="hybridMultilevel"/>
    <w:lvl w:ilvl="0">
      <w:lvlJc w:val="left"/>
      <w:lvlText w:val="(%1)"/>
      <w:numFmt w:val="decimal"/>
      <w:start w:val="1"/>
    </w:lvl>
  </w:abstractNum>
  <w:abstractNum w:abstractNumId="68">
    <w:nsid w:val="661E3F1E"/>
    <w:multiLevelType w:val="hybridMultilevel"/>
    <w:lvl w:ilvl="0">
      <w:lvlJc w:val="left"/>
      <w:lvlText w:val="%1"/>
      <w:numFmt w:val="lowerRoman"/>
      <w:start w:val="1"/>
    </w:lvl>
    <w:lvl w:ilvl="1">
      <w:lvlJc w:val="left"/>
      <w:lvlText w:val="(%2)"/>
      <w:numFmt w:val="decimal"/>
      <w:start w:val="1"/>
    </w:lvl>
  </w:abstractNum>
  <w:abstractNum w:abstractNumId="69">
    <w:nsid w:val="5DC79EA8"/>
    <w:multiLevelType w:val="hybridMultilevel"/>
    <w:lvl w:ilvl="0">
      <w:lvlJc w:val="left"/>
      <w:lvlText w:val="(%1)"/>
      <w:numFmt w:val="lowerRoman"/>
      <w:start w:val="3"/>
    </w:lvl>
    <w:lvl w:ilvl="1">
      <w:lvlJc w:val="left"/>
      <w:lvlText w:val="%2"/>
      <w:numFmt w:val="decimal"/>
      <w:start w:val="1"/>
    </w:lvl>
  </w:abstractNum>
  <w:abstractNum w:abstractNumId="70">
    <w:nsid w:val="540A471C"/>
    <w:multiLevelType w:val="hybridMultilevel"/>
    <w:lvl w:ilvl="0">
      <w:lvlJc w:val="left"/>
      <w:lvlText w:val="(%1)"/>
      <w:numFmt w:val="decimal"/>
      <w:start w:val="1"/>
    </w:lvl>
  </w:abstractNum>
  <w:abstractNum w:abstractNumId="71">
    <w:nsid w:val="7BD3EE7B"/>
    <w:multiLevelType w:val="hybridMultilevel"/>
    <w:lvl w:ilvl="0">
      <w:lvlJc w:val="left"/>
      <w:lvlText w:val="(%1)"/>
      <w:numFmt w:val="decimal"/>
      <w:start w:val="1"/>
    </w:lvl>
  </w:abstractNum>
  <w:abstractNum w:abstractNumId="72">
    <w:nsid w:val="51D9C564"/>
    <w:multiLevelType w:val="hybridMultilevel"/>
    <w:lvl w:ilvl="0">
      <w:lvlJc w:val="left"/>
      <w:lvlText w:val="(%1)"/>
      <w:numFmt w:val="decimal"/>
      <w:start w:val="1"/>
    </w:lvl>
  </w:abstractNum>
  <w:abstractNum w:abstractNumId="73">
    <w:nsid w:val="613EFDC5"/>
    <w:multiLevelType w:val="hybridMultilevel"/>
    <w:lvl w:ilvl="0">
      <w:lvlJc w:val="left"/>
      <w:lvlText w:val="(%1)"/>
      <w:numFmt w:val="decimal"/>
      <w:start w:val="1"/>
    </w:lvl>
  </w:abstractNum>
  <w:abstractNum w:abstractNumId="74">
    <w:nsid w:val="BF72B14"/>
    <w:multiLevelType w:val="hybridMultilevel"/>
    <w:lvl w:ilvl="0">
      <w:lvlJc w:val="left"/>
      <w:lvlText w:val="•"/>
      <w:numFmt w:val="bullet"/>
      <w:start w:val="1"/>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2019-12-16T17:54:54Z</dcterms:created>
  <dcterms:modified xsi:type="dcterms:W3CDTF">2019-12-16T17:54:54Z</dcterms:modified>
</cp:coreProperties>
</file>