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134620</wp:posOffset>
            </wp:positionH>
            <wp:positionV relativeFrom="page">
              <wp:posOffset>494665</wp:posOffset>
            </wp:positionV>
            <wp:extent cx="72923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page">
              <wp:posOffset>134620</wp:posOffset>
            </wp:positionH>
            <wp:positionV relativeFrom="page">
              <wp:posOffset>431800</wp:posOffset>
            </wp:positionV>
            <wp:extent cx="7292340"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2340" cy="11430"/>
                    </a:xfrm>
                    <a:prstGeom prst="rect">
                      <a:avLst/>
                    </a:prstGeom>
                    <a:noFill/>
                  </pic:spPr>
                </pic:pic>
              </a:graphicData>
            </a:graphic>
          </wp:anchor>
        </w:drawing>
        <w:t>UNITED STATES SECURITIES AND EXCHANGE COMMISSION</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113" w:lineRule="exact"/>
        <w:rPr>
          <w:sz w:val="24"/>
          <w:szCs w:val="24"/>
          <w:color w:val="auto"/>
        </w:rPr>
      </w:pPr>
    </w:p>
    <w:p>
      <w:pPr>
        <w:ind w:left="1840" w:right="5160" w:hanging="1360"/>
        <w:spacing w:after="0" w:line="657" w:lineRule="auto"/>
        <w:tabs>
          <w:tab w:leader="none" w:pos="1840" w:val="left"/>
        </w:tabs>
        <w:numPr>
          <w:ilvl w:val="0"/>
          <w:numId w:val="1"/>
        </w:numPr>
        <w:rPr>
          <w:rFonts w:ascii="Arial" w:cs="Arial" w:eastAsia="Arial" w:hAnsi="Arial"/>
          <w:sz w:val="12"/>
          <w:szCs w:val="12"/>
          <w:color w:val="auto"/>
        </w:rPr>
      </w:pPr>
      <w:r>
        <w:rPr>
          <w:rFonts w:ascii="Arial" w:cs="Arial" w:eastAsia="Arial" w:hAnsi="Arial"/>
          <w:sz w:val="12"/>
          <w:szCs w:val="12"/>
          <w:b w:val="1"/>
          <w:bCs w:val="1"/>
          <w:color w:val="auto"/>
        </w:rPr>
        <w:t>Quarterly report pursuant to Section 13 or 15(d) of the Securities Exchange Act of 1934 For the Quarterly Period Ended: June 30, 2018</w:t>
      </w:r>
    </w:p>
    <w:p>
      <w:pPr>
        <w:spacing w:after="0" w:line="1" w:lineRule="exact"/>
        <w:rPr>
          <w:sz w:val="24"/>
          <w:szCs w:val="24"/>
          <w:color w:val="auto"/>
        </w:rPr>
      </w:pPr>
    </w:p>
    <w:p>
      <w:pPr>
        <w:ind w:left="4780" w:right="4800" w:hanging="4300"/>
        <w:spacing w:after="0" w:line="614" w:lineRule="auto"/>
        <w:tabs>
          <w:tab w:leader="none" w:pos="1845" w:val="left"/>
        </w:tabs>
        <w:numPr>
          <w:ilvl w:val="0"/>
          <w:numId w:val="2"/>
        </w:numPr>
        <w:rPr>
          <w:rFonts w:ascii="Arial" w:cs="Arial" w:eastAsia="Arial" w:hAnsi="Arial"/>
          <w:sz w:val="10"/>
          <w:szCs w:val="10"/>
          <w:color w:val="auto"/>
        </w:rPr>
      </w:pPr>
      <w:r>
        <w:rPr>
          <w:rFonts w:ascii="Arial" w:cs="Arial" w:eastAsia="Arial" w:hAnsi="Arial"/>
          <w:sz w:val="10"/>
          <w:szCs w:val="10"/>
          <w:b w:val="1"/>
          <w:bCs w:val="1"/>
          <w:color w:val="auto"/>
        </w:rPr>
        <w:t>Transition report pursuant to Section 13 or 15(d) of the Securities Exchange Act of 1934 Commission File Number: 001-36002</w:t>
      </w:r>
    </w:p>
    <w:tbl>
      <w:tblPr>
        <w:tblLayout w:type="fixed"/>
        <w:tblInd w:w="1720" w:type="dxa"/>
        <w:tblCellMar>
          <w:top w:w="0" w:type="dxa"/>
          <w:left w:w="0" w:type="dxa"/>
          <w:bottom w:w="0" w:type="dxa"/>
          <w:right w:w="0" w:type="dxa"/>
        </w:tblCellMar>
      </w:tblPr>
      <w:tr>
        <w:trPr>
          <w:trHeight w:val="352"/>
        </w:trPr>
        <w:tc>
          <w:tcPr>
            <w:tcW w:w="2520" w:type="dxa"/>
            <w:vAlign w:val="bottom"/>
          </w:tcPr>
          <w:p>
            <w:pPr>
              <w:spacing w:after="0"/>
              <w:rPr>
                <w:sz w:val="24"/>
                <w:szCs w:val="24"/>
                <w:color w:val="auto"/>
              </w:rPr>
            </w:pPr>
          </w:p>
        </w:tc>
        <w:tc>
          <w:tcPr>
            <w:tcW w:w="4760" w:type="dxa"/>
            <w:vAlign w:val="bottom"/>
          </w:tcPr>
          <w:p>
            <w:pPr>
              <w:jc w:val="center"/>
              <w:ind w:right="1708"/>
              <w:spacing w:after="0"/>
              <w:rPr>
                <w:sz w:val="20"/>
                <w:szCs w:val="20"/>
                <w:color w:val="auto"/>
              </w:rPr>
            </w:pPr>
            <w:r>
              <w:rPr>
                <w:rFonts w:ascii="Arial" w:cs="Arial" w:eastAsia="Arial" w:hAnsi="Arial"/>
                <w:sz w:val="29"/>
                <w:szCs w:val="29"/>
                <w:b w:val="1"/>
                <w:bCs w:val="1"/>
                <w:color w:val="auto"/>
                <w:w w:val="95"/>
              </w:rPr>
              <w:t>NRG Yield, Inc.</w:t>
            </w:r>
          </w:p>
        </w:tc>
      </w:tr>
      <w:tr>
        <w:trPr>
          <w:trHeight w:val="153"/>
        </w:trPr>
        <w:tc>
          <w:tcPr>
            <w:tcW w:w="2520" w:type="dxa"/>
            <w:vAlign w:val="bottom"/>
          </w:tcPr>
          <w:p>
            <w:pPr>
              <w:spacing w:after="0"/>
              <w:rPr>
                <w:sz w:val="13"/>
                <w:szCs w:val="13"/>
                <w:color w:val="auto"/>
              </w:rPr>
            </w:pPr>
          </w:p>
        </w:tc>
        <w:tc>
          <w:tcPr>
            <w:tcW w:w="4760" w:type="dxa"/>
            <w:vAlign w:val="bottom"/>
          </w:tcPr>
          <w:p>
            <w:pPr>
              <w:jc w:val="center"/>
              <w:ind w:right="1688"/>
              <w:spacing w:after="0"/>
              <w:rPr>
                <w:sz w:val="20"/>
                <w:szCs w:val="20"/>
                <w:color w:val="auto"/>
              </w:rPr>
            </w:pPr>
            <w:r>
              <w:rPr>
                <w:rFonts w:ascii="Arial" w:cs="Arial" w:eastAsia="Arial" w:hAnsi="Arial"/>
                <w:sz w:val="12"/>
                <w:szCs w:val="12"/>
                <w:color w:val="auto"/>
                <w:w w:val="90"/>
              </w:rPr>
              <w:t>(Exact name of registrant as specified in its charter)</w:t>
            </w:r>
          </w:p>
        </w:tc>
      </w:tr>
      <w:tr>
        <w:trPr>
          <w:trHeight w:val="243"/>
        </w:trPr>
        <w:tc>
          <w:tcPr>
            <w:tcW w:w="2520" w:type="dxa"/>
            <w:vAlign w:val="bottom"/>
          </w:tcPr>
          <w:p>
            <w:pPr>
              <w:jc w:val="center"/>
              <w:ind w:right="200"/>
              <w:spacing w:after="0"/>
              <w:rPr>
                <w:sz w:val="20"/>
                <w:szCs w:val="20"/>
                <w:color w:val="auto"/>
              </w:rPr>
            </w:pPr>
            <w:r>
              <w:rPr>
                <w:rFonts w:ascii="Arial" w:cs="Arial" w:eastAsia="Arial" w:hAnsi="Arial"/>
                <w:sz w:val="12"/>
                <w:szCs w:val="12"/>
                <w:b w:val="1"/>
                <w:bCs w:val="1"/>
                <w:color w:val="auto"/>
                <w:w w:val="94"/>
              </w:rPr>
              <w:t>Delaware</w:t>
            </w:r>
          </w:p>
        </w:tc>
        <w:tc>
          <w:tcPr>
            <w:tcW w:w="4760" w:type="dxa"/>
            <w:vAlign w:val="bottom"/>
          </w:tcPr>
          <w:p>
            <w:pPr>
              <w:jc w:val="right"/>
              <w:ind w:right="68"/>
              <w:spacing w:after="0"/>
              <w:rPr>
                <w:sz w:val="20"/>
                <w:szCs w:val="20"/>
                <w:color w:val="auto"/>
              </w:rPr>
            </w:pPr>
            <w:r>
              <w:rPr>
                <w:rFonts w:ascii="Arial" w:cs="Arial" w:eastAsia="Arial" w:hAnsi="Arial"/>
                <w:sz w:val="12"/>
                <w:szCs w:val="12"/>
                <w:b w:val="1"/>
                <w:bCs w:val="1"/>
                <w:color w:val="auto"/>
              </w:rPr>
              <w:t>46-1777204</w:t>
            </w:r>
          </w:p>
        </w:tc>
      </w:tr>
      <w:tr>
        <w:trPr>
          <w:trHeight w:val="144"/>
        </w:trPr>
        <w:tc>
          <w:tcPr>
            <w:tcW w:w="2520" w:type="dxa"/>
            <w:vAlign w:val="bottom"/>
          </w:tcPr>
          <w:p>
            <w:pPr>
              <w:jc w:val="center"/>
              <w:ind w:right="200"/>
              <w:spacing w:after="0"/>
              <w:rPr>
                <w:sz w:val="20"/>
                <w:szCs w:val="20"/>
                <w:color w:val="auto"/>
              </w:rPr>
            </w:pPr>
            <w:r>
              <w:rPr>
                <w:rFonts w:ascii="Arial" w:cs="Arial" w:eastAsia="Arial" w:hAnsi="Arial"/>
                <w:sz w:val="12"/>
                <w:szCs w:val="12"/>
                <w:color w:val="auto"/>
                <w:w w:val="92"/>
              </w:rPr>
              <w:t>(State or other jurisdiction</w:t>
            </w:r>
          </w:p>
        </w:tc>
        <w:tc>
          <w:tcPr>
            <w:tcW w:w="4760" w:type="dxa"/>
            <w:vAlign w:val="bottom"/>
          </w:tcPr>
          <w:p>
            <w:pPr>
              <w:jc w:val="center"/>
              <w:ind w:left="3828"/>
              <w:spacing w:after="0"/>
              <w:rPr>
                <w:sz w:val="20"/>
                <w:szCs w:val="20"/>
                <w:color w:val="auto"/>
              </w:rPr>
            </w:pPr>
            <w:r>
              <w:rPr>
                <w:rFonts w:ascii="Arial" w:cs="Arial" w:eastAsia="Arial" w:hAnsi="Arial"/>
                <w:sz w:val="12"/>
                <w:szCs w:val="12"/>
                <w:color w:val="auto"/>
                <w:w w:val="93"/>
              </w:rPr>
              <w:t>(I.R.S. Employer</w:t>
            </w:r>
          </w:p>
        </w:tc>
      </w:tr>
      <w:tr>
        <w:trPr>
          <w:trHeight w:val="153"/>
        </w:trPr>
        <w:tc>
          <w:tcPr>
            <w:tcW w:w="2520" w:type="dxa"/>
            <w:vAlign w:val="bottom"/>
          </w:tcPr>
          <w:p>
            <w:pPr>
              <w:jc w:val="center"/>
              <w:ind w:right="200"/>
              <w:spacing w:after="0"/>
              <w:rPr>
                <w:sz w:val="20"/>
                <w:szCs w:val="20"/>
                <w:color w:val="auto"/>
              </w:rPr>
            </w:pPr>
            <w:r>
              <w:rPr>
                <w:rFonts w:ascii="Arial" w:cs="Arial" w:eastAsia="Arial" w:hAnsi="Arial"/>
                <w:sz w:val="12"/>
                <w:szCs w:val="12"/>
                <w:color w:val="auto"/>
                <w:w w:val="93"/>
              </w:rPr>
              <w:t>of incorporation or organization)</w:t>
            </w:r>
          </w:p>
        </w:tc>
        <w:tc>
          <w:tcPr>
            <w:tcW w:w="4760" w:type="dxa"/>
            <w:vAlign w:val="bottom"/>
          </w:tcPr>
          <w:p>
            <w:pPr>
              <w:jc w:val="center"/>
              <w:ind w:left="3808"/>
              <w:spacing w:after="0"/>
              <w:rPr>
                <w:sz w:val="20"/>
                <w:szCs w:val="20"/>
                <w:color w:val="auto"/>
              </w:rPr>
            </w:pPr>
            <w:r>
              <w:rPr>
                <w:rFonts w:ascii="Arial" w:cs="Arial" w:eastAsia="Arial" w:hAnsi="Arial"/>
                <w:sz w:val="12"/>
                <w:szCs w:val="12"/>
                <w:color w:val="auto"/>
                <w:w w:val="94"/>
              </w:rPr>
              <w:t>Identification No.)</w:t>
            </w:r>
          </w:p>
        </w:tc>
      </w:tr>
      <w:tr>
        <w:trPr>
          <w:trHeight w:val="351"/>
        </w:trPr>
        <w:tc>
          <w:tcPr>
            <w:tcW w:w="2520" w:type="dxa"/>
            <w:vAlign w:val="bottom"/>
          </w:tcPr>
          <w:p>
            <w:pPr>
              <w:jc w:val="center"/>
              <w:ind w:right="200"/>
              <w:spacing w:after="0"/>
              <w:rPr>
                <w:sz w:val="20"/>
                <w:szCs w:val="20"/>
                <w:color w:val="auto"/>
              </w:rPr>
            </w:pPr>
            <w:r>
              <w:rPr>
                <w:rFonts w:ascii="Arial" w:cs="Arial" w:eastAsia="Arial" w:hAnsi="Arial"/>
                <w:sz w:val="12"/>
                <w:szCs w:val="12"/>
                <w:b w:val="1"/>
                <w:bCs w:val="1"/>
                <w:color w:val="auto"/>
                <w:w w:val="90"/>
              </w:rPr>
              <w:t>804 Carnegie Center, Princeton, New Jersey</w:t>
            </w:r>
          </w:p>
        </w:tc>
        <w:tc>
          <w:tcPr>
            <w:tcW w:w="4760" w:type="dxa"/>
            <w:vAlign w:val="bottom"/>
          </w:tcPr>
          <w:p>
            <w:pPr>
              <w:jc w:val="right"/>
              <w:ind w:right="208"/>
              <w:spacing w:after="0"/>
              <w:rPr>
                <w:sz w:val="20"/>
                <w:szCs w:val="20"/>
                <w:color w:val="auto"/>
              </w:rPr>
            </w:pPr>
            <w:r>
              <w:rPr>
                <w:rFonts w:ascii="Arial" w:cs="Arial" w:eastAsia="Arial" w:hAnsi="Arial"/>
                <w:sz w:val="12"/>
                <w:szCs w:val="12"/>
                <w:b w:val="1"/>
                <w:bCs w:val="1"/>
                <w:color w:val="auto"/>
              </w:rPr>
              <w:t>08540</w:t>
            </w:r>
          </w:p>
        </w:tc>
      </w:tr>
      <w:tr>
        <w:trPr>
          <w:trHeight w:val="153"/>
        </w:trPr>
        <w:tc>
          <w:tcPr>
            <w:tcW w:w="2520" w:type="dxa"/>
            <w:vAlign w:val="bottom"/>
          </w:tcPr>
          <w:p>
            <w:pPr>
              <w:jc w:val="center"/>
              <w:ind w:right="200"/>
              <w:spacing w:after="0"/>
              <w:rPr>
                <w:sz w:val="20"/>
                <w:szCs w:val="20"/>
                <w:color w:val="auto"/>
              </w:rPr>
            </w:pPr>
            <w:r>
              <w:rPr>
                <w:rFonts w:ascii="Arial" w:cs="Arial" w:eastAsia="Arial" w:hAnsi="Arial"/>
                <w:sz w:val="12"/>
                <w:szCs w:val="12"/>
                <w:color w:val="auto"/>
                <w:w w:val="92"/>
              </w:rPr>
              <w:t>(Address of principal executive offices)</w:t>
            </w:r>
          </w:p>
        </w:tc>
        <w:tc>
          <w:tcPr>
            <w:tcW w:w="4760" w:type="dxa"/>
            <w:vAlign w:val="bottom"/>
          </w:tcPr>
          <w:p>
            <w:pPr>
              <w:jc w:val="center"/>
              <w:ind w:left="3808"/>
              <w:spacing w:after="0"/>
              <w:rPr>
                <w:sz w:val="20"/>
                <w:szCs w:val="20"/>
                <w:color w:val="auto"/>
              </w:rPr>
            </w:pPr>
            <w:r>
              <w:rPr>
                <w:rFonts w:ascii="Arial" w:cs="Arial" w:eastAsia="Arial" w:hAnsi="Arial"/>
                <w:sz w:val="12"/>
                <w:szCs w:val="12"/>
                <w:color w:val="auto"/>
                <w:w w:val="91"/>
              </w:rPr>
              <w:t>(Zip Code)</w:t>
            </w:r>
          </w:p>
        </w:tc>
      </w:tr>
    </w:tbl>
    <w:p>
      <w:pPr>
        <w:spacing w:after="0" w:line="14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(609) 524-4500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(Registrant’s telephone number, including area code)</w:t>
      </w:r>
    </w:p>
    <w:p>
      <w:pPr>
        <w:spacing w:after="0" w:line="69" w:lineRule="exact"/>
        <w:rPr>
          <w:sz w:val="24"/>
          <w:szCs w:val="24"/>
          <w:color w:val="auto"/>
        </w:rPr>
      </w:pPr>
    </w:p>
    <w:p>
      <w:pPr>
        <w:ind w:firstLine="180"/>
        <w:spacing w:after="0" w:line="276"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39" w:lineRule="exact"/>
        <w:rPr>
          <w:sz w:val="24"/>
          <w:szCs w:val="24"/>
          <w:color w:val="auto"/>
        </w:rPr>
      </w:pPr>
    </w:p>
    <w:p>
      <w:pPr>
        <w:jc w:val="center"/>
        <w:ind w:right="20"/>
        <w:spacing w:after="0"/>
        <w:tabs>
          <w:tab w:leader="none" w:pos="200" w:val="left"/>
        </w:tabs>
        <w:rPr>
          <w:sz w:val="20"/>
          <w:szCs w:val="20"/>
          <w:color w:val="auto"/>
        </w:rPr>
      </w:pPr>
      <w:r>
        <w:rPr>
          <w:rFonts w:ascii="Arial" w:cs="Arial" w:eastAsia="Arial" w:hAnsi="Arial"/>
          <w:sz w:val="12"/>
          <w:szCs w:val="12"/>
          <w:b w:val="1"/>
          <w:bCs w:val="1"/>
          <w:color w:val="auto"/>
        </w:rPr>
        <w:t xml:space="preserve">Yes </w:t>
      </w:r>
      <w:r>
        <w:rPr>
          <w:rFonts w:ascii="Arial" w:cs="Arial" w:eastAsia="Arial" w:hAnsi="Arial"/>
          <w:sz w:val="12"/>
          <w:szCs w:val="12"/>
          <w:color w:val="auto"/>
        </w:rPr>
        <w:t>x</w:t>
      </w:r>
      <w:r>
        <w:rPr>
          <w:sz w:val="20"/>
          <w:szCs w:val="20"/>
          <w:color w:val="auto"/>
        </w:rPr>
        <w:tab/>
      </w:r>
      <w:r>
        <w:rPr>
          <w:rFonts w:ascii="Arial" w:cs="Arial" w:eastAsia="Arial" w:hAnsi="Arial"/>
          <w:sz w:val="10"/>
          <w:szCs w:val="10"/>
          <w:b w:val="1"/>
          <w:bCs w:val="1"/>
          <w:color w:val="auto"/>
        </w:rPr>
        <w:t xml:space="preserve">No </w:t>
      </w:r>
      <w:r>
        <w:rPr>
          <w:rFonts w:ascii="Arial" w:cs="Arial" w:eastAsia="Arial" w:hAnsi="Arial"/>
          <w:sz w:val="10"/>
          <w:szCs w:val="10"/>
          <w:color w:val="auto"/>
        </w:rPr>
        <w:t>o</w:t>
      </w:r>
    </w:p>
    <w:p>
      <w:pPr>
        <w:spacing w:after="0" w:line="82" w:lineRule="exact"/>
        <w:rPr>
          <w:sz w:val="24"/>
          <w:szCs w:val="24"/>
          <w:color w:val="auto"/>
        </w:rPr>
      </w:pPr>
    </w:p>
    <w:p>
      <w:pPr>
        <w:ind w:firstLine="180"/>
        <w:spacing w:after="0" w:line="276" w:lineRule="auto"/>
        <w:rPr>
          <w:sz w:val="20"/>
          <w:szCs w:val="20"/>
          <w:color w:val="auto"/>
        </w:rPr>
      </w:pPr>
      <w:r>
        <w:rPr>
          <w:rFonts w:ascii="Arial" w:cs="Arial" w:eastAsia="Arial" w:hAnsi="Arial"/>
          <w:sz w:val="12"/>
          <w:szCs w:val="12"/>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39" w:lineRule="exact"/>
        <w:rPr>
          <w:sz w:val="24"/>
          <w:szCs w:val="24"/>
          <w:color w:val="auto"/>
        </w:rPr>
      </w:pPr>
    </w:p>
    <w:p>
      <w:pPr>
        <w:jc w:val="center"/>
        <w:spacing w:after="0"/>
        <w:tabs>
          <w:tab w:leader="none" w:pos="160" w:val="left"/>
        </w:tabs>
        <w:rPr>
          <w:sz w:val="20"/>
          <w:szCs w:val="20"/>
          <w:color w:val="auto"/>
        </w:rPr>
      </w:pPr>
      <w:r>
        <w:rPr>
          <w:rFonts w:ascii="Arial" w:cs="Arial" w:eastAsia="Arial" w:hAnsi="Arial"/>
          <w:sz w:val="12"/>
          <w:szCs w:val="12"/>
          <w:b w:val="1"/>
          <w:bCs w:val="1"/>
          <w:color w:val="auto"/>
        </w:rPr>
        <w:t xml:space="preserve">Yes </w:t>
      </w:r>
      <w:r>
        <w:rPr>
          <w:rFonts w:ascii="Arial" w:cs="Arial" w:eastAsia="Arial" w:hAnsi="Arial"/>
          <w:sz w:val="12"/>
          <w:szCs w:val="12"/>
          <w:color w:val="auto"/>
        </w:rPr>
        <w:t>x</w:t>
      </w:r>
      <w:r>
        <w:rPr>
          <w:sz w:val="20"/>
          <w:szCs w:val="20"/>
          <w:color w:val="auto"/>
        </w:rPr>
        <w:tab/>
      </w:r>
      <w:r>
        <w:rPr>
          <w:rFonts w:ascii="Arial" w:cs="Arial" w:eastAsia="Arial" w:hAnsi="Arial"/>
          <w:sz w:val="11"/>
          <w:szCs w:val="11"/>
          <w:b w:val="1"/>
          <w:bCs w:val="1"/>
          <w:color w:val="auto"/>
        </w:rPr>
        <w:t xml:space="preserve">No </w:t>
      </w:r>
      <w:r>
        <w:rPr>
          <w:rFonts w:ascii="Arial" w:cs="Arial" w:eastAsia="Arial" w:hAnsi="Arial"/>
          <w:sz w:val="11"/>
          <w:szCs w:val="11"/>
          <w:color w:val="auto"/>
        </w:rPr>
        <w:t>o</w:t>
      </w:r>
    </w:p>
    <w:p>
      <w:pPr>
        <w:spacing w:after="0" w:line="82" w:lineRule="exact"/>
        <w:rPr>
          <w:sz w:val="24"/>
          <w:szCs w:val="24"/>
          <w:color w:val="auto"/>
        </w:rPr>
      </w:pPr>
    </w:p>
    <w:p>
      <w:pPr>
        <w:ind w:firstLine="180"/>
        <w:spacing w:after="0" w:line="276"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8" w:lineRule="exact"/>
        <w:rPr>
          <w:sz w:val="24"/>
          <w:szCs w:val="24"/>
          <w:color w:val="auto"/>
        </w:rPr>
      </w:pPr>
    </w:p>
    <w:p>
      <w:pPr>
        <w:ind w:left="520"/>
        <w:spacing w:after="0"/>
        <w:tabs>
          <w:tab w:leader="none" w:pos="2640" w:val="left"/>
          <w:tab w:leader="none" w:pos="4640" w:val="left"/>
          <w:tab w:leader="none" w:pos="7020" w:val="left"/>
          <w:tab w:leader="none" w:pos="9600" w:val="left"/>
        </w:tabs>
        <w:rPr>
          <w:sz w:val="20"/>
          <w:szCs w:val="20"/>
          <w:color w:val="auto"/>
        </w:rPr>
      </w:pPr>
      <w:r>
        <w:rPr>
          <w:rFonts w:ascii="Arial" w:cs="Arial" w:eastAsia="Arial" w:hAnsi="Arial"/>
          <w:sz w:val="10"/>
          <w:szCs w:val="10"/>
          <w:b w:val="1"/>
          <w:bCs w:val="1"/>
          <w:color w:val="auto"/>
        </w:rPr>
        <w:t>Large accelerated filer x</w:t>
      </w:r>
      <w:r>
        <w:rPr>
          <w:sz w:val="20"/>
          <w:szCs w:val="20"/>
          <w:color w:val="auto"/>
        </w:rPr>
        <w:tab/>
      </w:r>
      <w:r>
        <w:rPr>
          <w:rFonts w:ascii="Arial" w:cs="Arial" w:eastAsia="Arial" w:hAnsi="Arial"/>
          <w:sz w:val="10"/>
          <w:szCs w:val="10"/>
          <w:b w:val="1"/>
          <w:bCs w:val="1"/>
          <w:color w:val="auto"/>
        </w:rPr>
        <w:t xml:space="preserve">Accelerated filer </w:t>
      </w:r>
      <w:r>
        <w:rPr>
          <w:rFonts w:ascii="Arial" w:cs="Arial" w:eastAsia="Arial" w:hAnsi="Arial"/>
          <w:sz w:val="10"/>
          <w:szCs w:val="10"/>
          <w:color w:val="auto"/>
        </w:rPr>
        <w:t>o</w:t>
      </w:r>
      <w:r>
        <w:rPr>
          <w:sz w:val="20"/>
          <w:szCs w:val="20"/>
          <w:color w:val="auto"/>
        </w:rPr>
        <w:tab/>
      </w:r>
      <w:r>
        <w:rPr>
          <w:rFonts w:ascii="Arial" w:cs="Arial" w:eastAsia="Arial" w:hAnsi="Arial"/>
          <w:sz w:val="10"/>
          <w:szCs w:val="10"/>
          <w:b w:val="1"/>
          <w:bCs w:val="1"/>
          <w:color w:val="auto"/>
        </w:rPr>
        <w:t xml:space="preserve">Non-accelerated filer </w:t>
      </w:r>
      <w:r>
        <w:rPr>
          <w:rFonts w:ascii="Arial" w:cs="Arial" w:eastAsia="Arial" w:hAnsi="Arial"/>
          <w:sz w:val="10"/>
          <w:szCs w:val="10"/>
          <w:color w:val="auto"/>
        </w:rPr>
        <w:t>o</w:t>
      </w:r>
      <w:r>
        <w:rPr>
          <w:sz w:val="20"/>
          <w:szCs w:val="20"/>
          <w:color w:val="auto"/>
        </w:rPr>
        <w:tab/>
      </w:r>
      <w:r>
        <w:rPr>
          <w:rFonts w:ascii="Arial" w:cs="Arial" w:eastAsia="Arial" w:hAnsi="Arial"/>
          <w:sz w:val="10"/>
          <w:szCs w:val="10"/>
          <w:b w:val="1"/>
          <w:bCs w:val="1"/>
          <w:color w:val="auto"/>
        </w:rPr>
        <w:t xml:space="preserve">Smaller reporting company </w:t>
      </w:r>
      <w:r>
        <w:rPr>
          <w:rFonts w:ascii="Arial" w:cs="Arial" w:eastAsia="Arial" w:hAnsi="Arial"/>
          <w:sz w:val="10"/>
          <w:szCs w:val="10"/>
          <w:color w:val="auto"/>
        </w:rPr>
        <w:t>o</w:t>
      </w:r>
      <w:r>
        <w:rPr>
          <w:sz w:val="20"/>
          <w:szCs w:val="20"/>
          <w:color w:val="auto"/>
        </w:rPr>
        <w:tab/>
      </w:r>
      <w:r>
        <w:rPr>
          <w:rFonts w:ascii="Arial" w:cs="Arial" w:eastAsia="Arial" w:hAnsi="Arial"/>
          <w:sz w:val="8"/>
          <w:szCs w:val="8"/>
          <w:b w:val="1"/>
          <w:bCs w:val="1"/>
          <w:color w:val="auto"/>
        </w:rPr>
        <w:t xml:space="preserve">Emerging growth company </w:t>
      </w:r>
      <w:r>
        <w:rPr>
          <w:rFonts w:ascii="Arial" w:cs="Arial" w:eastAsia="Arial" w:hAnsi="Arial"/>
          <w:sz w:val="8"/>
          <w:szCs w:val="8"/>
          <w:color w:val="auto"/>
        </w:rPr>
        <w:t>o</w:t>
      </w:r>
    </w:p>
    <w:p>
      <w:pPr>
        <w:spacing w:after="0" w:line="22" w:lineRule="exact"/>
        <w:rPr>
          <w:sz w:val="24"/>
          <w:szCs w:val="24"/>
          <w:color w:val="auto"/>
        </w:rPr>
      </w:pPr>
    </w:p>
    <w:p>
      <w:pPr>
        <w:ind w:left="4220"/>
        <w:spacing w:after="0"/>
        <w:rPr>
          <w:sz w:val="20"/>
          <w:szCs w:val="20"/>
          <w:color w:val="auto"/>
        </w:rPr>
      </w:pPr>
      <w:r>
        <w:rPr>
          <w:rFonts w:ascii="Arial" w:cs="Arial" w:eastAsia="Arial" w:hAnsi="Arial"/>
          <w:sz w:val="10"/>
          <w:szCs w:val="10"/>
          <w:color w:val="auto"/>
        </w:rPr>
        <w:t>(Do not check if a smaller reporting company)</w:t>
      </w:r>
    </w:p>
    <w:p>
      <w:pPr>
        <w:spacing w:after="0" w:line="96" w:lineRule="exact"/>
        <w:rPr>
          <w:sz w:val="24"/>
          <w:szCs w:val="24"/>
          <w:color w:val="auto"/>
        </w:rPr>
      </w:pPr>
    </w:p>
    <w:p>
      <w:pPr>
        <w:ind w:right="20" w:firstLine="216"/>
        <w:spacing w:after="0" w:line="276" w:lineRule="auto"/>
        <w:rPr>
          <w:sz w:val="20"/>
          <w:szCs w:val="20"/>
          <w:color w:val="auto"/>
        </w:rPr>
      </w:pPr>
      <w:r>
        <w:rPr>
          <w:rFonts w:ascii="Arial" w:cs="Arial" w:eastAsia="Arial" w:hAnsi="Arial"/>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43" w:lineRule="exact"/>
        <w:rPr>
          <w:sz w:val="24"/>
          <w:szCs w:val="24"/>
          <w:color w:val="auto"/>
        </w:rPr>
      </w:pPr>
    </w:p>
    <w:p>
      <w:pPr>
        <w:ind w:left="180"/>
        <w:spacing w:after="0"/>
        <w:rPr>
          <w:sz w:val="20"/>
          <w:szCs w:val="20"/>
          <w:color w:val="auto"/>
        </w:rPr>
      </w:pPr>
      <w:r>
        <w:rPr>
          <w:rFonts w:ascii="Arial" w:cs="Arial" w:eastAsia="Arial" w:hAnsi="Arial"/>
          <w:sz w:val="12"/>
          <w:szCs w:val="12"/>
          <w:color w:val="auto"/>
        </w:rPr>
        <w:t>Indicate by check mark whether the registrant is a shell company (as defined in Rule 12b-2 of the Exchange Act).</w:t>
      </w:r>
    </w:p>
    <w:p>
      <w:pPr>
        <w:spacing w:after="0" w:line="74" w:lineRule="exact"/>
        <w:rPr>
          <w:sz w:val="24"/>
          <w:szCs w:val="24"/>
          <w:color w:val="auto"/>
        </w:rPr>
      </w:pPr>
    </w:p>
    <w:p>
      <w:pPr>
        <w:ind w:left="5380"/>
        <w:spacing w:after="0"/>
        <w:tabs>
          <w:tab w:leader="none" w:pos="5840" w:val="left"/>
        </w:tabs>
        <w:rPr>
          <w:sz w:val="20"/>
          <w:szCs w:val="20"/>
          <w:color w:val="auto"/>
        </w:rPr>
      </w:pPr>
      <w:r>
        <w:rPr>
          <w:rFonts w:ascii="Arial" w:cs="Arial" w:eastAsia="Arial" w:hAnsi="Arial"/>
          <w:sz w:val="12"/>
          <w:szCs w:val="12"/>
          <w:b w:val="1"/>
          <w:bCs w:val="1"/>
          <w:color w:val="auto"/>
        </w:rPr>
        <w:t xml:space="preserve">Yes </w:t>
      </w:r>
      <w:r>
        <w:rPr>
          <w:rFonts w:ascii="Arial" w:cs="Arial" w:eastAsia="Arial" w:hAnsi="Arial"/>
          <w:sz w:val="12"/>
          <w:szCs w:val="12"/>
          <w:color w:val="auto"/>
        </w:rPr>
        <w:t>o</w:t>
      </w:r>
      <w:r>
        <w:rPr>
          <w:sz w:val="20"/>
          <w:szCs w:val="20"/>
          <w:color w:val="auto"/>
        </w:rPr>
        <w:tab/>
      </w:r>
      <w:r>
        <w:rPr>
          <w:rFonts w:ascii="Arial" w:cs="Arial" w:eastAsia="Arial" w:hAnsi="Arial"/>
          <w:sz w:val="10"/>
          <w:szCs w:val="10"/>
          <w:b w:val="1"/>
          <w:bCs w:val="1"/>
          <w:color w:val="auto"/>
        </w:rPr>
        <w:t xml:space="preserve">No </w:t>
      </w:r>
      <w:r>
        <w:rPr>
          <w:rFonts w:ascii="Arial" w:cs="Arial" w:eastAsia="Arial" w:hAnsi="Arial"/>
          <w:sz w:val="10"/>
          <w:szCs w:val="10"/>
          <w:color w:val="auto"/>
        </w:rPr>
        <w:t>x</w:t>
      </w:r>
    </w:p>
    <w:p>
      <w:pPr>
        <w:spacing w:after="0" w:line="82" w:lineRule="exact"/>
        <w:rPr>
          <w:sz w:val="24"/>
          <w:szCs w:val="24"/>
          <w:color w:val="auto"/>
        </w:rPr>
      </w:pPr>
    </w:p>
    <w:p>
      <w:pPr>
        <w:ind w:right="20" w:firstLine="180"/>
        <w:spacing w:after="0" w:line="276" w:lineRule="auto"/>
        <w:rPr>
          <w:sz w:val="20"/>
          <w:szCs w:val="20"/>
          <w:color w:val="auto"/>
        </w:rPr>
      </w:pPr>
      <w:r>
        <w:rPr>
          <w:rFonts w:ascii="Arial" w:cs="Arial" w:eastAsia="Arial" w:hAnsi="Arial"/>
          <w:sz w:val="12"/>
          <w:szCs w:val="12"/>
          <w:color w:val="auto"/>
        </w:rPr>
        <w:t>As of July 31, 2018, there were 34,586,250 shares of Class A common stock outstanding, par value $0.01 per share, 42,738,750 shares of Class B common stock outstanding, par value $0.01 per share, 69,129,643 shares of Class C common stock outstanding, par value $0.01 per share, and 42,738,750 shares of Class D common stock outstanding,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80645</wp:posOffset>
            </wp:positionH>
            <wp:positionV relativeFrom="paragraph">
              <wp:posOffset>101600</wp:posOffset>
            </wp:positionV>
            <wp:extent cx="7120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0890" cy="17145"/>
                    </a:xfrm>
                    <a:prstGeom prst="rect">
                      <a:avLst/>
                    </a:prstGeom>
                    <a:noFill/>
                  </pic:spPr>
                </pic:pic>
              </a:graphicData>
            </a:graphic>
          </wp:anchor>
        </w:drawing>
        <w:drawing>
          <wp:anchor simplePos="0" relativeHeight="251657728" behindDoc="1" locked="0" layoutInCell="0" allowOverlap="1">
            <wp:simplePos x="0" y="0"/>
            <wp:positionH relativeFrom="column">
              <wp:posOffset>80645</wp:posOffset>
            </wp:positionH>
            <wp:positionV relativeFrom="paragraph">
              <wp:posOffset>44450</wp:posOffset>
            </wp:positionV>
            <wp:extent cx="712089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0890" cy="5715"/>
                    </a:xfrm>
                    <a:prstGeom prst="rect">
                      <a:avLst/>
                    </a:prstGeom>
                    <a:noFill/>
                  </pic:spPr>
                </pic:pic>
              </a:graphicData>
            </a:graphic>
          </wp:anchor>
        </w:drawing>
      </w:r>
    </w:p>
    <w:p>
      <w:pPr>
        <w:sectPr>
          <w:pgSz w:w="11900" w:h="16838" w:orient="portrait"/>
          <w:cols w:equalWidth="0" w:num="1">
            <w:col w:w="11480"/>
          </w:cols>
          <w:pgMar w:left="220" w:top="917" w:right="19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2"/>
          <w:szCs w:val="12"/>
          <w:b w:val="1"/>
          <w:bCs w:val="1"/>
          <w:color w:val="auto"/>
        </w:rPr>
        <w:t>TABLE OF CONTENTS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Index</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540" w:type="dxa"/>
            <w:vAlign w:val="bottom"/>
            <w:tcBorders>
              <w:bottom w:val="single" w:sz="8" w:color="0000EE"/>
            </w:tcBorders>
            <w:gridSpan w:val="14"/>
          </w:tcPr>
          <w:p>
            <w:pPr>
              <w:spacing w:after="0"/>
              <w:rPr>
                <w:sz w:val="20"/>
                <w:szCs w:val="20"/>
                <w:color w:val="auto"/>
              </w:rPr>
            </w:pPr>
            <w:r>
              <w:rPr>
                <w:rFonts w:ascii="Arial" w:cs="Arial" w:eastAsia="Arial" w:hAnsi="Arial"/>
                <w:sz w:val="12"/>
                <w:szCs w:val="12"/>
                <w:b w:val="1"/>
                <w:bCs w:val="1"/>
                <w:color w:val="0000EE"/>
              </w:rPr>
              <w:t>CAUTIONARY STATEMENT REGARDING FORWARD LOOKING INFORMATION</w:t>
            </w:r>
          </w:p>
        </w:tc>
        <w:tc>
          <w:tcPr>
            <w:tcW w:w="2120" w:type="dxa"/>
            <w:vAlign w:val="bottom"/>
            <w:gridSpan w:val="2"/>
          </w:tcPr>
          <w:p>
            <w:pPr>
              <w:spacing w:after="0"/>
              <w:rPr>
                <w:sz w:val="12"/>
                <w:szCs w:val="12"/>
                <w:color w:val="auto"/>
              </w:rPr>
            </w:pPr>
          </w:p>
        </w:tc>
        <w:tc>
          <w:tcPr>
            <w:tcW w:w="4780" w:type="dxa"/>
            <w:vAlign w:val="bottom"/>
            <w:gridSpan w:val="2"/>
          </w:tcPr>
          <w:p>
            <w:pPr>
              <w:jc w:val="right"/>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3</w:t>
              </w:r>
            </w:hyperlink>
          </w:p>
        </w:tc>
      </w:tr>
      <w:tr>
        <w:trPr>
          <w:trHeight w:val="160"/>
        </w:trPr>
        <w:tc>
          <w:tcPr>
            <w:tcW w:w="1300" w:type="dxa"/>
            <w:vAlign w:val="bottom"/>
            <w:tcBorders>
              <w:bottom w:val="single" w:sz="8" w:color="0000EE"/>
            </w:tcBorders>
            <w:gridSpan w:val="5"/>
          </w:tcPr>
          <w:p>
            <w:pPr>
              <w:spacing w:after="0"/>
              <w:rPr>
                <w:sz w:val="20"/>
                <w:szCs w:val="20"/>
                <w:color w:val="auto"/>
              </w:rPr>
            </w:pPr>
            <w:r>
              <w:rPr>
                <w:rFonts w:ascii="Arial" w:cs="Arial" w:eastAsia="Arial" w:hAnsi="Arial"/>
                <w:sz w:val="12"/>
                <w:szCs w:val="12"/>
                <w:b w:val="1"/>
                <w:bCs w:val="1"/>
                <w:color w:val="0000EE"/>
                <w:w w:val="96"/>
              </w:rPr>
              <w:t>GLOSSARY OF TERMS</w:t>
            </w:r>
          </w:p>
        </w:tc>
        <w:tc>
          <w:tcPr>
            <w:tcW w:w="5360" w:type="dxa"/>
            <w:vAlign w:val="bottom"/>
            <w:gridSpan w:val="11"/>
          </w:tcPr>
          <w:p>
            <w:pPr>
              <w:spacing w:after="0"/>
              <w:rPr>
                <w:sz w:val="13"/>
                <w:szCs w:val="13"/>
                <w:color w:val="auto"/>
              </w:rPr>
            </w:pPr>
          </w:p>
        </w:tc>
        <w:tc>
          <w:tcPr>
            <w:tcW w:w="4780" w:type="dxa"/>
            <w:vAlign w:val="bottom"/>
            <w:gridSpan w:val="2"/>
          </w:tcPr>
          <w:p>
            <w:pPr>
              <w:jc w:val="right"/>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4</w:t>
              </w:r>
            </w:hyperlink>
          </w:p>
        </w:tc>
      </w:tr>
      <w:tr>
        <w:trPr>
          <w:trHeight w:val="160"/>
        </w:trPr>
        <w:tc>
          <w:tcPr>
            <w:tcW w:w="2160" w:type="dxa"/>
            <w:vAlign w:val="bottom"/>
            <w:tcBorders>
              <w:bottom w:val="single" w:sz="8" w:color="0000EE"/>
            </w:tcBorders>
            <w:gridSpan w:val="9"/>
          </w:tcPr>
          <w:p>
            <w:pPr>
              <w:spacing w:after="0"/>
              <w:rPr>
                <w:sz w:val="20"/>
                <w:szCs w:val="20"/>
                <w:color w:val="auto"/>
              </w:rPr>
            </w:pPr>
            <w:r>
              <w:rPr>
                <w:rFonts w:ascii="Arial" w:cs="Arial" w:eastAsia="Arial" w:hAnsi="Arial"/>
                <w:sz w:val="12"/>
                <w:szCs w:val="12"/>
                <w:b w:val="1"/>
                <w:bCs w:val="1"/>
                <w:color w:val="0000EE"/>
              </w:rPr>
              <w:t>PART I — FINANCIAL INFORMATION</w:t>
            </w:r>
          </w:p>
        </w:tc>
        <w:tc>
          <w:tcPr>
            <w:tcW w:w="4500" w:type="dxa"/>
            <w:vAlign w:val="bottom"/>
            <w:gridSpan w:val="7"/>
          </w:tcPr>
          <w:p>
            <w:pPr>
              <w:spacing w:after="0"/>
              <w:rPr>
                <w:sz w:val="13"/>
                <w:szCs w:val="13"/>
                <w:color w:val="auto"/>
              </w:rPr>
            </w:pPr>
          </w:p>
        </w:tc>
        <w:tc>
          <w:tcPr>
            <w:tcW w:w="4780" w:type="dxa"/>
            <w:vAlign w:val="bottom"/>
            <w:gridSpan w:val="2"/>
          </w:tcPr>
          <w:p>
            <w:pPr>
              <w:jc w:val="right"/>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7</w:t>
              </w:r>
            </w:hyperlink>
          </w:p>
        </w:tc>
      </w:tr>
      <w:tr>
        <w:trPr>
          <w:trHeight w:val="160"/>
        </w:trPr>
        <w:tc>
          <w:tcPr>
            <w:tcW w:w="160" w:type="dxa"/>
            <w:vAlign w:val="bottom"/>
          </w:tcPr>
          <w:p>
            <w:pPr>
              <w:spacing w:after="0"/>
              <w:rPr>
                <w:sz w:val="13"/>
                <w:szCs w:val="13"/>
                <w:color w:val="auto"/>
              </w:rPr>
            </w:pPr>
          </w:p>
        </w:tc>
        <w:tc>
          <w:tcPr>
            <w:tcW w:w="2700" w:type="dxa"/>
            <w:vAlign w:val="bottom"/>
            <w:tcBorders>
              <w:bottom w:val="single" w:sz="8" w:color="0000EE"/>
            </w:tcBorders>
            <w:gridSpan w:val="12"/>
          </w:tcPr>
          <w:p>
            <w:pPr>
              <w:spacing w:after="0"/>
              <w:rPr>
                <w:sz w:val="20"/>
                <w:szCs w:val="20"/>
                <w:color w:val="auto"/>
              </w:rPr>
            </w:pPr>
            <w:r>
              <w:rPr>
                <w:rFonts w:ascii="Arial" w:cs="Arial" w:eastAsia="Arial" w:hAnsi="Arial"/>
                <w:sz w:val="12"/>
                <w:szCs w:val="12"/>
                <w:color w:val="0000EE"/>
                <w:w w:val="96"/>
              </w:rPr>
              <w:t>ITEM 1 — FINANCIAL STATEMENTS AND NOTES</w:t>
            </w:r>
          </w:p>
        </w:tc>
        <w:tc>
          <w:tcPr>
            <w:tcW w:w="3800" w:type="dxa"/>
            <w:vAlign w:val="bottom"/>
            <w:gridSpan w:val="3"/>
          </w:tcPr>
          <w:p>
            <w:pPr>
              <w:spacing w:after="0"/>
              <w:rPr>
                <w:sz w:val="13"/>
                <w:szCs w:val="13"/>
                <w:color w:val="auto"/>
              </w:rPr>
            </w:pPr>
          </w:p>
        </w:tc>
        <w:tc>
          <w:tcPr>
            <w:tcW w:w="4780" w:type="dxa"/>
            <w:vAlign w:val="bottom"/>
            <w:gridSpan w:val="2"/>
          </w:tcPr>
          <w:p>
            <w:pPr>
              <w:jc w:val="right"/>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7</w:t>
              </w:r>
            </w:hyperlink>
          </w:p>
        </w:tc>
      </w:tr>
      <w:tr>
        <w:trPr>
          <w:trHeight w:val="160"/>
        </w:trPr>
        <w:tc>
          <w:tcPr>
            <w:tcW w:w="160" w:type="dxa"/>
            <w:vAlign w:val="bottom"/>
          </w:tcPr>
          <w:p>
            <w:pPr>
              <w:spacing w:after="0"/>
              <w:rPr>
                <w:sz w:val="13"/>
                <w:szCs w:val="13"/>
                <w:color w:val="auto"/>
              </w:rPr>
            </w:pPr>
          </w:p>
        </w:tc>
        <w:tc>
          <w:tcPr>
            <w:tcW w:w="6500" w:type="dxa"/>
            <w:vAlign w:val="bottom"/>
            <w:gridSpan w:val="15"/>
          </w:tcPr>
          <w:p>
            <w:pPr>
              <w:spacing w:after="0"/>
              <w:rPr>
                <w:sz w:val="20"/>
                <w:szCs w:val="20"/>
                <w:color w:val="auto"/>
              </w:rPr>
            </w:pPr>
            <w:r>
              <w:rPr>
                <w:rFonts w:ascii="Arial" w:cs="Arial" w:eastAsia="Arial" w:hAnsi="Arial"/>
                <w:sz w:val="12"/>
                <w:szCs w:val="12"/>
                <w:color w:val="0000EE"/>
                <w:w w:val="96"/>
              </w:rPr>
              <w:t>ITEM 2 — MANAGEMENT’S DISCUSSION AND ANALYSIS OF FINANCIAL CONDITION AND RESULTS OF OPERATIONS</w:t>
            </w:r>
          </w:p>
        </w:tc>
        <w:tc>
          <w:tcPr>
            <w:tcW w:w="4780" w:type="dxa"/>
            <w:vAlign w:val="bottom"/>
            <w:gridSpan w:val="2"/>
          </w:tcPr>
          <w:p>
            <w:pPr>
              <w:jc w:val="right"/>
              <w:spacing w:after="0"/>
              <w:rPr>
                <w:rFonts w:ascii="Arial" w:cs="Arial" w:eastAsia="Arial" w:hAnsi="Arial"/>
                <w:sz w:val="12"/>
                <w:szCs w:val="12"/>
                <w:color w:val="0000EE"/>
              </w:rPr>
            </w:pPr>
            <w:hyperlink w:anchor="page37">
              <w:r>
                <w:rPr>
                  <w:rFonts w:ascii="Arial" w:cs="Arial" w:eastAsia="Arial" w:hAnsi="Arial"/>
                  <w:sz w:val="12"/>
                  <w:szCs w:val="12"/>
                  <w:color w:val="0000EE"/>
                </w:rPr>
                <w:t>37</w:t>
              </w:r>
            </w:hyperlink>
          </w:p>
        </w:tc>
      </w:tr>
      <w:tr>
        <w:trPr>
          <w:trHeight w:val="20"/>
        </w:trPr>
        <w:tc>
          <w:tcPr>
            <w:tcW w:w="1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1900" w:type="dxa"/>
            <w:vAlign w:val="bottom"/>
            <w:tcBorders>
              <w:left w:val="single" w:sz="8" w:color="0000EE"/>
            </w:tcBorders>
            <w:shd w:val="clear" w:color="auto" w:fill="0000EE"/>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60"/>
        </w:trPr>
        <w:tc>
          <w:tcPr>
            <w:tcW w:w="160" w:type="dxa"/>
            <w:vAlign w:val="bottom"/>
          </w:tcPr>
          <w:p>
            <w:pPr>
              <w:spacing w:after="0"/>
              <w:rPr>
                <w:sz w:val="13"/>
                <w:szCs w:val="13"/>
                <w:color w:val="auto"/>
              </w:rPr>
            </w:pPr>
          </w:p>
        </w:tc>
        <w:tc>
          <w:tcPr>
            <w:tcW w:w="4600" w:type="dxa"/>
            <w:vAlign w:val="bottom"/>
            <w:gridSpan w:val="14"/>
          </w:tcPr>
          <w:p>
            <w:pPr>
              <w:spacing w:after="0"/>
              <w:rPr>
                <w:sz w:val="20"/>
                <w:szCs w:val="20"/>
                <w:color w:val="auto"/>
              </w:rPr>
            </w:pPr>
            <w:r>
              <w:rPr>
                <w:rFonts w:ascii="Arial" w:cs="Arial" w:eastAsia="Arial" w:hAnsi="Arial"/>
                <w:sz w:val="12"/>
                <w:szCs w:val="12"/>
                <w:color w:val="0000EE"/>
                <w:w w:val="96"/>
              </w:rPr>
              <w:t>ITEM 3 — QUANTITATIVE AND QUALITATIVE DISCLOSURES ABOUT MARKET RISK</w:t>
            </w:r>
          </w:p>
        </w:tc>
        <w:tc>
          <w:tcPr>
            <w:tcW w:w="1900" w:type="dxa"/>
            <w:vAlign w:val="bottom"/>
          </w:tcPr>
          <w:p>
            <w:pPr>
              <w:spacing w:after="0"/>
              <w:rPr>
                <w:sz w:val="13"/>
                <w:szCs w:val="13"/>
                <w:color w:val="auto"/>
              </w:rPr>
            </w:pPr>
          </w:p>
        </w:tc>
        <w:tc>
          <w:tcPr>
            <w:tcW w:w="4780" w:type="dxa"/>
            <w:vAlign w:val="bottom"/>
            <w:gridSpan w:val="2"/>
          </w:tcPr>
          <w:p>
            <w:pPr>
              <w:jc w:val="right"/>
              <w:spacing w:after="0"/>
              <w:rPr>
                <w:rFonts w:ascii="Arial" w:cs="Arial" w:eastAsia="Arial" w:hAnsi="Arial"/>
                <w:sz w:val="12"/>
                <w:szCs w:val="12"/>
                <w:color w:val="0000EE"/>
              </w:rPr>
            </w:pPr>
            <w:hyperlink w:anchor="page51">
              <w:r>
                <w:rPr>
                  <w:rFonts w:ascii="Arial" w:cs="Arial" w:eastAsia="Arial" w:hAnsi="Arial"/>
                  <w:sz w:val="12"/>
                  <w:szCs w:val="12"/>
                  <w:color w:val="0000EE"/>
                </w:rPr>
                <w:t>51</w:t>
              </w:r>
            </w:hyperlink>
          </w:p>
        </w:tc>
      </w:tr>
      <w:tr>
        <w:trPr>
          <w:trHeight w:val="20"/>
        </w:trPr>
        <w:tc>
          <w:tcPr>
            <w:tcW w:w="1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1900" w:type="dxa"/>
            <w:vAlign w:val="bottom"/>
            <w:tcBorders>
              <w:left w:val="single" w:sz="8" w:color="0000EE"/>
            </w:tcBorders>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60"/>
        </w:trPr>
        <w:tc>
          <w:tcPr>
            <w:tcW w:w="160" w:type="dxa"/>
            <w:vAlign w:val="bottom"/>
          </w:tcPr>
          <w:p>
            <w:pPr>
              <w:spacing w:after="0"/>
              <w:rPr>
                <w:sz w:val="13"/>
                <w:szCs w:val="13"/>
                <w:color w:val="auto"/>
              </w:rPr>
            </w:pPr>
          </w:p>
        </w:tc>
        <w:tc>
          <w:tcPr>
            <w:tcW w:w="4600" w:type="dxa"/>
            <w:vAlign w:val="bottom"/>
            <w:gridSpan w:val="14"/>
          </w:tcPr>
          <w:p>
            <w:pPr>
              <w:spacing w:after="0"/>
              <w:rPr>
                <w:sz w:val="20"/>
                <w:szCs w:val="20"/>
                <w:color w:val="auto"/>
              </w:rPr>
            </w:pPr>
            <w:r>
              <w:rPr>
                <w:rFonts w:ascii="Arial" w:cs="Arial" w:eastAsia="Arial" w:hAnsi="Arial"/>
                <w:sz w:val="12"/>
                <w:szCs w:val="12"/>
                <w:color w:val="0000EE"/>
              </w:rPr>
              <w:t>ITEM 4 — CONTROLS AND PROCEDURES</w:t>
            </w:r>
          </w:p>
        </w:tc>
        <w:tc>
          <w:tcPr>
            <w:tcW w:w="1900" w:type="dxa"/>
            <w:vAlign w:val="bottom"/>
          </w:tcPr>
          <w:p>
            <w:pPr>
              <w:spacing w:after="0"/>
              <w:rPr>
                <w:sz w:val="13"/>
                <w:szCs w:val="13"/>
                <w:color w:val="auto"/>
              </w:rPr>
            </w:pPr>
          </w:p>
        </w:tc>
        <w:tc>
          <w:tcPr>
            <w:tcW w:w="4780" w:type="dxa"/>
            <w:vAlign w:val="bottom"/>
            <w:gridSpan w:val="2"/>
          </w:tcPr>
          <w:p>
            <w:pPr>
              <w:jc w:val="right"/>
              <w:spacing w:after="0"/>
              <w:rPr>
                <w:rFonts w:ascii="Arial" w:cs="Arial" w:eastAsia="Arial" w:hAnsi="Arial"/>
                <w:sz w:val="12"/>
                <w:szCs w:val="12"/>
                <w:color w:val="0000EE"/>
              </w:rPr>
            </w:pPr>
            <w:hyperlink w:anchor="page52">
              <w:r>
                <w:rPr>
                  <w:rFonts w:ascii="Arial" w:cs="Arial" w:eastAsia="Arial" w:hAnsi="Arial"/>
                  <w:sz w:val="12"/>
                  <w:szCs w:val="12"/>
                  <w:color w:val="0000EE"/>
                </w:rPr>
                <w:t>52</w:t>
              </w:r>
            </w:hyperlink>
          </w:p>
        </w:tc>
      </w:tr>
      <w:tr>
        <w:trPr>
          <w:trHeight w:val="20"/>
        </w:trPr>
        <w:tc>
          <w:tcPr>
            <w:tcW w:w="1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60"/>
        </w:trPr>
        <w:tc>
          <w:tcPr>
            <w:tcW w:w="1960" w:type="dxa"/>
            <w:vAlign w:val="bottom"/>
            <w:gridSpan w:val="7"/>
          </w:tcPr>
          <w:p>
            <w:pPr>
              <w:spacing w:after="0"/>
              <w:rPr>
                <w:sz w:val="20"/>
                <w:szCs w:val="20"/>
                <w:color w:val="auto"/>
              </w:rPr>
            </w:pPr>
            <w:r>
              <w:rPr>
                <w:rFonts w:ascii="Arial" w:cs="Arial" w:eastAsia="Arial" w:hAnsi="Arial"/>
                <w:sz w:val="12"/>
                <w:szCs w:val="12"/>
                <w:b w:val="1"/>
                <w:bCs w:val="1"/>
                <w:color w:val="0000EE"/>
              </w:rPr>
              <w:t>PART II — OTHER INFORMATION</w:t>
            </w:r>
          </w:p>
        </w:tc>
        <w:tc>
          <w:tcPr>
            <w:tcW w:w="4700" w:type="dxa"/>
            <w:vAlign w:val="bottom"/>
            <w:gridSpan w:val="9"/>
          </w:tcPr>
          <w:p>
            <w:pPr>
              <w:spacing w:after="0"/>
              <w:rPr>
                <w:sz w:val="13"/>
                <w:szCs w:val="13"/>
                <w:color w:val="auto"/>
              </w:rPr>
            </w:pPr>
          </w:p>
        </w:tc>
        <w:tc>
          <w:tcPr>
            <w:tcW w:w="4780" w:type="dxa"/>
            <w:vAlign w:val="bottom"/>
            <w:gridSpan w:val="2"/>
          </w:tcPr>
          <w:p>
            <w:pPr>
              <w:jc w:val="right"/>
              <w:spacing w:after="0"/>
              <w:rPr>
                <w:rFonts w:ascii="Arial" w:cs="Arial" w:eastAsia="Arial" w:hAnsi="Arial"/>
                <w:sz w:val="12"/>
                <w:szCs w:val="12"/>
                <w:color w:val="0000EE"/>
              </w:rPr>
            </w:pPr>
            <w:hyperlink w:anchor="page53">
              <w:r>
                <w:rPr>
                  <w:rFonts w:ascii="Arial" w:cs="Arial" w:eastAsia="Arial" w:hAnsi="Arial"/>
                  <w:sz w:val="12"/>
                  <w:szCs w:val="12"/>
                  <w:color w:val="0000EE"/>
                </w:rPr>
                <w:t>53</w:t>
              </w:r>
            </w:hyperlink>
          </w:p>
        </w:tc>
      </w:tr>
      <w:tr>
        <w:trPr>
          <w:trHeight w:val="20"/>
        </w:trPr>
        <w:tc>
          <w:tcPr>
            <w:tcW w:w="1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60"/>
        </w:trPr>
        <w:tc>
          <w:tcPr>
            <w:tcW w:w="160" w:type="dxa"/>
            <w:vAlign w:val="bottom"/>
          </w:tcPr>
          <w:p>
            <w:pPr>
              <w:spacing w:after="0"/>
              <w:rPr>
                <w:sz w:val="13"/>
                <w:szCs w:val="13"/>
                <w:color w:val="auto"/>
              </w:rPr>
            </w:pPr>
          </w:p>
        </w:tc>
        <w:tc>
          <w:tcPr>
            <w:tcW w:w="6500" w:type="dxa"/>
            <w:vAlign w:val="bottom"/>
            <w:gridSpan w:val="15"/>
          </w:tcPr>
          <w:p>
            <w:pPr>
              <w:spacing w:after="0"/>
              <w:rPr>
                <w:sz w:val="20"/>
                <w:szCs w:val="20"/>
                <w:color w:val="auto"/>
              </w:rPr>
            </w:pPr>
            <w:r>
              <w:rPr>
                <w:rFonts w:ascii="Arial" w:cs="Arial" w:eastAsia="Arial" w:hAnsi="Arial"/>
                <w:sz w:val="12"/>
                <w:szCs w:val="12"/>
                <w:color w:val="0000EE"/>
              </w:rPr>
              <w:t>ITEM 1 — LEGAL PROCEEDINGS</w:t>
            </w:r>
          </w:p>
        </w:tc>
        <w:tc>
          <w:tcPr>
            <w:tcW w:w="4780" w:type="dxa"/>
            <w:vAlign w:val="bottom"/>
            <w:gridSpan w:val="2"/>
          </w:tcPr>
          <w:p>
            <w:pPr>
              <w:jc w:val="right"/>
              <w:spacing w:after="0"/>
              <w:rPr>
                <w:rFonts w:ascii="Arial" w:cs="Arial" w:eastAsia="Arial" w:hAnsi="Arial"/>
                <w:sz w:val="12"/>
                <w:szCs w:val="12"/>
                <w:color w:val="0000EE"/>
              </w:rPr>
            </w:pPr>
            <w:hyperlink w:anchor="page53">
              <w:r>
                <w:rPr>
                  <w:rFonts w:ascii="Arial" w:cs="Arial" w:eastAsia="Arial" w:hAnsi="Arial"/>
                  <w:sz w:val="12"/>
                  <w:szCs w:val="12"/>
                  <w:color w:val="0000EE"/>
                </w:rPr>
                <w:t>53</w:t>
              </w:r>
            </w:hyperlink>
          </w:p>
        </w:tc>
      </w:tr>
      <w:tr>
        <w:trPr>
          <w:trHeight w:val="20"/>
        </w:trPr>
        <w:tc>
          <w:tcPr>
            <w:tcW w:w="1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60"/>
        </w:trPr>
        <w:tc>
          <w:tcPr>
            <w:tcW w:w="160" w:type="dxa"/>
            <w:vAlign w:val="bottom"/>
          </w:tcPr>
          <w:p>
            <w:pPr>
              <w:spacing w:after="0"/>
              <w:rPr>
                <w:sz w:val="13"/>
                <w:szCs w:val="13"/>
                <w:color w:val="auto"/>
              </w:rPr>
            </w:pPr>
          </w:p>
        </w:tc>
        <w:tc>
          <w:tcPr>
            <w:tcW w:w="1480" w:type="dxa"/>
            <w:vAlign w:val="bottom"/>
            <w:gridSpan w:val="5"/>
          </w:tcPr>
          <w:p>
            <w:pPr>
              <w:spacing w:after="0"/>
              <w:rPr>
                <w:sz w:val="20"/>
                <w:szCs w:val="20"/>
                <w:color w:val="auto"/>
              </w:rPr>
            </w:pPr>
            <w:r>
              <w:rPr>
                <w:rFonts w:ascii="Arial" w:cs="Arial" w:eastAsia="Arial" w:hAnsi="Arial"/>
                <w:sz w:val="12"/>
                <w:szCs w:val="12"/>
                <w:color w:val="0000EE"/>
                <w:w w:val="94"/>
              </w:rPr>
              <w:t>ITEM 1A — RISK FACTORS</w:t>
            </w:r>
          </w:p>
        </w:tc>
        <w:tc>
          <w:tcPr>
            <w:tcW w:w="320" w:type="dxa"/>
            <w:vAlign w:val="bottom"/>
          </w:tcPr>
          <w:p>
            <w:pPr>
              <w:spacing w:after="0"/>
              <w:rPr>
                <w:sz w:val="13"/>
                <w:szCs w:val="13"/>
                <w:color w:val="auto"/>
              </w:rPr>
            </w:pPr>
          </w:p>
        </w:tc>
        <w:tc>
          <w:tcPr>
            <w:tcW w:w="4700" w:type="dxa"/>
            <w:vAlign w:val="bottom"/>
            <w:gridSpan w:val="9"/>
          </w:tcPr>
          <w:p>
            <w:pPr>
              <w:spacing w:after="0"/>
              <w:rPr>
                <w:sz w:val="13"/>
                <w:szCs w:val="13"/>
                <w:color w:val="auto"/>
              </w:rPr>
            </w:pPr>
          </w:p>
        </w:tc>
        <w:tc>
          <w:tcPr>
            <w:tcW w:w="4780" w:type="dxa"/>
            <w:vAlign w:val="bottom"/>
            <w:gridSpan w:val="2"/>
          </w:tcPr>
          <w:p>
            <w:pPr>
              <w:jc w:val="right"/>
              <w:spacing w:after="0"/>
              <w:rPr>
                <w:rFonts w:ascii="Arial" w:cs="Arial" w:eastAsia="Arial" w:hAnsi="Arial"/>
                <w:sz w:val="12"/>
                <w:szCs w:val="12"/>
                <w:color w:val="0000EE"/>
              </w:rPr>
            </w:pPr>
            <w:hyperlink w:anchor="page53">
              <w:r>
                <w:rPr>
                  <w:rFonts w:ascii="Arial" w:cs="Arial" w:eastAsia="Arial" w:hAnsi="Arial"/>
                  <w:sz w:val="12"/>
                  <w:szCs w:val="12"/>
                  <w:color w:val="0000EE"/>
                </w:rPr>
                <w:t>53</w:t>
              </w:r>
            </w:hyperlink>
          </w:p>
        </w:tc>
      </w:tr>
      <w:tr>
        <w:trPr>
          <w:trHeight w:val="20"/>
        </w:trPr>
        <w:tc>
          <w:tcPr>
            <w:tcW w:w="1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60"/>
        </w:trPr>
        <w:tc>
          <w:tcPr>
            <w:tcW w:w="160" w:type="dxa"/>
            <w:vAlign w:val="bottom"/>
          </w:tcPr>
          <w:p>
            <w:pPr>
              <w:spacing w:after="0"/>
              <w:rPr>
                <w:sz w:val="13"/>
                <w:szCs w:val="13"/>
                <w:color w:val="auto"/>
              </w:rPr>
            </w:pPr>
          </w:p>
        </w:tc>
        <w:tc>
          <w:tcPr>
            <w:tcW w:w="6500" w:type="dxa"/>
            <w:vAlign w:val="bottom"/>
            <w:gridSpan w:val="15"/>
          </w:tcPr>
          <w:p>
            <w:pPr>
              <w:spacing w:after="0"/>
              <w:rPr>
                <w:sz w:val="20"/>
                <w:szCs w:val="20"/>
                <w:color w:val="auto"/>
              </w:rPr>
            </w:pPr>
            <w:r>
              <w:rPr>
                <w:rFonts w:ascii="Arial" w:cs="Arial" w:eastAsia="Arial" w:hAnsi="Arial"/>
                <w:sz w:val="12"/>
                <w:szCs w:val="12"/>
                <w:color w:val="0000EE"/>
              </w:rPr>
              <w:t>ITEM 2 — UNREGISTERED SALES OF EQUITY SECURITIES AND USE OF PROCEEDS</w:t>
            </w:r>
          </w:p>
        </w:tc>
        <w:tc>
          <w:tcPr>
            <w:tcW w:w="4780" w:type="dxa"/>
            <w:vAlign w:val="bottom"/>
            <w:gridSpan w:val="2"/>
          </w:tcPr>
          <w:p>
            <w:pPr>
              <w:jc w:val="right"/>
              <w:spacing w:after="0"/>
              <w:rPr>
                <w:rFonts w:ascii="Arial" w:cs="Arial" w:eastAsia="Arial" w:hAnsi="Arial"/>
                <w:sz w:val="12"/>
                <w:szCs w:val="12"/>
                <w:color w:val="0000EE"/>
              </w:rPr>
            </w:pPr>
            <w:hyperlink w:anchor="page53">
              <w:r>
                <w:rPr>
                  <w:rFonts w:ascii="Arial" w:cs="Arial" w:eastAsia="Arial" w:hAnsi="Arial"/>
                  <w:sz w:val="12"/>
                  <w:szCs w:val="12"/>
                  <w:color w:val="0000EE"/>
                </w:rPr>
                <w:t>53</w:t>
              </w:r>
            </w:hyperlink>
          </w:p>
        </w:tc>
      </w:tr>
      <w:tr>
        <w:trPr>
          <w:trHeight w:val="20"/>
        </w:trPr>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60"/>
        </w:trPr>
        <w:tc>
          <w:tcPr>
            <w:tcW w:w="1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color w:val="0000EE"/>
                <w:w w:val="98"/>
              </w:rPr>
              <w:t>ITEM 3</w:t>
            </w:r>
          </w:p>
        </w:tc>
        <w:tc>
          <w:tcPr>
            <w:tcW w:w="2280" w:type="dxa"/>
            <w:vAlign w:val="bottom"/>
            <w:gridSpan w:val="10"/>
          </w:tcPr>
          <w:p>
            <w:pPr>
              <w:spacing w:after="0"/>
              <w:rPr>
                <w:sz w:val="20"/>
                <w:szCs w:val="20"/>
                <w:color w:val="auto"/>
              </w:rPr>
            </w:pPr>
            <w:r>
              <w:rPr>
                <w:rFonts w:ascii="Arial" w:cs="Arial" w:eastAsia="Arial" w:hAnsi="Arial"/>
                <w:sz w:val="12"/>
                <w:szCs w:val="12"/>
                <w:color w:val="0000EE"/>
                <w:w w:val="93"/>
              </w:rPr>
              <w:t>— DEFAULTS UPON SENIOR SECURITIES</w:t>
            </w:r>
          </w:p>
        </w:tc>
        <w:tc>
          <w:tcPr>
            <w:tcW w:w="1920" w:type="dxa"/>
            <w:vAlign w:val="bottom"/>
            <w:gridSpan w:val="3"/>
          </w:tcPr>
          <w:p>
            <w:pPr>
              <w:spacing w:after="0"/>
              <w:rPr>
                <w:sz w:val="13"/>
                <w:szCs w:val="13"/>
                <w:color w:val="auto"/>
              </w:rPr>
            </w:pPr>
          </w:p>
        </w:tc>
        <w:tc>
          <w:tcPr>
            <w:tcW w:w="1900" w:type="dxa"/>
            <w:vAlign w:val="bottom"/>
          </w:tcPr>
          <w:p>
            <w:pPr>
              <w:spacing w:after="0"/>
              <w:rPr>
                <w:sz w:val="13"/>
                <w:szCs w:val="13"/>
                <w:color w:val="auto"/>
              </w:rPr>
            </w:pPr>
          </w:p>
        </w:tc>
        <w:tc>
          <w:tcPr>
            <w:tcW w:w="4780" w:type="dxa"/>
            <w:vAlign w:val="bottom"/>
            <w:gridSpan w:val="2"/>
          </w:tcPr>
          <w:p>
            <w:pPr>
              <w:jc w:val="right"/>
              <w:spacing w:after="0"/>
              <w:rPr>
                <w:rFonts w:ascii="Arial" w:cs="Arial" w:eastAsia="Arial" w:hAnsi="Arial"/>
                <w:sz w:val="12"/>
                <w:szCs w:val="12"/>
                <w:color w:val="0000EE"/>
              </w:rPr>
            </w:pPr>
            <w:hyperlink w:anchor="page53">
              <w:r>
                <w:rPr>
                  <w:rFonts w:ascii="Arial" w:cs="Arial" w:eastAsia="Arial" w:hAnsi="Arial"/>
                  <w:sz w:val="12"/>
                  <w:szCs w:val="12"/>
                  <w:color w:val="0000EE"/>
                </w:rPr>
                <w:t>53</w:t>
              </w:r>
            </w:hyperlink>
          </w:p>
        </w:tc>
      </w:tr>
      <w:tr>
        <w:trPr>
          <w:trHeight w:val="20"/>
        </w:trPr>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60"/>
        </w:trPr>
        <w:tc>
          <w:tcPr>
            <w:tcW w:w="1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color w:val="0000EE"/>
                <w:w w:val="98"/>
              </w:rPr>
              <w:t>ITEM 4</w:t>
            </w:r>
          </w:p>
        </w:tc>
        <w:tc>
          <w:tcPr>
            <w:tcW w:w="2280" w:type="dxa"/>
            <w:vAlign w:val="bottom"/>
            <w:gridSpan w:val="10"/>
          </w:tcPr>
          <w:p>
            <w:pPr>
              <w:spacing w:after="0"/>
              <w:rPr>
                <w:sz w:val="20"/>
                <w:szCs w:val="20"/>
                <w:color w:val="auto"/>
              </w:rPr>
            </w:pPr>
            <w:r>
              <w:rPr>
                <w:rFonts w:ascii="Arial" w:cs="Arial" w:eastAsia="Arial" w:hAnsi="Arial"/>
                <w:sz w:val="12"/>
                <w:szCs w:val="12"/>
                <w:color w:val="0000EE"/>
              </w:rPr>
              <w:t>— MINE SAFETY DISCLOSURES</w:t>
            </w:r>
          </w:p>
        </w:tc>
        <w:tc>
          <w:tcPr>
            <w:tcW w:w="3820" w:type="dxa"/>
            <w:vAlign w:val="bottom"/>
            <w:gridSpan w:val="4"/>
          </w:tcPr>
          <w:p>
            <w:pPr>
              <w:spacing w:after="0"/>
              <w:rPr>
                <w:sz w:val="13"/>
                <w:szCs w:val="13"/>
                <w:color w:val="auto"/>
              </w:rPr>
            </w:pPr>
          </w:p>
        </w:tc>
        <w:tc>
          <w:tcPr>
            <w:tcW w:w="4780" w:type="dxa"/>
            <w:vAlign w:val="bottom"/>
            <w:gridSpan w:val="2"/>
          </w:tcPr>
          <w:p>
            <w:pPr>
              <w:jc w:val="right"/>
              <w:spacing w:after="0"/>
              <w:rPr>
                <w:rFonts w:ascii="Arial" w:cs="Arial" w:eastAsia="Arial" w:hAnsi="Arial"/>
                <w:sz w:val="12"/>
                <w:szCs w:val="12"/>
                <w:color w:val="0000EE"/>
              </w:rPr>
            </w:pPr>
            <w:hyperlink w:anchor="page53">
              <w:r>
                <w:rPr>
                  <w:rFonts w:ascii="Arial" w:cs="Arial" w:eastAsia="Arial" w:hAnsi="Arial"/>
                  <w:sz w:val="12"/>
                  <w:szCs w:val="12"/>
                  <w:color w:val="0000EE"/>
                </w:rPr>
                <w:t>53</w:t>
              </w:r>
            </w:hyperlink>
          </w:p>
        </w:tc>
      </w:tr>
      <w:tr>
        <w:trPr>
          <w:trHeight w:val="20"/>
        </w:trPr>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320" w:type="dxa"/>
            <w:vAlign w:val="bottom"/>
            <w:gridSpan w:val="6"/>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60"/>
        </w:trPr>
        <w:tc>
          <w:tcPr>
            <w:tcW w:w="1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color w:val="0000EE"/>
                <w:w w:val="98"/>
              </w:rPr>
              <w:t>ITEM 5</w:t>
            </w:r>
          </w:p>
        </w:tc>
        <w:tc>
          <w:tcPr>
            <w:tcW w:w="1420" w:type="dxa"/>
            <w:vAlign w:val="bottom"/>
            <w:gridSpan w:val="6"/>
          </w:tcPr>
          <w:p>
            <w:pPr>
              <w:spacing w:after="0"/>
              <w:rPr>
                <w:sz w:val="20"/>
                <w:szCs w:val="20"/>
                <w:color w:val="auto"/>
              </w:rPr>
            </w:pPr>
            <w:r>
              <w:rPr>
                <w:rFonts w:ascii="Arial" w:cs="Arial" w:eastAsia="Arial" w:hAnsi="Arial"/>
                <w:sz w:val="12"/>
                <w:szCs w:val="12"/>
                <w:color w:val="0000EE"/>
                <w:w w:val="96"/>
              </w:rPr>
              <w:t>— OTHER INFORMATION</w:t>
            </w:r>
          </w:p>
        </w:tc>
        <w:tc>
          <w:tcPr>
            <w:tcW w:w="360" w:type="dxa"/>
            <w:vAlign w:val="bottom"/>
            <w:gridSpan w:val="2"/>
          </w:tcPr>
          <w:p>
            <w:pPr>
              <w:spacing w:after="0"/>
              <w:rPr>
                <w:sz w:val="13"/>
                <w:szCs w:val="13"/>
                <w:color w:val="auto"/>
              </w:rPr>
            </w:pPr>
          </w:p>
        </w:tc>
        <w:tc>
          <w:tcPr>
            <w:tcW w:w="4320" w:type="dxa"/>
            <w:vAlign w:val="bottom"/>
            <w:gridSpan w:val="6"/>
          </w:tcPr>
          <w:p>
            <w:pPr>
              <w:spacing w:after="0"/>
              <w:rPr>
                <w:sz w:val="13"/>
                <w:szCs w:val="13"/>
                <w:color w:val="auto"/>
              </w:rPr>
            </w:pPr>
          </w:p>
        </w:tc>
        <w:tc>
          <w:tcPr>
            <w:tcW w:w="4780" w:type="dxa"/>
            <w:vAlign w:val="bottom"/>
            <w:gridSpan w:val="2"/>
          </w:tcPr>
          <w:p>
            <w:pPr>
              <w:jc w:val="right"/>
              <w:spacing w:after="0"/>
              <w:rPr>
                <w:rFonts w:ascii="Arial" w:cs="Arial" w:eastAsia="Arial" w:hAnsi="Arial"/>
                <w:sz w:val="12"/>
                <w:szCs w:val="12"/>
                <w:color w:val="0000EE"/>
              </w:rPr>
            </w:pPr>
            <w:hyperlink w:anchor="page53">
              <w:r>
                <w:rPr>
                  <w:rFonts w:ascii="Arial" w:cs="Arial" w:eastAsia="Arial" w:hAnsi="Arial"/>
                  <w:sz w:val="12"/>
                  <w:szCs w:val="12"/>
                  <w:color w:val="0000EE"/>
                </w:rPr>
                <w:t>53</w:t>
              </w:r>
            </w:hyperlink>
          </w:p>
        </w:tc>
      </w:tr>
      <w:tr>
        <w:trPr>
          <w:trHeight w:val="20"/>
        </w:trPr>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680" w:type="dxa"/>
            <w:vAlign w:val="bottom"/>
            <w:gridSpan w:val="8"/>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60"/>
        </w:trPr>
        <w:tc>
          <w:tcPr>
            <w:tcW w:w="1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color w:val="0000EE"/>
                <w:w w:val="98"/>
              </w:rPr>
              <w:t>ITEM 6</w:t>
            </w:r>
          </w:p>
        </w:tc>
        <w:tc>
          <w:tcPr>
            <w:tcW w:w="1420" w:type="dxa"/>
            <w:vAlign w:val="bottom"/>
            <w:gridSpan w:val="6"/>
          </w:tcPr>
          <w:p>
            <w:pPr>
              <w:spacing w:after="0"/>
              <w:rPr>
                <w:sz w:val="20"/>
                <w:szCs w:val="20"/>
                <w:color w:val="auto"/>
              </w:rPr>
            </w:pPr>
            <w:r>
              <w:rPr>
                <w:rFonts w:ascii="Arial" w:cs="Arial" w:eastAsia="Arial" w:hAnsi="Arial"/>
                <w:sz w:val="12"/>
                <w:szCs w:val="12"/>
                <w:color w:val="0000EE"/>
              </w:rPr>
              <w:t>— EXHIBITS</w:t>
            </w:r>
          </w:p>
        </w:tc>
        <w:tc>
          <w:tcPr>
            <w:tcW w:w="4680" w:type="dxa"/>
            <w:vAlign w:val="bottom"/>
            <w:gridSpan w:val="8"/>
          </w:tcPr>
          <w:p>
            <w:pPr>
              <w:spacing w:after="0"/>
              <w:rPr>
                <w:sz w:val="13"/>
                <w:szCs w:val="13"/>
                <w:color w:val="auto"/>
              </w:rPr>
            </w:pPr>
          </w:p>
        </w:tc>
        <w:tc>
          <w:tcPr>
            <w:tcW w:w="4780" w:type="dxa"/>
            <w:vAlign w:val="bottom"/>
            <w:gridSpan w:val="2"/>
          </w:tcPr>
          <w:p>
            <w:pPr>
              <w:jc w:val="right"/>
              <w:spacing w:after="0"/>
              <w:rPr>
                <w:rFonts w:ascii="Arial" w:cs="Arial" w:eastAsia="Arial" w:hAnsi="Arial"/>
                <w:sz w:val="12"/>
                <w:szCs w:val="12"/>
                <w:color w:val="0000EE"/>
              </w:rPr>
            </w:pPr>
            <w:hyperlink w:anchor="page54">
              <w:r>
                <w:rPr>
                  <w:rFonts w:ascii="Arial" w:cs="Arial" w:eastAsia="Arial" w:hAnsi="Arial"/>
                  <w:sz w:val="12"/>
                  <w:szCs w:val="12"/>
                  <w:color w:val="0000EE"/>
                </w:rPr>
                <w:t>54</w:t>
              </w:r>
            </w:hyperlink>
          </w:p>
        </w:tc>
      </w:tr>
      <w:tr>
        <w:trPr>
          <w:trHeight w:val="20"/>
        </w:trPr>
        <w:tc>
          <w:tcPr>
            <w:tcW w:w="1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00" w:type="dxa"/>
            <w:vAlign w:val="bottom"/>
            <w:gridSpan w:val="12"/>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60"/>
        </w:trPr>
        <w:tc>
          <w:tcPr>
            <w:tcW w:w="160" w:type="dxa"/>
            <w:vAlign w:val="bottom"/>
          </w:tcPr>
          <w:p>
            <w:pPr>
              <w:spacing w:after="0"/>
              <w:rPr>
                <w:sz w:val="13"/>
                <w:szCs w:val="13"/>
                <w:color w:val="auto"/>
              </w:rPr>
            </w:pPr>
          </w:p>
        </w:tc>
        <w:tc>
          <w:tcPr>
            <w:tcW w:w="1100" w:type="dxa"/>
            <w:vAlign w:val="bottom"/>
            <w:gridSpan w:val="3"/>
          </w:tcPr>
          <w:p>
            <w:pPr>
              <w:spacing w:after="0"/>
              <w:rPr>
                <w:sz w:val="20"/>
                <w:szCs w:val="20"/>
                <w:color w:val="auto"/>
              </w:rPr>
            </w:pPr>
            <w:r>
              <w:rPr>
                <w:rFonts w:ascii="Arial" w:cs="Arial" w:eastAsia="Arial" w:hAnsi="Arial"/>
                <w:sz w:val="12"/>
                <w:szCs w:val="12"/>
                <w:b w:val="1"/>
                <w:bCs w:val="1"/>
                <w:color w:val="0000EE"/>
              </w:rPr>
              <w:t>SIGNATURES</w:t>
            </w:r>
          </w:p>
        </w:tc>
        <w:tc>
          <w:tcPr>
            <w:tcW w:w="5400" w:type="dxa"/>
            <w:vAlign w:val="bottom"/>
            <w:gridSpan w:val="12"/>
          </w:tcPr>
          <w:p>
            <w:pPr>
              <w:spacing w:after="0"/>
              <w:rPr>
                <w:sz w:val="13"/>
                <w:szCs w:val="13"/>
                <w:color w:val="auto"/>
              </w:rPr>
            </w:pPr>
          </w:p>
        </w:tc>
        <w:tc>
          <w:tcPr>
            <w:tcW w:w="4780" w:type="dxa"/>
            <w:vAlign w:val="bottom"/>
            <w:gridSpan w:val="2"/>
          </w:tcPr>
          <w:p>
            <w:pPr>
              <w:jc w:val="right"/>
              <w:spacing w:after="0"/>
              <w:rPr>
                <w:rFonts w:ascii="Arial" w:cs="Arial" w:eastAsia="Arial" w:hAnsi="Arial"/>
                <w:sz w:val="12"/>
                <w:szCs w:val="12"/>
                <w:color w:val="0000EE"/>
              </w:rPr>
            </w:pPr>
            <w:hyperlink w:anchor="page55">
              <w:r>
                <w:rPr>
                  <w:rFonts w:ascii="Arial" w:cs="Arial" w:eastAsia="Arial" w:hAnsi="Arial"/>
                  <w:sz w:val="12"/>
                  <w:szCs w:val="12"/>
                  <w:color w:val="0000EE"/>
                </w:rPr>
                <w:t>55</w:t>
              </w:r>
            </w:hyperlink>
          </w:p>
        </w:tc>
      </w:tr>
      <w:tr>
        <w:trPr>
          <w:trHeight w:val="565"/>
        </w:trPr>
        <w:tc>
          <w:tcPr>
            <w:tcW w:w="16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5740" w:type="dxa"/>
            <w:vAlign w:val="bottom"/>
            <w:gridSpan w:val="13"/>
          </w:tcPr>
          <w:p>
            <w:pPr>
              <w:jc w:val="right"/>
              <w:ind w:right="920"/>
              <w:spacing w:after="0"/>
              <w:rPr>
                <w:sz w:val="20"/>
                <w:szCs w:val="20"/>
                <w:color w:val="auto"/>
              </w:rPr>
            </w:pPr>
            <w:r>
              <w:rPr>
                <w:rFonts w:ascii="Arial" w:cs="Arial" w:eastAsia="Arial" w:hAnsi="Arial"/>
                <w:sz w:val="12"/>
                <w:szCs w:val="12"/>
                <w:color w:val="auto"/>
              </w:rPr>
              <w:t>2</w:t>
            </w:r>
          </w:p>
        </w:tc>
        <w:tc>
          <w:tcPr>
            <w:tcW w:w="466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r>
    </w:tbl>
    <w:p>
      <w:pPr>
        <w:sectPr>
          <w:pgSz w:w="11900" w:h="16838" w:orient="portrait"/>
          <w:cols w:equalWidth="0" w:num="1">
            <w:col w:w="11440"/>
          </w:cols>
          <w:pgMar w:left="240" w:top="721"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b w:val="1"/>
          <w:bCs w:val="1"/>
          <w:color w:val="auto"/>
        </w:rPr>
        <w:t>CAUTIONARY STATEMENT REGARDING FORWARD-LOOKING INFORMATION</w:t>
      </w:r>
    </w:p>
    <w:p>
      <w:pPr>
        <w:spacing w:after="0" w:line="82"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1"/>
          <w:szCs w:val="11"/>
          <w:color w:val="auto"/>
        </w:rPr>
        <w:t xml:space="preserve">This Quarterly Report on Form 10-Q of NRG Yield, Inc.,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Arial" w:cs="Arial" w:eastAsia="Arial" w:hAnsi="Arial"/>
          <w:sz w:val="11"/>
          <w:szCs w:val="11"/>
          <w:i w:val="1"/>
          <w:iCs w:val="1"/>
          <w:color w:val="auto"/>
        </w:rPr>
        <w:t>Risk Factors</w:t>
      </w:r>
      <w:r>
        <w:rPr>
          <w:rFonts w:ascii="Arial" w:cs="Arial" w:eastAsia="Arial" w:hAnsi="Arial"/>
          <w:sz w:val="11"/>
          <w:szCs w:val="11"/>
          <w:color w:val="auto"/>
        </w:rPr>
        <w:t xml:space="preserve"> in Part I, of the Company's Annual Report on Form 10-K for the year ended December 31, 2017, as well as the following:</w:t>
      </w:r>
    </w:p>
    <w:p>
      <w:pPr>
        <w:spacing w:after="0" w:line="75" w:lineRule="exact"/>
        <w:rPr>
          <w:sz w:val="20"/>
          <w:szCs w:val="20"/>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Company's ability to maintain and grow its quarterly dividend;</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Potential risks to the Company as a result of the NRG Transaction;</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Company's ability to successfully identify, evaluate and consummate acquisitions from third parties;</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Company's ability to acquire assets from NRG and, following the consummation of the NRG Transaction, the Company's ability to acquire assets under a new right of first offer agreement;</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Company's ability to raise additional capital due to its indebtedness, corporate structure, market conditions or otherwise;</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Changes in law, including judicial decisions;</w:t>
      </w:r>
    </w:p>
    <w:p>
      <w:pPr>
        <w:spacing w:after="0" w:line="42" w:lineRule="exact"/>
        <w:rPr>
          <w:rFonts w:ascii="Arial" w:cs="Arial" w:eastAsia="Arial" w:hAnsi="Arial"/>
          <w:sz w:val="12"/>
          <w:szCs w:val="12"/>
          <w:color w:val="auto"/>
        </w:rPr>
      </w:pPr>
    </w:p>
    <w:p>
      <w:pPr>
        <w:jc w:val="both"/>
        <w:ind w:left="420" w:hanging="212"/>
        <w:spacing w:after="0" w:line="296" w:lineRule="auto"/>
        <w:tabs>
          <w:tab w:leader="none" w:pos="420" w:val="left"/>
        </w:tabs>
        <w:numPr>
          <w:ilvl w:val="0"/>
          <w:numId w:val="3"/>
        </w:numPr>
        <w:rPr>
          <w:rFonts w:ascii="Arial" w:cs="Arial" w:eastAsia="Arial" w:hAnsi="Arial"/>
          <w:sz w:val="11"/>
          <w:szCs w:val="11"/>
          <w:color w:val="auto"/>
        </w:rPr>
      </w:pPr>
      <w:r>
        <w:rPr>
          <w:rFonts w:ascii="Arial" w:cs="Arial" w:eastAsia="Arial" w:hAnsi="Arial"/>
          <w:sz w:val="11"/>
          <w:szCs w:val="11"/>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ind w:left="420" w:hanging="212"/>
        <w:spacing w:after="0" w:line="276" w:lineRule="auto"/>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Company's ability to operate its businesses efficiently, manage maintenance capital expenditures and costs effectively, and generate earnings and cash flows from its asset-based businesses in relation to its debt and other obligations;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willingness and ability of counterparties to the Company's offtake agreements to fulfill their obligations under such agreements;</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Company's ability to enter into contracts to sell power and procure fuel on acceptable terms and prices as current offtake agreements expire;</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Government regulation, including compliance with regulatory requirements and changes in market rules, rates, tariffs and environmental laws;</w:t>
      </w:r>
    </w:p>
    <w:p>
      <w:pPr>
        <w:spacing w:after="0" w:line="42"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Operating and financial restrictions placed on the Company that are contained in the project-level debt facilities and other agreements of certain subsidiaries and project-level subsidiaries generally, in the NRG Yield Operating LLC amended and restated revolving credit facility, in the indentures governing the Senior Notes and in the indentures governing the Company's convertible notes;</w:t>
      </w:r>
    </w:p>
    <w:p>
      <w:pPr>
        <w:spacing w:after="0" w:line="6"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Company's ability to engage in successful mergers and acquisitions activity; and</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 Company's ability to borrow additional funds and access capital markets, as well as the Company's substantial indebtedness and the possibility that the Company may incur additional indebtedness going forward.</w:t>
      </w:r>
    </w:p>
    <w:p>
      <w:pPr>
        <w:spacing w:after="0" w:line="54"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Quarterly Report on Form 10-Q should not be construed as exhaustive.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480"/>
          </w:cols>
          <w:pgMar w:left="220" w:top="721" w:right="1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57"/>
        </w:trPr>
        <w:tc>
          <w:tcPr>
            <w:tcW w:w="2320" w:type="dxa"/>
            <w:vAlign w:val="bottom"/>
          </w:tcPr>
          <w:p>
            <w:pPr>
              <w:spacing w:after="0"/>
              <w:rPr>
                <w:sz w:val="13"/>
                <w:szCs w:val="13"/>
                <w:color w:val="auto"/>
              </w:rPr>
            </w:pPr>
          </w:p>
        </w:tc>
        <w:tc>
          <w:tcPr>
            <w:tcW w:w="9120" w:type="dxa"/>
            <w:vAlign w:val="bottom"/>
          </w:tcPr>
          <w:p>
            <w:pPr>
              <w:ind w:left="2740"/>
              <w:spacing w:after="0"/>
              <w:rPr>
                <w:sz w:val="20"/>
                <w:szCs w:val="20"/>
                <w:color w:val="auto"/>
              </w:rPr>
            </w:pPr>
            <w:r>
              <w:rPr>
                <w:rFonts w:ascii="Arial" w:cs="Arial" w:eastAsia="Arial" w:hAnsi="Arial"/>
                <w:sz w:val="12"/>
                <w:szCs w:val="12"/>
                <w:b w:val="1"/>
                <w:bCs w:val="1"/>
                <w:color w:val="auto"/>
              </w:rPr>
              <w:t>GLOSSARY OF TERMS</w:t>
            </w:r>
          </w:p>
        </w:tc>
        <w:tc>
          <w:tcPr>
            <w:tcW w:w="0" w:type="dxa"/>
            <w:vAlign w:val="bottom"/>
          </w:tcPr>
          <w:p>
            <w:pPr>
              <w:spacing w:after="0"/>
              <w:rPr>
                <w:sz w:val="1"/>
                <w:szCs w:val="1"/>
                <w:color w:val="auto"/>
              </w:rPr>
            </w:pPr>
          </w:p>
        </w:tc>
      </w:tr>
      <w:tr>
        <w:trPr>
          <w:trHeight w:val="252"/>
        </w:trPr>
        <w:tc>
          <w:tcPr>
            <w:tcW w:w="11440" w:type="dxa"/>
            <w:vAlign w:val="bottom"/>
            <w:gridSpan w:val="2"/>
          </w:tcPr>
          <w:p>
            <w:pPr>
              <w:ind w:left="160"/>
              <w:spacing w:after="0"/>
              <w:rPr>
                <w:sz w:val="20"/>
                <w:szCs w:val="20"/>
                <w:color w:val="auto"/>
              </w:rPr>
            </w:pPr>
            <w:r>
              <w:rPr>
                <w:rFonts w:ascii="Arial" w:cs="Arial" w:eastAsia="Arial" w:hAnsi="Arial"/>
                <w:sz w:val="12"/>
                <w:szCs w:val="12"/>
                <w:color w:val="auto"/>
              </w:rPr>
              <w:t>When the following terms and abbreviations appear in the text of this report, they have the meanings indicated below:</w:t>
            </w: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0"/>
                <w:szCs w:val="20"/>
                <w:color w:val="auto"/>
              </w:rPr>
            </w:pPr>
            <w:r>
              <w:rPr>
                <w:rFonts w:ascii="Arial" w:cs="Arial" w:eastAsia="Arial" w:hAnsi="Arial"/>
                <w:sz w:val="12"/>
                <w:szCs w:val="12"/>
                <w:color w:val="auto"/>
              </w:rPr>
              <w:t>2017 Form 10-K</w:t>
            </w:r>
          </w:p>
        </w:tc>
        <w:tc>
          <w:tcPr>
            <w:tcW w:w="9120" w:type="dxa"/>
            <w:vAlign w:val="bottom"/>
            <w:vMerge w:val="restart"/>
          </w:tcPr>
          <w:p>
            <w:pPr>
              <w:ind w:left="660"/>
              <w:spacing w:after="0"/>
              <w:rPr>
                <w:sz w:val="20"/>
                <w:szCs w:val="20"/>
                <w:color w:val="auto"/>
              </w:rPr>
            </w:pPr>
            <w:r>
              <w:rPr>
                <w:rFonts w:ascii="Arial" w:cs="Arial" w:eastAsia="Arial" w:hAnsi="Arial"/>
                <w:sz w:val="12"/>
                <w:szCs w:val="12"/>
                <w:color w:val="auto"/>
              </w:rPr>
              <w:t>NRG Yield, Inc.'s Annual Report on Form 10-K for the year ended December 31, 2017</w:t>
            </w:r>
          </w:p>
        </w:tc>
        <w:tc>
          <w:tcPr>
            <w:tcW w:w="0" w:type="dxa"/>
            <w:vAlign w:val="bottom"/>
          </w:tcPr>
          <w:p>
            <w:pPr>
              <w:spacing w:after="0"/>
              <w:rPr>
                <w:sz w:val="1"/>
                <w:szCs w:val="1"/>
                <w:color w:val="auto"/>
              </w:rPr>
            </w:pPr>
          </w:p>
        </w:tc>
      </w:tr>
      <w:tr>
        <w:trPr>
          <w:trHeight w:val="54"/>
        </w:trPr>
        <w:tc>
          <w:tcPr>
            <w:tcW w:w="2320" w:type="dxa"/>
            <w:vAlign w:val="bottom"/>
          </w:tcPr>
          <w:p>
            <w:pPr>
              <w:spacing w:after="0"/>
              <w:rPr>
                <w:sz w:val="4"/>
                <w:szCs w:val="4"/>
                <w:color w:val="auto"/>
              </w:rPr>
            </w:pPr>
          </w:p>
        </w:tc>
        <w:tc>
          <w:tcPr>
            <w:tcW w:w="9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320" w:type="dxa"/>
            <w:vAlign w:val="bottom"/>
          </w:tcPr>
          <w:p>
            <w:pPr>
              <w:spacing w:after="0"/>
              <w:rPr>
                <w:sz w:val="20"/>
                <w:szCs w:val="20"/>
                <w:color w:val="auto"/>
              </w:rPr>
            </w:pPr>
            <w:r>
              <w:rPr>
                <w:rFonts w:ascii="Arial" w:cs="Arial" w:eastAsia="Arial" w:hAnsi="Arial"/>
                <w:sz w:val="12"/>
                <w:szCs w:val="12"/>
                <w:color w:val="auto"/>
              </w:rPr>
              <w:t>2019 Convertible Notes</w:t>
            </w:r>
          </w:p>
        </w:tc>
        <w:tc>
          <w:tcPr>
            <w:tcW w:w="9120" w:type="dxa"/>
            <w:vAlign w:val="bottom"/>
          </w:tcPr>
          <w:p>
            <w:pPr>
              <w:ind w:left="660"/>
              <w:spacing w:after="0"/>
              <w:rPr>
                <w:sz w:val="20"/>
                <w:szCs w:val="20"/>
                <w:color w:val="auto"/>
              </w:rPr>
            </w:pPr>
            <w:r>
              <w:rPr>
                <w:rFonts w:ascii="Arial" w:cs="Arial" w:eastAsia="Arial" w:hAnsi="Arial"/>
                <w:sz w:val="12"/>
                <w:szCs w:val="12"/>
                <w:color w:val="auto"/>
              </w:rPr>
              <w:t>$345 million aggregate principal amount of 3.50% convertible notes due 2019, issued by NRG Yield, Inc.</w:t>
            </w:r>
          </w:p>
        </w:tc>
        <w:tc>
          <w:tcPr>
            <w:tcW w:w="0" w:type="dxa"/>
            <w:vAlign w:val="bottom"/>
          </w:tcPr>
          <w:p>
            <w:pPr>
              <w:spacing w:after="0"/>
              <w:rPr>
                <w:sz w:val="1"/>
                <w:szCs w:val="1"/>
                <w:color w:val="auto"/>
              </w:rPr>
            </w:pPr>
          </w:p>
        </w:tc>
      </w:tr>
      <w:tr>
        <w:trPr>
          <w:trHeight w:val="180"/>
        </w:trPr>
        <w:tc>
          <w:tcPr>
            <w:tcW w:w="2320" w:type="dxa"/>
            <w:vAlign w:val="bottom"/>
          </w:tcPr>
          <w:p>
            <w:pPr>
              <w:spacing w:after="0"/>
              <w:rPr>
                <w:sz w:val="20"/>
                <w:szCs w:val="20"/>
                <w:color w:val="auto"/>
              </w:rPr>
            </w:pPr>
            <w:r>
              <w:rPr>
                <w:rFonts w:ascii="Arial" w:cs="Arial" w:eastAsia="Arial" w:hAnsi="Arial"/>
                <w:sz w:val="12"/>
                <w:szCs w:val="12"/>
                <w:color w:val="auto"/>
              </w:rPr>
              <w:t>2020 Convertible Notes</w:t>
            </w:r>
          </w:p>
        </w:tc>
        <w:tc>
          <w:tcPr>
            <w:tcW w:w="9120" w:type="dxa"/>
            <w:vAlign w:val="bottom"/>
          </w:tcPr>
          <w:p>
            <w:pPr>
              <w:ind w:left="660"/>
              <w:spacing w:after="0"/>
              <w:rPr>
                <w:sz w:val="20"/>
                <w:szCs w:val="20"/>
                <w:color w:val="auto"/>
              </w:rPr>
            </w:pPr>
            <w:r>
              <w:rPr>
                <w:rFonts w:ascii="Arial" w:cs="Arial" w:eastAsia="Arial" w:hAnsi="Arial"/>
                <w:sz w:val="12"/>
                <w:szCs w:val="12"/>
                <w:color w:val="auto"/>
              </w:rPr>
              <w:t>$287.5 million aggregate principal amount of 3.25% convertible notes due 2020, issued by NRG Yield, Inc.</w:t>
            </w:r>
          </w:p>
        </w:tc>
        <w:tc>
          <w:tcPr>
            <w:tcW w:w="0" w:type="dxa"/>
            <w:vAlign w:val="bottom"/>
          </w:tcPr>
          <w:p>
            <w:pPr>
              <w:spacing w:after="0"/>
              <w:rPr>
                <w:sz w:val="1"/>
                <w:szCs w:val="1"/>
                <w:color w:val="auto"/>
              </w:rPr>
            </w:pPr>
          </w:p>
        </w:tc>
      </w:tr>
      <w:tr>
        <w:trPr>
          <w:trHeight w:val="180"/>
        </w:trPr>
        <w:tc>
          <w:tcPr>
            <w:tcW w:w="2320" w:type="dxa"/>
            <w:vAlign w:val="bottom"/>
          </w:tcPr>
          <w:p>
            <w:pPr>
              <w:spacing w:after="0"/>
              <w:rPr>
                <w:sz w:val="20"/>
                <w:szCs w:val="20"/>
                <w:color w:val="auto"/>
              </w:rPr>
            </w:pPr>
            <w:r>
              <w:rPr>
                <w:rFonts w:ascii="Arial" w:cs="Arial" w:eastAsia="Arial" w:hAnsi="Arial"/>
                <w:sz w:val="12"/>
                <w:szCs w:val="12"/>
                <w:color w:val="auto"/>
              </w:rPr>
              <w:t>2024 Senior Notes</w:t>
            </w:r>
          </w:p>
        </w:tc>
        <w:tc>
          <w:tcPr>
            <w:tcW w:w="9120" w:type="dxa"/>
            <w:vAlign w:val="bottom"/>
          </w:tcPr>
          <w:p>
            <w:pPr>
              <w:ind w:left="660"/>
              <w:spacing w:after="0"/>
              <w:rPr>
                <w:sz w:val="20"/>
                <w:szCs w:val="20"/>
                <w:color w:val="auto"/>
              </w:rPr>
            </w:pPr>
            <w:r>
              <w:rPr>
                <w:rFonts w:ascii="Arial" w:cs="Arial" w:eastAsia="Arial" w:hAnsi="Arial"/>
                <w:sz w:val="12"/>
                <w:szCs w:val="12"/>
                <w:color w:val="auto"/>
              </w:rPr>
              <w:t>$500 million aggregate principal amount of 5.375% unsecured senior notes due 2024, issued by NRG Yield Operating LLC</w:t>
            </w:r>
          </w:p>
        </w:tc>
        <w:tc>
          <w:tcPr>
            <w:tcW w:w="0" w:type="dxa"/>
            <w:vAlign w:val="bottom"/>
          </w:tcPr>
          <w:p>
            <w:pPr>
              <w:spacing w:after="0"/>
              <w:rPr>
                <w:sz w:val="1"/>
                <w:szCs w:val="1"/>
                <w:color w:val="auto"/>
              </w:rPr>
            </w:pPr>
          </w:p>
        </w:tc>
      </w:tr>
      <w:tr>
        <w:trPr>
          <w:trHeight w:val="180"/>
        </w:trPr>
        <w:tc>
          <w:tcPr>
            <w:tcW w:w="2320" w:type="dxa"/>
            <w:vAlign w:val="bottom"/>
          </w:tcPr>
          <w:p>
            <w:pPr>
              <w:spacing w:after="0"/>
              <w:rPr>
                <w:sz w:val="20"/>
                <w:szCs w:val="20"/>
                <w:color w:val="auto"/>
              </w:rPr>
            </w:pPr>
            <w:r>
              <w:rPr>
                <w:rFonts w:ascii="Arial" w:cs="Arial" w:eastAsia="Arial" w:hAnsi="Arial"/>
                <w:sz w:val="12"/>
                <w:szCs w:val="12"/>
                <w:color w:val="auto"/>
              </w:rPr>
              <w:t>2026 Senior Notes</w:t>
            </w:r>
          </w:p>
        </w:tc>
        <w:tc>
          <w:tcPr>
            <w:tcW w:w="9120" w:type="dxa"/>
            <w:vAlign w:val="bottom"/>
          </w:tcPr>
          <w:p>
            <w:pPr>
              <w:ind w:left="660"/>
              <w:spacing w:after="0"/>
              <w:rPr>
                <w:sz w:val="20"/>
                <w:szCs w:val="20"/>
                <w:color w:val="auto"/>
              </w:rPr>
            </w:pPr>
            <w:r>
              <w:rPr>
                <w:rFonts w:ascii="Arial" w:cs="Arial" w:eastAsia="Arial" w:hAnsi="Arial"/>
                <w:sz w:val="12"/>
                <w:szCs w:val="12"/>
                <w:color w:val="auto"/>
              </w:rPr>
              <w:t>$350 million aggregate principal amount of 5.00% unsecured senior notes due 2026, issued by NRG Yield Operating LLC</w:t>
            </w:r>
          </w:p>
        </w:tc>
        <w:tc>
          <w:tcPr>
            <w:tcW w:w="0" w:type="dxa"/>
            <w:vAlign w:val="bottom"/>
          </w:tcPr>
          <w:p>
            <w:pPr>
              <w:spacing w:after="0"/>
              <w:rPr>
                <w:sz w:val="1"/>
                <w:szCs w:val="1"/>
                <w:color w:val="auto"/>
              </w:rPr>
            </w:pPr>
          </w:p>
        </w:tc>
      </w:tr>
      <w:tr>
        <w:trPr>
          <w:trHeight w:val="171"/>
        </w:trPr>
        <w:tc>
          <w:tcPr>
            <w:tcW w:w="2320" w:type="dxa"/>
            <w:vAlign w:val="bottom"/>
          </w:tcPr>
          <w:p>
            <w:pPr>
              <w:spacing w:after="0"/>
              <w:rPr>
                <w:sz w:val="20"/>
                <w:szCs w:val="20"/>
                <w:color w:val="auto"/>
              </w:rPr>
            </w:pPr>
            <w:r>
              <w:rPr>
                <w:rFonts w:ascii="Arial" w:cs="Arial" w:eastAsia="Arial" w:hAnsi="Arial"/>
                <w:sz w:val="12"/>
                <w:szCs w:val="12"/>
                <w:color w:val="auto"/>
              </w:rPr>
              <w:t>Adjusted EBITDA</w:t>
            </w:r>
          </w:p>
        </w:tc>
        <w:tc>
          <w:tcPr>
            <w:tcW w:w="9120" w:type="dxa"/>
            <w:vAlign w:val="bottom"/>
          </w:tcPr>
          <w:p>
            <w:pPr>
              <w:ind w:left="660"/>
              <w:spacing w:after="0"/>
              <w:rPr>
                <w:sz w:val="20"/>
                <w:szCs w:val="20"/>
                <w:color w:val="auto"/>
              </w:rPr>
            </w:pPr>
            <w:r>
              <w:rPr>
                <w:rFonts w:ascii="Arial" w:cs="Arial" w:eastAsia="Arial" w:hAnsi="Arial"/>
                <w:sz w:val="12"/>
                <w:szCs w:val="12"/>
                <w:color w:val="auto"/>
                <w:w w:val="94"/>
              </w:rPr>
              <w:t>Represents EBITDA adjusted for mark-to-market gains or losses, asset write offs and impairments; and factors which the Company does not consider indicative of future</w:t>
            </w:r>
          </w:p>
        </w:tc>
        <w:tc>
          <w:tcPr>
            <w:tcW w:w="0" w:type="dxa"/>
            <w:vAlign w:val="bottom"/>
          </w:tcPr>
          <w:p>
            <w:pPr>
              <w:spacing w:after="0"/>
              <w:rPr>
                <w:sz w:val="1"/>
                <w:szCs w:val="1"/>
                <w:color w:val="auto"/>
              </w:rPr>
            </w:pPr>
          </w:p>
        </w:tc>
      </w:tr>
      <w:tr>
        <w:trPr>
          <w:trHeight w:val="153"/>
        </w:trPr>
        <w:tc>
          <w:tcPr>
            <w:tcW w:w="2320" w:type="dxa"/>
            <w:vAlign w:val="bottom"/>
          </w:tcPr>
          <w:p>
            <w:pPr>
              <w:spacing w:after="0"/>
              <w:rPr>
                <w:sz w:val="13"/>
                <w:szCs w:val="13"/>
                <w:color w:val="auto"/>
              </w:rPr>
            </w:pPr>
          </w:p>
        </w:tc>
        <w:tc>
          <w:tcPr>
            <w:tcW w:w="9120" w:type="dxa"/>
            <w:vAlign w:val="bottom"/>
          </w:tcPr>
          <w:p>
            <w:pPr>
              <w:ind w:left="660"/>
              <w:spacing w:after="0"/>
              <w:rPr>
                <w:sz w:val="20"/>
                <w:szCs w:val="20"/>
                <w:color w:val="auto"/>
              </w:rPr>
            </w:pPr>
            <w:r>
              <w:rPr>
                <w:rFonts w:ascii="Arial" w:cs="Arial" w:eastAsia="Arial" w:hAnsi="Arial"/>
                <w:sz w:val="12"/>
                <w:szCs w:val="12"/>
                <w:color w:val="auto"/>
              </w:rPr>
              <w:t>operating performance</w:t>
            </w:r>
          </w:p>
        </w:tc>
        <w:tc>
          <w:tcPr>
            <w:tcW w:w="0" w:type="dxa"/>
            <w:vAlign w:val="bottom"/>
          </w:tcPr>
          <w:p>
            <w:pPr>
              <w:spacing w:after="0"/>
              <w:rPr>
                <w:sz w:val="1"/>
                <w:szCs w:val="1"/>
                <w:color w:val="auto"/>
              </w:rPr>
            </w:pPr>
          </w:p>
        </w:tc>
      </w:tr>
      <w:tr>
        <w:trPr>
          <w:trHeight w:val="288"/>
        </w:trPr>
        <w:tc>
          <w:tcPr>
            <w:tcW w:w="2320" w:type="dxa"/>
            <w:vAlign w:val="bottom"/>
          </w:tcPr>
          <w:p>
            <w:pPr>
              <w:spacing w:after="0"/>
              <w:rPr>
                <w:sz w:val="20"/>
                <w:szCs w:val="20"/>
                <w:color w:val="auto"/>
              </w:rPr>
            </w:pPr>
            <w:r>
              <w:rPr>
                <w:rFonts w:ascii="Arial" w:cs="Arial" w:eastAsia="Arial" w:hAnsi="Arial"/>
                <w:sz w:val="12"/>
                <w:szCs w:val="12"/>
                <w:color w:val="auto"/>
              </w:rPr>
              <w:t>ASC</w:t>
            </w:r>
          </w:p>
        </w:tc>
        <w:tc>
          <w:tcPr>
            <w:tcW w:w="9120" w:type="dxa"/>
            <w:vAlign w:val="bottom"/>
          </w:tcPr>
          <w:p>
            <w:pPr>
              <w:ind w:left="660"/>
              <w:spacing w:after="0"/>
              <w:rPr>
                <w:sz w:val="20"/>
                <w:szCs w:val="20"/>
                <w:color w:val="auto"/>
              </w:rPr>
            </w:pPr>
            <w:r>
              <w:rPr>
                <w:rFonts w:ascii="Arial" w:cs="Arial" w:eastAsia="Arial" w:hAnsi="Arial"/>
                <w:sz w:val="12"/>
                <w:szCs w:val="12"/>
                <w:color w:val="auto"/>
              </w:rPr>
              <w:t>The FASB Accounting Standards Codification, which the FASB established as the source of</w:t>
            </w:r>
          </w:p>
        </w:tc>
        <w:tc>
          <w:tcPr>
            <w:tcW w:w="0" w:type="dxa"/>
            <w:vAlign w:val="bottom"/>
          </w:tcPr>
          <w:p>
            <w:pPr>
              <w:spacing w:after="0"/>
              <w:rPr>
                <w:sz w:val="1"/>
                <w:szCs w:val="1"/>
                <w:color w:val="auto"/>
              </w:rPr>
            </w:pPr>
          </w:p>
        </w:tc>
      </w:tr>
      <w:tr>
        <w:trPr>
          <w:trHeight w:val="153"/>
        </w:trPr>
        <w:tc>
          <w:tcPr>
            <w:tcW w:w="2320" w:type="dxa"/>
            <w:vAlign w:val="bottom"/>
          </w:tcPr>
          <w:p>
            <w:pPr>
              <w:spacing w:after="0"/>
              <w:rPr>
                <w:sz w:val="13"/>
                <w:szCs w:val="13"/>
                <w:color w:val="auto"/>
              </w:rPr>
            </w:pPr>
          </w:p>
        </w:tc>
        <w:tc>
          <w:tcPr>
            <w:tcW w:w="9120" w:type="dxa"/>
            <w:vAlign w:val="bottom"/>
          </w:tcPr>
          <w:p>
            <w:pPr>
              <w:ind w:left="660"/>
              <w:spacing w:after="0"/>
              <w:rPr>
                <w:sz w:val="20"/>
                <w:szCs w:val="20"/>
                <w:color w:val="auto"/>
              </w:rPr>
            </w:pPr>
            <w:r>
              <w:rPr>
                <w:rFonts w:ascii="Arial" w:cs="Arial" w:eastAsia="Arial" w:hAnsi="Arial"/>
                <w:sz w:val="12"/>
                <w:szCs w:val="12"/>
                <w:color w:val="auto"/>
              </w:rPr>
              <w:t>authoritative GAAP</w:t>
            </w:r>
          </w:p>
        </w:tc>
        <w:tc>
          <w:tcPr>
            <w:tcW w:w="0" w:type="dxa"/>
            <w:vAlign w:val="bottom"/>
          </w:tcPr>
          <w:p>
            <w:pPr>
              <w:spacing w:after="0"/>
              <w:rPr>
                <w:sz w:val="1"/>
                <w:szCs w:val="1"/>
                <w:color w:val="auto"/>
              </w:rPr>
            </w:pPr>
          </w:p>
        </w:tc>
      </w:tr>
      <w:tr>
        <w:trPr>
          <w:trHeight w:val="180"/>
        </w:trPr>
        <w:tc>
          <w:tcPr>
            <w:tcW w:w="2320" w:type="dxa"/>
            <w:vAlign w:val="bottom"/>
          </w:tcPr>
          <w:p>
            <w:pPr>
              <w:spacing w:after="0"/>
              <w:rPr>
                <w:sz w:val="20"/>
                <w:szCs w:val="20"/>
                <w:color w:val="auto"/>
              </w:rPr>
            </w:pPr>
            <w:r>
              <w:rPr>
                <w:rFonts w:ascii="Arial" w:cs="Arial" w:eastAsia="Arial" w:hAnsi="Arial"/>
                <w:sz w:val="12"/>
                <w:szCs w:val="12"/>
                <w:color w:val="auto"/>
              </w:rPr>
              <w:t>ASU</w:t>
            </w:r>
          </w:p>
        </w:tc>
        <w:tc>
          <w:tcPr>
            <w:tcW w:w="9120" w:type="dxa"/>
            <w:vAlign w:val="bottom"/>
          </w:tcPr>
          <w:p>
            <w:pPr>
              <w:ind w:left="660"/>
              <w:spacing w:after="0"/>
              <w:rPr>
                <w:sz w:val="20"/>
                <w:szCs w:val="20"/>
                <w:color w:val="auto"/>
              </w:rPr>
            </w:pPr>
            <w:r>
              <w:rPr>
                <w:rFonts w:ascii="Arial" w:cs="Arial" w:eastAsia="Arial" w:hAnsi="Arial"/>
                <w:sz w:val="12"/>
                <w:szCs w:val="12"/>
                <w:color w:val="auto"/>
              </w:rPr>
              <w:t>Accounting Standards Updates - updates to the ASC</w:t>
            </w:r>
          </w:p>
        </w:tc>
        <w:tc>
          <w:tcPr>
            <w:tcW w:w="0" w:type="dxa"/>
            <w:vAlign w:val="bottom"/>
          </w:tcPr>
          <w:p>
            <w:pPr>
              <w:spacing w:after="0"/>
              <w:rPr>
                <w:sz w:val="1"/>
                <w:szCs w:val="1"/>
                <w:color w:val="auto"/>
              </w:rPr>
            </w:pPr>
          </w:p>
        </w:tc>
      </w:tr>
      <w:tr>
        <w:trPr>
          <w:trHeight w:val="180"/>
        </w:trPr>
        <w:tc>
          <w:tcPr>
            <w:tcW w:w="2320" w:type="dxa"/>
            <w:vAlign w:val="bottom"/>
          </w:tcPr>
          <w:p>
            <w:pPr>
              <w:spacing w:after="0"/>
              <w:rPr>
                <w:sz w:val="20"/>
                <w:szCs w:val="20"/>
                <w:color w:val="auto"/>
              </w:rPr>
            </w:pPr>
            <w:r>
              <w:rPr>
                <w:rFonts w:ascii="Arial" w:cs="Arial" w:eastAsia="Arial" w:hAnsi="Arial"/>
                <w:sz w:val="12"/>
                <w:szCs w:val="12"/>
                <w:color w:val="auto"/>
              </w:rPr>
              <w:t>ATM Program</w:t>
            </w:r>
          </w:p>
        </w:tc>
        <w:tc>
          <w:tcPr>
            <w:tcW w:w="9120" w:type="dxa"/>
            <w:vAlign w:val="bottom"/>
          </w:tcPr>
          <w:p>
            <w:pPr>
              <w:ind w:left="660"/>
              <w:spacing w:after="0"/>
              <w:rPr>
                <w:sz w:val="20"/>
                <w:szCs w:val="20"/>
                <w:color w:val="auto"/>
              </w:rPr>
            </w:pPr>
            <w:r>
              <w:rPr>
                <w:rFonts w:ascii="Arial" w:cs="Arial" w:eastAsia="Arial" w:hAnsi="Arial"/>
                <w:sz w:val="12"/>
                <w:szCs w:val="12"/>
                <w:color w:val="auto"/>
              </w:rPr>
              <w:t>At-The-Market Equity Offering Program</w:t>
            </w:r>
          </w:p>
        </w:tc>
        <w:tc>
          <w:tcPr>
            <w:tcW w:w="0" w:type="dxa"/>
            <w:vAlign w:val="bottom"/>
          </w:tcPr>
          <w:p>
            <w:pPr>
              <w:spacing w:after="0"/>
              <w:rPr>
                <w:sz w:val="1"/>
                <w:szCs w:val="1"/>
                <w:color w:val="auto"/>
              </w:rPr>
            </w:pPr>
          </w:p>
        </w:tc>
      </w:tr>
      <w:tr>
        <w:trPr>
          <w:trHeight w:val="180"/>
        </w:trPr>
        <w:tc>
          <w:tcPr>
            <w:tcW w:w="2320" w:type="dxa"/>
            <w:vAlign w:val="bottom"/>
          </w:tcPr>
          <w:p>
            <w:pPr>
              <w:spacing w:after="0"/>
              <w:rPr>
                <w:sz w:val="20"/>
                <w:szCs w:val="20"/>
                <w:color w:val="auto"/>
              </w:rPr>
            </w:pPr>
            <w:r>
              <w:rPr>
                <w:rFonts w:ascii="Arial" w:cs="Arial" w:eastAsia="Arial" w:hAnsi="Arial"/>
                <w:sz w:val="12"/>
                <w:szCs w:val="12"/>
                <w:color w:val="auto"/>
              </w:rPr>
              <w:t>August 2017 Drop Down Assets</w:t>
            </w:r>
          </w:p>
        </w:tc>
        <w:tc>
          <w:tcPr>
            <w:tcW w:w="9120" w:type="dxa"/>
            <w:vAlign w:val="bottom"/>
          </w:tcPr>
          <w:p>
            <w:pPr>
              <w:ind w:left="660"/>
              <w:spacing w:after="0"/>
              <w:rPr>
                <w:sz w:val="20"/>
                <w:szCs w:val="20"/>
                <w:color w:val="auto"/>
              </w:rPr>
            </w:pPr>
            <w:r>
              <w:rPr>
                <w:rFonts w:ascii="Arial" w:cs="Arial" w:eastAsia="Arial" w:hAnsi="Arial"/>
                <w:sz w:val="12"/>
                <w:szCs w:val="12"/>
                <w:color w:val="auto"/>
              </w:rPr>
              <w:t>The remaining 25% interest in NRG Wind TE Holdco, an 814 net MW portfolio of twelve wind projects, acquired from NRG on August 1, 2017</w:t>
            </w:r>
          </w:p>
        </w:tc>
        <w:tc>
          <w:tcPr>
            <w:tcW w:w="0" w:type="dxa"/>
            <w:vAlign w:val="bottom"/>
          </w:tcPr>
          <w:p>
            <w:pPr>
              <w:spacing w:after="0"/>
              <w:rPr>
                <w:sz w:val="1"/>
                <w:szCs w:val="1"/>
                <w:color w:val="auto"/>
              </w:rPr>
            </w:pPr>
          </w:p>
        </w:tc>
      </w:tr>
      <w:tr>
        <w:trPr>
          <w:trHeight w:val="180"/>
        </w:trPr>
        <w:tc>
          <w:tcPr>
            <w:tcW w:w="2320" w:type="dxa"/>
            <w:vAlign w:val="bottom"/>
          </w:tcPr>
          <w:p>
            <w:pPr>
              <w:spacing w:after="0"/>
              <w:rPr>
                <w:sz w:val="20"/>
                <w:szCs w:val="20"/>
                <w:color w:val="auto"/>
              </w:rPr>
            </w:pPr>
            <w:r>
              <w:rPr>
                <w:rFonts w:ascii="Arial" w:cs="Arial" w:eastAsia="Arial" w:hAnsi="Arial"/>
                <w:sz w:val="12"/>
                <w:szCs w:val="12"/>
                <w:color w:val="auto"/>
              </w:rPr>
              <w:t>Buckthorn Solar Drop Down Asset</w:t>
            </w:r>
          </w:p>
        </w:tc>
        <w:tc>
          <w:tcPr>
            <w:tcW w:w="9120" w:type="dxa"/>
            <w:vAlign w:val="bottom"/>
          </w:tcPr>
          <w:p>
            <w:pPr>
              <w:ind w:left="660"/>
              <w:spacing w:after="0"/>
              <w:rPr>
                <w:sz w:val="20"/>
                <w:szCs w:val="20"/>
                <w:color w:val="auto"/>
              </w:rPr>
            </w:pPr>
            <w:r>
              <w:rPr>
                <w:rFonts w:ascii="Arial" w:cs="Arial" w:eastAsia="Arial" w:hAnsi="Arial"/>
                <w:sz w:val="12"/>
                <w:szCs w:val="12"/>
                <w:color w:val="auto"/>
                <w:w w:val="97"/>
              </w:rPr>
              <w:t>Buckthorn Renewables, LLC, which owns 100% of Buckthorn Solar Portfolio, LLC, which was acquired by NRG Yield Operating LLC from NRG on March 30, 2018</w:t>
            </w:r>
          </w:p>
        </w:tc>
        <w:tc>
          <w:tcPr>
            <w:tcW w:w="0" w:type="dxa"/>
            <w:vAlign w:val="bottom"/>
          </w:tcPr>
          <w:p>
            <w:pPr>
              <w:spacing w:after="0"/>
              <w:rPr>
                <w:sz w:val="1"/>
                <w:szCs w:val="1"/>
                <w:color w:val="auto"/>
              </w:rPr>
            </w:pPr>
          </w:p>
        </w:tc>
      </w:tr>
      <w:tr>
        <w:trPr>
          <w:trHeight w:val="180"/>
        </w:trPr>
        <w:tc>
          <w:tcPr>
            <w:tcW w:w="2320" w:type="dxa"/>
            <w:vAlign w:val="bottom"/>
          </w:tcPr>
          <w:p>
            <w:pPr>
              <w:spacing w:after="0"/>
              <w:rPr>
                <w:sz w:val="20"/>
                <w:szCs w:val="20"/>
                <w:color w:val="auto"/>
              </w:rPr>
            </w:pPr>
            <w:r>
              <w:rPr>
                <w:rFonts w:ascii="Arial" w:cs="Arial" w:eastAsia="Arial" w:hAnsi="Arial"/>
                <w:sz w:val="12"/>
                <w:szCs w:val="12"/>
                <w:color w:val="auto"/>
              </w:rPr>
              <w:t>Buffalo Bear</w:t>
            </w:r>
          </w:p>
        </w:tc>
        <w:tc>
          <w:tcPr>
            <w:tcW w:w="9120" w:type="dxa"/>
            <w:vAlign w:val="bottom"/>
          </w:tcPr>
          <w:p>
            <w:pPr>
              <w:ind w:left="660"/>
              <w:spacing w:after="0"/>
              <w:rPr>
                <w:sz w:val="20"/>
                <w:szCs w:val="20"/>
                <w:color w:val="auto"/>
              </w:rPr>
            </w:pPr>
            <w:r>
              <w:rPr>
                <w:rFonts w:ascii="Arial" w:cs="Arial" w:eastAsia="Arial" w:hAnsi="Arial"/>
                <w:sz w:val="12"/>
                <w:szCs w:val="12"/>
                <w:color w:val="auto"/>
              </w:rPr>
              <w:t>Buffalo Bear, LLC, the operating subsidiary of Tapestry Wind LLC, which owns the Buffalo Bear project</w:t>
            </w:r>
          </w:p>
        </w:tc>
        <w:tc>
          <w:tcPr>
            <w:tcW w:w="0" w:type="dxa"/>
            <w:vAlign w:val="bottom"/>
          </w:tcPr>
          <w:p>
            <w:pPr>
              <w:spacing w:after="0"/>
              <w:rPr>
                <w:sz w:val="1"/>
                <w:szCs w:val="1"/>
                <w:color w:val="auto"/>
              </w:rPr>
            </w:pPr>
          </w:p>
        </w:tc>
      </w:tr>
      <w:tr>
        <w:trPr>
          <w:trHeight w:val="171"/>
        </w:trPr>
        <w:tc>
          <w:tcPr>
            <w:tcW w:w="2320" w:type="dxa"/>
            <w:vAlign w:val="bottom"/>
          </w:tcPr>
          <w:p>
            <w:pPr>
              <w:spacing w:after="0"/>
              <w:rPr>
                <w:sz w:val="20"/>
                <w:szCs w:val="20"/>
                <w:color w:val="auto"/>
              </w:rPr>
            </w:pPr>
            <w:r>
              <w:rPr>
                <w:rFonts w:ascii="Arial" w:cs="Arial" w:eastAsia="Arial" w:hAnsi="Arial"/>
                <w:sz w:val="12"/>
                <w:szCs w:val="12"/>
                <w:color w:val="auto"/>
              </w:rPr>
              <w:t>CAFD</w:t>
            </w:r>
          </w:p>
        </w:tc>
        <w:tc>
          <w:tcPr>
            <w:tcW w:w="9120" w:type="dxa"/>
            <w:vAlign w:val="bottom"/>
          </w:tcPr>
          <w:p>
            <w:pPr>
              <w:ind w:left="660"/>
              <w:spacing w:after="0"/>
              <w:rPr>
                <w:sz w:val="20"/>
                <w:szCs w:val="20"/>
                <w:color w:val="auto"/>
              </w:rPr>
            </w:pPr>
            <w:r>
              <w:rPr>
                <w:rFonts w:ascii="Arial" w:cs="Arial" w:eastAsia="Arial" w:hAnsi="Arial"/>
                <w:sz w:val="12"/>
                <w:szCs w:val="12"/>
                <w:color w:val="auto"/>
                <w:w w:val="93"/>
              </w:rPr>
              <w:t>Cash Available for Distribution (CAFD) is Adjusted EBITDA plus cash distributions/return of investment from unconsolidated affiliates, cash receipts from notes receivable,</w:t>
            </w:r>
          </w:p>
        </w:tc>
        <w:tc>
          <w:tcPr>
            <w:tcW w:w="0" w:type="dxa"/>
            <w:vAlign w:val="bottom"/>
          </w:tcPr>
          <w:p>
            <w:pPr>
              <w:spacing w:after="0"/>
              <w:rPr>
                <w:sz w:val="1"/>
                <w:szCs w:val="1"/>
                <w:color w:val="auto"/>
              </w:rPr>
            </w:pPr>
          </w:p>
        </w:tc>
      </w:tr>
      <w:tr>
        <w:trPr>
          <w:trHeight w:val="144"/>
        </w:trPr>
        <w:tc>
          <w:tcPr>
            <w:tcW w:w="2320" w:type="dxa"/>
            <w:vAlign w:val="bottom"/>
          </w:tcPr>
          <w:p>
            <w:pPr>
              <w:spacing w:after="0"/>
              <w:rPr>
                <w:sz w:val="12"/>
                <w:szCs w:val="12"/>
                <w:color w:val="auto"/>
              </w:rPr>
            </w:pPr>
          </w:p>
        </w:tc>
        <w:tc>
          <w:tcPr>
            <w:tcW w:w="9120" w:type="dxa"/>
            <w:vAlign w:val="bottom"/>
          </w:tcPr>
          <w:p>
            <w:pPr>
              <w:ind w:left="660"/>
              <w:spacing w:after="0"/>
              <w:rPr>
                <w:sz w:val="20"/>
                <w:szCs w:val="20"/>
                <w:color w:val="auto"/>
              </w:rPr>
            </w:pPr>
            <w:r>
              <w:rPr>
                <w:rFonts w:ascii="Arial" w:cs="Arial" w:eastAsia="Arial" w:hAnsi="Arial"/>
                <w:sz w:val="12"/>
                <w:szCs w:val="12"/>
                <w:color w:val="auto"/>
                <w:w w:val="97"/>
              </w:rPr>
              <w:t>cash distributions from noncontrolling interests, less cash distributions to noncontrolling interests, maintenance capital expenditures, pro-rata Adjusted EBITDA from</w:t>
            </w:r>
          </w:p>
        </w:tc>
        <w:tc>
          <w:tcPr>
            <w:tcW w:w="0" w:type="dxa"/>
            <w:vAlign w:val="bottom"/>
          </w:tcPr>
          <w:p>
            <w:pPr>
              <w:spacing w:after="0"/>
              <w:rPr>
                <w:sz w:val="1"/>
                <w:szCs w:val="1"/>
                <w:color w:val="auto"/>
              </w:rPr>
            </w:pPr>
          </w:p>
        </w:tc>
      </w:tr>
      <w:tr>
        <w:trPr>
          <w:trHeight w:val="144"/>
        </w:trPr>
        <w:tc>
          <w:tcPr>
            <w:tcW w:w="2320" w:type="dxa"/>
            <w:vAlign w:val="bottom"/>
          </w:tcPr>
          <w:p>
            <w:pPr>
              <w:spacing w:after="0"/>
              <w:rPr>
                <w:sz w:val="12"/>
                <w:szCs w:val="12"/>
                <w:color w:val="auto"/>
              </w:rPr>
            </w:pPr>
          </w:p>
        </w:tc>
        <w:tc>
          <w:tcPr>
            <w:tcW w:w="9120" w:type="dxa"/>
            <w:vAlign w:val="bottom"/>
          </w:tcPr>
          <w:p>
            <w:pPr>
              <w:ind w:left="660"/>
              <w:spacing w:after="0"/>
              <w:rPr>
                <w:sz w:val="20"/>
                <w:szCs w:val="20"/>
                <w:color w:val="auto"/>
              </w:rPr>
            </w:pPr>
            <w:r>
              <w:rPr>
                <w:rFonts w:ascii="Arial" w:cs="Arial" w:eastAsia="Arial" w:hAnsi="Arial"/>
                <w:sz w:val="12"/>
                <w:szCs w:val="12"/>
                <w:color w:val="auto"/>
                <w:w w:val="90"/>
              </w:rPr>
              <w:t>unconsolidated affiliates, cash interest paid, income taxes paid, principal amortization of indebtedness, Walnut Creek investment payments, and changes in prepaid and accrued</w:t>
            </w:r>
          </w:p>
        </w:tc>
        <w:tc>
          <w:tcPr>
            <w:tcW w:w="0" w:type="dxa"/>
            <w:vAlign w:val="bottom"/>
          </w:tcPr>
          <w:p>
            <w:pPr>
              <w:spacing w:after="0"/>
              <w:rPr>
                <w:sz w:val="1"/>
                <w:szCs w:val="1"/>
                <w:color w:val="auto"/>
              </w:rPr>
            </w:pPr>
          </w:p>
        </w:tc>
      </w:tr>
      <w:tr>
        <w:trPr>
          <w:trHeight w:val="153"/>
        </w:trPr>
        <w:tc>
          <w:tcPr>
            <w:tcW w:w="2320" w:type="dxa"/>
            <w:vAlign w:val="bottom"/>
          </w:tcPr>
          <w:p>
            <w:pPr>
              <w:spacing w:after="0"/>
              <w:rPr>
                <w:sz w:val="13"/>
                <w:szCs w:val="13"/>
                <w:color w:val="auto"/>
              </w:rPr>
            </w:pPr>
          </w:p>
        </w:tc>
        <w:tc>
          <w:tcPr>
            <w:tcW w:w="9120" w:type="dxa"/>
            <w:vAlign w:val="bottom"/>
          </w:tcPr>
          <w:p>
            <w:pPr>
              <w:ind w:left="660"/>
              <w:spacing w:after="0"/>
              <w:rPr>
                <w:sz w:val="20"/>
                <w:szCs w:val="20"/>
                <w:color w:val="auto"/>
              </w:rPr>
            </w:pPr>
            <w:r>
              <w:rPr>
                <w:rFonts w:ascii="Arial" w:cs="Arial" w:eastAsia="Arial" w:hAnsi="Arial"/>
                <w:sz w:val="12"/>
                <w:szCs w:val="12"/>
                <w:color w:val="auto"/>
              </w:rPr>
              <w:t>capacity payments</w:t>
            </w:r>
          </w:p>
        </w:tc>
        <w:tc>
          <w:tcPr>
            <w:tcW w:w="0" w:type="dxa"/>
            <w:vAlign w:val="bottom"/>
          </w:tcPr>
          <w:p>
            <w:pPr>
              <w:spacing w:after="0"/>
              <w:rPr>
                <w:sz w:val="1"/>
                <w:szCs w:val="1"/>
                <w:color w:val="auto"/>
              </w:rPr>
            </w:pPr>
          </w:p>
        </w:tc>
      </w:tr>
      <w:tr>
        <w:trPr>
          <w:trHeight w:val="180"/>
        </w:trPr>
        <w:tc>
          <w:tcPr>
            <w:tcW w:w="2320" w:type="dxa"/>
            <w:vAlign w:val="bottom"/>
          </w:tcPr>
          <w:p>
            <w:pPr>
              <w:spacing w:after="0"/>
              <w:rPr>
                <w:sz w:val="20"/>
                <w:szCs w:val="20"/>
                <w:color w:val="auto"/>
              </w:rPr>
            </w:pPr>
            <w:r>
              <w:rPr>
                <w:rFonts w:ascii="Arial" w:cs="Arial" w:eastAsia="Arial" w:hAnsi="Arial"/>
                <w:sz w:val="12"/>
                <w:szCs w:val="12"/>
                <w:color w:val="auto"/>
              </w:rPr>
              <w:t>Company</w:t>
            </w:r>
          </w:p>
        </w:tc>
        <w:tc>
          <w:tcPr>
            <w:tcW w:w="9120" w:type="dxa"/>
            <w:vAlign w:val="bottom"/>
          </w:tcPr>
          <w:p>
            <w:pPr>
              <w:ind w:left="660"/>
              <w:spacing w:after="0"/>
              <w:rPr>
                <w:sz w:val="20"/>
                <w:szCs w:val="20"/>
                <w:color w:val="auto"/>
              </w:rPr>
            </w:pPr>
            <w:r>
              <w:rPr>
                <w:rFonts w:ascii="Arial" w:cs="Arial" w:eastAsia="Arial" w:hAnsi="Arial"/>
                <w:sz w:val="12"/>
                <w:szCs w:val="12"/>
                <w:color w:val="auto"/>
              </w:rPr>
              <w:t>NRG Yield, Inc. together with its consolidated subsidiaries</w:t>
            </w:r>
          </w:p>
        </w:tc>
        <w:tc>
          <w:tcPr>
            <w:tcW w:w="0" w:type="dxa"/>
            <w:vAlign w:val="bottom"/>
          </w:tcPr>
          <w:p>
            <w:pPr>
              <w:spacing w:after="0"/>
              <w:rPr>
                <w:sz w:val="1"/>
                <w:szCs w:val="1"/>
                <w:color w:val="auto"/>
              </w:rPr>
            </w:pPr>
          </w:p>
        </w:tc>
      </w:tr>
      <w:tr>
        <w:trPr>
          <w:trHeight w:val="180"/>
        </w:trPr>
        <w:tc>
          <w:tcPr>
            <w:tcW w:w="2320" w:type="dxa"/>
            <w:vAlign w:val="bottom"/>
          </w:tcPr>
          <w:p>
            <w:pPr>
              <w:spacing w:after="0"/>
              <w:rPr>
                <w:sz w:val="20"/>
                <w:szCs w:val="20"/>
                <w:color w:val="auto"/>
              </w:rPr>
            </w:pPr>
            <w:r>
              <w:rPr>
                <w:rFonts w:ascii="Arial" w:cs="Arial" w:eastAsia="Arial" w:hAnsi="Arial"/>
                <w:sz w:val="12"/>
                <w:szCs w:val="12"/>
                <w:color w:val="auto"/>
              </w:rPr>
              <w:t>CVSR</w:t>
            </w:r>
          </w:p>
        </w:tc>
        <w:tc>
          <w:tcPr>
            <w:tcW w:w="9120" w:type="dxa"/>
            <w:vAlign w:val="bottom"/>
          </w:tcPr>
          <w:p>
            <w:pPr>
              <w:ind w:left="660"/>
              <w:spacing w:after="0"/>
              <w:rPr>
                <w:sz w:val="20"/>
                <w:szCs w:val="20"/>
                <w:color w:val="auto"/>
              </w:rPr>
            </w:pPr>
            <w:r>
              <w:rPr>
                <w:rFonts w:ascii="Arial" w:cs="Arial" w:eastAsia="Arial" w:hAnsi="Arial"/>
                <w:sz w:val="12"/>
                <w:szCs w:val="12"/>
                <w:color w:val="auto"/>
              </w:rPr>
              <w:t>California Valley Solar Ranch</w:t>
            </w:r>
          </w:p>
        </w:tc>
        <w:tc>
          <w:tcPr>
            <w:tcW w:w="0" w:type="dxa"/>
            <w:vAlign w:val="bottom"/>
          </w:tcPr>
          <w:p>
            <w:pPr>
              <w:spacing w:after="0"/>
              <w:rPr>
                <w:sz w:val="1"/>
                <w:szCs w:val="1"/>
                <w:color w:val="auto"/>
              </w:rPr>
            </w:pPr>
          </w:p>
        </w:tc>
      </w:tr>
      <w:tr>
        <w:trPr>
          <w:trHeight w:val="180"/>
        </w:trPr>
        <w:tc>
          <w:tcPr>
            <w:tcW w:w="2320" w:type="dxa"/>
            <w:vAlign w:val="bottom"/>
          </w:tcPr>
          <w:p>
            <w:pPr>
              <w:spacing w:after="0"/>
              <w:rPr>
                <w:sz w:val="20"/>
                <w:szCs w:val="20"/>
                <w:color w:val="auto"/>
              </w:rPr>
            </w:pPr>
            <w:r>
              <w:rPr>
                <w:rFonts w:ascii="Arial" w:cs="Arial" w:eastAsia="Arial" w:hAnsi="Arial"/>
                <w:sz w:val="12"/>
                <w:szCs w:val="12"/>
                <w:color w:val="auto"/>
              </w:rPr>
              <w:t>CVSR Drop Down</w:t>
            </w:r>
          </w:p>
        </w:tc>
        <w:tc>
          <w:tcPr>
            <w:tcW w:w="9120" w:type="dxa"/>
            <w:vAlign w:val="bottom"/>
          </w:tcPr>
          <w:p>
            <w:pPr>
              <w:ind w:left="660"/>
              <w:spacing w:after="0"/>
              <w:rPr>
                <w:sz w:val="20"/>
                <w:szCs w:val="20"/>
                <w:color w:val="auto"/>
              </w:rPr>
            </w:pPr>
            <w:r>
              <w:rPr>
                <w:rFonts w:ascii="Arial" w:cs="Arial" w:eastAsia="Arial" w:hAnsi="Arial"/>
                <w:sz w:val="12"/>
                <w:szCs w:val="12"/>
                <w:color w:val="auto"/>
              </w:rPr>
              <w:t>The Company's acquisition from NRG of the remaining 51.05% interest of CVSR Holdco</w:t>
            </w:r>
          </w:p>
        </w:tc>
        <w:tc>
          <w:tcPr>
            <w:tcW w:w="0" w:type="dxa"/>
            <w:vAlign w:val="bottom"/>
          </w:tcPr>
          <w:p>
            <w:pPr>
              <w:spacing w:after="0"/>
              <w:rPr>
                <w:sz w:val="1"/>
                <w:szCs w:val="1"/>
                <w:color w:val="auto"/>
              </w:rPr>
            </w:pPr>
          </w:p>
        </w:tc>
      </w:tr>
      <w:tr>
        <w:trPr>
          <w:trHeight w:val="180"/>
        </w:trPr>
        <w:tc>
          <w:tcPr>
            <w:tcW w:w="2320" w:type="dxa"/>
            <w:vAlign w:val="bottom"/>
          </w:tcPr>
          <w:p>
            <w:pPr>
              <w:spacing w:after="0"/>
              <w:rPr>
                <w:sz w:val="20"/>
                <w:szCs w:val="20"/>
                <w:color w:val="auto"/>
              </w:rPr>
            </w:pPr>
            <w:r>
              <w:rPr>
                <w:rFonts w:ascii="Arial" w:cs="Arial" w:eastAsia="Arial" w:hAnsi="Arial"/>
                <w:sz w:val="12"/>
                <w:szCs w:val="12"/>
                <w:color w:val="auto"/>
              </w:rPr>
              <w:t>CVSR Holdco</w:t>
            </w:r>
          </w:p>
        </w:tc>
        <w:tc>
          <w:tcPr>
            <w:tcW w:w="9120" w:type="dxa"/>
            <w:vAlign w:val="bottom"/>
          </w:tcPr>
          <w:p>
            <w:pPr>
              <w:ind w:left="660"/>
              <w:spacing w:after="0"/>
              <w:rPr>
                <w:sz w:val="20"/>
                <w:szCs w:val="20"/>
                <w:color w:val="auto"/>
              </w:rPr>
            </w:pPr>
            <w:r>
              <w:rPr>
                <w:rFonts w:ascii="Arial" w:cs="Arial" w:eastAsia="Arial" w:hAnsi="Arial"/>
                <w:sz w:val="12"/>
                <w:szCs w:val="12"/>
                <w:color w:val="auto"/>
              </w:rPr>
              <w:t>CVSR Holdco LLC, the indirect owner of CVSR</w:t>
            </w:r>
          </w:p>
        </w:tc>
        <w:tc>
          <w:tcPr>
            <w:tcW w:w="0" w:type="dxa"/>
            <w:vAlign w:val="bottom"/>
          </w:tcPr>
          <w:p>
            <w:pPr>
              <w:spacing w:after="0"/>
              <w:rPr>
                <w:sz w:val="1"/>
                <w:szCs w:val="1"/>
                <w:color w:val="auto"/>
              </w:rPr>
            </w:pPr>
          </w:p>
        </w:tc>
      </w:tr>
      <w:tr>
        <w:trPr>
          <w:trHeight w:val="180"/>
        </w:trPr>
        <w:tc>
          <w:tcPr>
            <w:tcW w:w="2320" w:type="dxa"/>
            <w:vAlign w:val="bottom"/>
          </w:tcPr>
          <w:p>
            <w:pPr>
              <w:spacing w:after="0"/>
              <w:rPr>
                <w:sz w:val="20"/>
                <w:szCs w:val="20"/>
                <w:color w:val="auto"/>
              </w:rPr>
            </w:pPr>
            <w:r>
              <w:rPr>
                <w:rFonts w:ascii="Arial" w:cs="Arial" w:eastAsia="Arial" w:hAnsi="Arial"/>
                <w:sz w:val="12"/>
                <w:szCs w:val="12"/>
                <w:color w:val="auto"/>
              </w:rPr>
              <w:t>DGPV Holdco 1</w:t>
            </w:r>
          </w:p>
        </w:tc>
        <w:tc>
          <w:tcPr>
            <w:tcW w:w="9120" w:type="dxa"/>
            <w:vAlign w:val="bottom"/>
          </w:tcPr>
          <w:p>
            <w:pPr>
              <w:ind w:left="660"/>
              <w:spacing w:after="0"/>
              <w:rPr>
                <w:sz w:val="20"/>
                <w:szCs w:val="20"/>
                <w:color w:val="auto"/>
              </w:rPr>
            </w:pPr>
            <w:r>
              <w:rPr>
                <w:rFonts w:ascii="Arial" w:cs="Arial" w:eastAsia="Arial" w:hAnsi="Arial"/>
                <w:sz w:val="12"/>
                <w:szCs w:val="12"/>
                <w:color w:val="auto"/>
              </w:rPr>
              <w:t>NRG DGPV Holdco 1 LLC</w:t>
            </w:r>
          </w:p>
        </w:tc>
        <w:tc>
          <w:tcPr>
            <w:tcW w:w="0" w:type="dxa"/>
            <w:vAlign w:val="bottom"/>
          </w:tcPr>
          <w:p>
            <w:pPr>
              <w:spacing w:after="0"/>
              <w:rPr>
                <w:sz w:val="1"/>
                <w:szCs w:val="1"/>
                <w:color w:val="auto"/>
              </w:rPr>
            </w:pPr>
          </w:p>
        </w:tc>
      </w:tr>
      <w:tr>
        <w:trPr>
          <w:trHeight w:val="180"/>
        </w:trPr>
        <w:tc>
          <w:tcPr>
            <w:tcW w:w="2320" w:type="dxa"/>
            <w:vAlign w:val="bottom"/>
          </w:tcPr>
          <w:p>
            <w:pPr>
              <w:spacing w:after="0"/>
              <w:rPr>
                <w:sz w:val="20"/>
                <w:szCs w:val="20"/>
                <w:color w:val="auto"/>
              </w:rPr>
            </w:pPr>
            <w:r>
              <w:rPr>
                <w:rFonts w:ascii="Arial" w:cs="Arial" w:eastAsia="Arial" w:hAnsi="Arial"/>
                <w:sz w:val="12"/>
                <w:szCs w:val="12"/>
                <w:color w:val="auto"/>
              </w:rPr>
              <w:t>DGPV Holdco 2</w:t>
            </w:r>
          </w:p>
        </w:tc>
        <w:tc>
          <w:tcPr>
            <w:tcW w:w="9120" w:type="dxa"/>
            <w:vAlign w:val="bottom"/>
          </w:tcPr>
          <w:p>
            <w:pPr>
              <w:ind w:left="660"/>
              <w:spacing w:after="0"/>
              <w:rPr>
                <w:sz w:val="20"/>
                <w:szCs w:val="20"/>
                <w:color w:val="auto"/>
              </w:rPr>
            </w:pPr>
            <w:r>
              <w:rPr>
                <w:rFonts w:ascii="Arial" w:cs="Arial" w:eastAsia="Arial" w:hAnsi="Arial"/>
                <w:sz w:val="12"/>
                <w:szCs w:val="12"/>
                <w:color w:val="auto"/>
              </w:rPr>
              <w:t>NRG DGPV Holdco 2 LLC</w:t>
            </w:r>
          </w:p>
        </w:tc>
        <w:tc>
          <w:tcPr>
            <w:tcW w:w="0" w:type="dxa"/>
            <w:vAlign w:val="bottom"/>
          </w:tcPr>
          <w:p>
            <w:pPr>
              <w:spacing w:after="0"/>
              <w:rPr>
                <w:sz w:val="1"/>
                <w:szCs w:val="1"/>
                <w:color w:val="auto"/>
              </w:rPr>
            </w:pPr>
          </w:p>
        </w:tc>
      </w:tr>
      <w:tr>
        <w:trPr>
          <w:trHeight w:val="180"/>
        </w:trPr>
        <w:tc>
          <w:tcPr>
            <w:tcW w:w="2320" w:type="dxa"/>
            <w:vAlign w:val="bottom"/>
          </w:tcPr>
          <w:p>
            <w:pPr>
              <w:spacing w:after="0"/>
              <w:rPr>
                <w:sz w:val="20"/>
                <w:szCs w:val="20"/>
                <w:color w:val="auto"/>
              </w:rPr>
            </w:pPr>
            <w:r>
              <w:rPr>
                <w:rFonts w:ascii="Arial" w:cs="Arial" w:eastAsia="Arial" w:hAnsi="Arial"/>
                <w:sz w:val="12"/>
                <w:szCs w:val="12"/>
                <w:color w:val="auto"/>
              </w:rPr>
              <w:t>DGPV Holdco 3</w:t>
            </w:r>
          </w:p>
        </w:tc>
        <w:tc>
          <w:tcPr>
            <w:tcW w:w="9120" w:type="dxa"/>
            <w:vAlign w:val="bottom"/>
          </w:tcPr>
          <w:p>
            <w:pPr>
              <w:ind w:left="660"/>
              <w:spacing w:after="0"/>
              <w:rPr>
                <w:sz w:val="20"/>
                <w:szCs w:val="20"/>
                <w:color w:val="auto"/>
              </w:rPr>
            </w:pPr>
            <w:r>
              <w:rPr>
                <w:rFonts w:ascii="Arial" w:cs="Arial" w:eastAsia="Arial" w:hAnsi="Arial"/>
                <w:sz w:val="12"/>
                <w:szCs w:val="12"/>
                <w:color w:val="auto"/>
              </w:rPr>
              <w:t>NRG DGPV Holdco 3 LLC</w:t>
            </w:r>
          </w:p>
        </w:tc>
        <w:tc>
          <w:tcPr>
            <w:tcW w:w="0" w:type="dxa"/>
            <w:vAlign w:val="bottom"/>
          </w:tcPr>
          <w:p>
            <w:pPr>
              <w:spacing w:after="0"/>
              <w:rPr>
                <w:sz w:val="1"/>
                <w:szCs w:val="1"/>
                <w:color w:val="auto"/>
              </w:rPr>
            </w:pPr>
          </w:p>
        </w:tc>
      </w:tr>
      <w:tr>
        <w:trPr>
          <w:trHeight w:val="171"/>
        </w:trPr>
        <w:tc>
          <w:tcPr>
            <w:tcW w:w="2320" w:type="dxa"/>
            <w:vAlign w:val="bottom"/>
          </w:tcPr>
          <w:p>
            <w:pPr>
              <w:spacing w:after="0"/>
              <w:rPr>
                <w:sz w:val="20"/>
                <w:szCs w:val="20"/>
                <w:color w:val="auto"/>
              </w:rPr>
            </w:pPr>
            <w:r>
              <w:rPr>
                <w:rFonts w:ascii="Arial" w:cs="Arial" w:eastAsia="Arial" w:hAnsi="Arial"/>
                <w:sz w:val="12"/>
                <w:szCs w:val="12"/>
                <w:color w:val="auto"/>
              </w:rPr>
              <w:t>Distributed Solar</w:t>
            </w:r>
          </w:p>
        </w:tc>
        <w:tc>
          <w:tcPr>
            <w:tcW w:w="9120" w:type="dxa"/>
            <w:vAlign w:val="bottom"/>
          </w:tcPr>
          <w:p>
            <w:pPr>
              <w:ind w:left="660"/>
              <w:spacing w:after="0"/>
              <w:rPr>
                <w:sz w:val="20"/>
                <w:szCs w:val="20"/>
                <w:color w:val="auto"/>
              </w:rPr>
            </w:pPr>
            <w:r>
              <w:rPr>
                <w:rFonts w:ascii="Arial" w:cs="Arial" w:eastAsia="Arial" w:hAnsi="Arial"/>
                <w:sz w:val="12"/>
                <w:szCs w:val="12"/>
                <w:color w:val="auto"/>
                <w:w w:val="93"/>
              </w:rPr>
              <w:t>Solar power projects, typically less than 20 MW in size, that primarily sell power produced to customers for usage on site, or are interconnected to sell power into the local</w:t>
            </w:r>
          </w:p>
        </w:tc>
        <w:tc>
          <w:tcPr>
            <w:tcW w:w="0" w:type="dxa"/>
            <w:vAlign w:val="bottom"/>
          </w:tcPr>
          <w:p>
            <w:pPr>
              <w:spacing w:after="0"/>
              <w:rPr>
                <w:sz w:val="1"/>
                <w:szCs w:val="1"/>
                <w:color w:val="auto"/>
              </w:rPr>
            </w:pPr>
          </w:p>
        </w:tc>
      </w:tr>
      <w:tr>
        <w:trPr>
          <w:trHeight w:val="153"/>
        </w:trPr>
        <w:tc>
          <w:tcPr>
            <w:tcW w:w="2320" w:type="dxa"/>
            <w:vAlign w:val="bottom"/>
          </w:tcPr>
          <w:p>
            <w:pPr>
              <w:spacing w:after="0"/>
              <w:rPr>
                <w:sz w:val="13"/>
                <w:szCs w:val="13"/>
                <w:color w:val="auto"/>
              </w:rPr>
            </w:pPr>
          </w:p>
        </w:tc>
        <w:tc>
          <w:tcPr>
            <w:tcW w:w="9120" w:type="dxa"/>
            <w:vAlign w:val="bottom"/>
          </w:tcPr>
          <w:p>
            <w:pPr>
              <w:ind w:left="660"/>
              <w:spacing w:after="0"/>
              <w:rPr>
                <w:sz w:val="20"/>
                <w:szCs w:val="20"/>
                <w:color w:val="auto"/>
              </w:rPr>
            </w:pPr>
            <w:r>
              <w:rPr>
                <w:rFonts w:ascii="Arial" w:cs="Arial" w:eastAsia="Arial" w:hAnsi="Arial"/>
                <w:sz w:val="12"/>
                <w:szCs w:val="12"/>
                <w:color w:val="auto"/>
              </w:rPr>
              <w:t>distribution grid</w:t>
            </w:r>
          </w:p>
        </w:tc>
        <w:tc>
          <w:tcPr>
            <w:tcW w:w="0" w:type="dxa"/>
            <w:vAlign w:val="bottom"/>
          </w:tcPr>
          <w:p>
            <w:pPr>
              <w:spacing w:after="0"/>
              <w:rPr>
                <w:sz w:val="1"/>
                <w:szCs w:val="1"/>
                <w:color w:val="auto"/>
              </w:rPr>
            </w:pPr>
          </w:p>
        </w:tc>
      </w:tr>
      <w:tr>
        <w:trPr>
          <w:trHeight w:val="171"/>
        </w:trPr>
        <w:tc>
          <w:tcPr>
            <w:tcW w:w="2320" w:type="dxa"/>
            <w:vAlign w:val="bottom"/>
          </w:tcPr>
          <w:p>
            <w:pPr>
              <w:spacing w:after="0"/>
              <w:rPr>
                <w:sz w:val="20"/>
                <w:szCs w:val="20"/>
                <w:color w:val="auto"/>
              </w:rPr>
            </w:pPr>
            <w:r>
              <w:rPr>
                <w:rFonts w:ascii="Arial" w:cs="Arial" w:eastAsia="Arial" w:hAnsi="Arial"/>
                <w:sz w:val="12"/>
                <w:szCs w:val="12"/>
                <w:color w:val="auto"/>
              </w:rPr>
              <w:t>Drop Down Assets</w:t>
            </w:r>
          </w:p>
        </w:tc>
        <w:tc>
          <w:tcPr>
            <w:tcW w:w="9120" w:type="dxa"/>
            <w:vAlign w:val="bottom"/>
          </w:tcPr>
          <w:p>
            <w:pPr>
              <w:ind w:left="660"/>
              <w:spacing w:after="0"/>
              <w:rPr>
                <w:sz w:val="20"/>
                <w:szCs w:val="20"/>
                <w:color w:val="auto"/>
              </w:rPr>
            </w:pPr>
            <w:r>
              <w:rPr>
                <w:rFonts w:ascii="Arial" w:cs="Arial" w:eastAsia="Arial" w:hAnsi="Arial"/>
                <w:sz w:val="12"/>
                <w:szCs w:val="12"/>
                <w:color w:val="auto"/>
                <w:w w:val="93"/>
              </w:rPr>
              <w:t>Collectively, the June 2014 Drop Down Assets, January 2015 Drop Down Assets, November 2015 Drop Down Assets, CVSR Drop Down, March 2017 Drop Down Assets,</w:t>
            </w:r>
          </w:p>
        </w:tc>
        <w:tc>
          <w:tcPr>
            <w:tcW w:w="0" w:type="dxa"/>
            <w:vAlign w:val="bottom"/>
          </w:tcPr>
          <w:p>
            <w:pPr>
              <w:spacing w:after="0"/>
              <w:rPr>
                <w:sz w:val="1"/>
                <w:szCs w:val="1"/>
                <w:color w:val="auto"/>
              </w:rPr>
            </w:pPr>
          </w:p>
        </w:tc>
      </w:tr>
      <w:tr>
        <w:trPr>
          <w:trHeight w:val="153"/>
        </w:trPr>
        <w:tc>
          <w:tcPr>
            <w:tcW w:w="2320" w:type="dxa"/>
            <w:vAlign w:val="bottom"/>
          </w:tcPr>
          <w:p>
            <w:pPr>
              <w:spacing w:after="0"/>
              <w:rPr>
                <w:sz w:val="13"/>
                <w:szCs w:val="13"/>
                <w:color w:val="auto"/>
              </w:rPr>
            </w:pPr>
          </w:p>
        </w:tc>
        <w:tc>
          <w:tcPr>
            <w:tcW w:w="9120" w:type="dxa"/>
            <w:vAlign w:val="bottom"/>
          </w:tcPr>
          <w:p>
            <w:pPr>
              <w:ind w:left="660"/>
              <w:spacing w:after="0"/>
              <w:rPr>
                <w:sz w:val="20"/>
                <w:szCs w:val="20"/>
                <w:color w:val="auto"/>
              </w:rPr>
            </w:pPr>
            <w:r>
              <w:rPr>
                <w:rFonts w:ascii="Arial" w:cs="Arial" w:eastAsia="Arial" w:hAnsi="Arial"/>
                <w:sz w:val="12"/>
                <w:szCs w:val="12"/>
                <w:color w:val="auto"/>
              </w:rPr>
              <w:t>August 2017 Drop Down Assets, November 2017 Drop Down Assets and Buckthorn Solar Drop Down Asset</w:t>
            </w:r>
          </w:p>
        </w:tc>
        <w:tc>
          <w:tcPr>
            <w:tcW w:w="0" w:type="dxa"/>
            <w:vAlign w:val="bottom"/>
          </w:tcPr>
          <w:p>
            <w:pPr>
              <w:spacing w:after="0"/>
              <w:rPr>
                <w:sz w:val="1"/>
                <w:szCs w:val="1"/>
                <w:color w:val="auto"/>
              </w:rPr>
            </w:pPr>
          </w:p>
        </w:tc>
      </w:tr>
      <w:tr>
        <w:trPr>
          <w:trHeight w:val="180"/>
        </w:trPr>
        <w:tc>
          <w:tcPr>
            <w:tcW w:w="2320" w:type="dxa"/>
            <w:vAlign w:val="bottom"/>
          </w:tcPr>
          <w:p>
            <w:pPr>
              <w:spacing w:after="0"/>
              <w:rPr>
                <w:sz w:val="20"/>
                <w:szCs w:val="20"/>
                <w:color w:val="auto"/>
              </w:rPr>
            </w:pPr>
            <w:r>
              <w:rPr>
                <w:rFonts w:ascii="Arial" w:cs="Arial" w:eastAsia="Arial" w:hAnsi="Arial"/>
                <w:sz w:val="12"/>
                <w:szCs w:val="12"/>
                <w:color w:val="auto"/>
              </w:rPr>
              <w:t>Economic Gross Margin</w:t>
            </w:r>
          </w:p>
        </w:tc>
        <w:tc>
          <w:tcPr>
            <w:tcW w:w="9120" w:type="dxa"/>
            <w:vAlign w:val="bottom"/>
          </w:tcPr>
          <w:p>
            <w:pPr>
              <w:ind w:left="660"/>
              <w:spacing w:after="0"/>
              <w:rPr>
                <w:sz w:val="20"/>
                <w:szCs w:val="20"/>
                <w:color w:val="auto"/>
              </w:rPr>
            </w:pPr>
            <w:r>
              <w:rPr>
                <w:rFonts w:ascii="Arial" w:cs="Arial" w:eastAsia="Arial" w:hAnsi="Arial"/>
                <w:sz w:val="12"/>
                <w:szCs w:val="12"/>
                <w:color w:val="auto"/>
              </w:rPr>
              <w:t>Energy and capacity revenue less cost of fuels</w:t>
            </w:r>
          </w:p>
        </w:tc>
        <w:tc>
          <w:tcPr>
            <w:tcW w:w="0" w:type="dxa"/>
            <w:vAlign w:val="bottom"/>
          </w:tcPr>
          <w:p>
            <w:pPr>
              <w:spacing w:after="0"/>
              <w:rPr>
                <w:sz w:val="1"/>
                <w:szCs w:val="1"/>
                <w:color w:val="auto"/>
              </w:rPr>
            </w:pPr>
          </w:p>
        </w:tc>
      </w:tr>
      <w:tr>
        <w:trPr>
          <w:trHeight w:val="180"/>
        </w:trPr>
        <w:tc>
          <w:tcPr>
            <w:tcW w:w="2320" w:type="dxa"/>
            <w:vAlign w:val="bottom"/>
          </w:tcPr>
          <w:p>
            <w:pPr>
              <w:spacing w:after="0"/>
              <w:rPr>
                <w:sz w:val="20"/>
                <w:szCs w:val="20"/>
                <w:color w:val="auto"/>
              </w:rPr>
            </w:pPr>
            <w:r>
              <w:rPr>
                <w:rFonts w:ascii="Arial" w:cs="Arial" w:eastAsia="Arial" w:hAnsi="Arial"/>
                <w:sz w:val="12"/>
                <w:szCs w:val="12"/>
                <w:color w:val="auto"/>
              </w:rPr>
              <w:t>El Segundo</w:t>
            </w:r>
          </w:p>
        </w:tc>
        <w:tc>
          <w:tcPr>
            <w:tcW w:w="9120" w:type="dxa"/>
            <w:vAlign w:val="bottom"/>
            <w:vMerge w:val="restart"/>
          </w:tcPr>
          <w:p>
            <w:pPr>
              <w:ind w:left="660"/>
              <w:spacing w:after="0"/>
              <w:rPr>
                <w:sz w:val="20"/>
                <w:szCs w:val="20"/>
                <w:color w:val="auto"/>
              </w:rPr>
            </w:pPr>
            <w:r>
              <w:rPr>
                <w:rFonts w:ascii="Arial" w:cs="Arial" w:eastAsia="Arial" w:hAnsi="Arial"/>
                <w:sz w:val="12"/>
                <w:szCs w:val="12"/>
                <w:color w:val="auto"/>
              </w:rPr>
              <w:t>El Segundo Energy Center LLC, the indirect, operating subsidiary of Natural Gas Repowering LLC, which owns the El Segundo Energy Center project</w:t>
            </w:r>
          </w:p>
        </w:tc>
        <w:tc>
          <w:tcPr>
            <w:tcW w:w="0" w:type="dxa"/>
            <w:vAlign w:val="bottom"/>
          </w:tcPr>
          <w:p>
            <w:pPr>
              <w:spacing w:after="0"/>
              <w:rPr>
                <w:sz w:val="1"/>
                <w:szCs w:val="1"/>
                <w:color w:val="auto"/>
              </w:rPr>
            </w:pPr>
          </w:p>
        </w:tc>
      </w:tr>
      <w:tr>
        <w:trPr>
          <w:trHeight w:val="54"/>
        </w:trPr>
        <w:tc>
          <w:tcPr>
            <w:tcW w:w="2320" w:type="dxa"/>
            <w:vAlign w:val="bottom"/>
          </w:tcPr>
          <w:p>
            <w:pPr>
              <w:spacing w:after="0"/>
              <w:rPr>
                <w:sz w:val="4"/>
                <w:szCs w:val="4"/>
                <w:color w:val="auto"/>
              </w:rPr>
            </w:pPr>
          </w:p>
        </w:tc>
        <w:tc>
          <w:tcPr>
            <w:tcW w:w="9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320" w:type="dxa"/>
            <w:vAlign w:val="bottom"/>
          </w:tcPr>
          <w:p>
            <w:pPr>
              <w:spacing w:after="0"/>
              <w:rPr>
                <w:sz w:val="20"/>
                <w:szCs w:val="20"/>
                <w:color w:val="auto"/>
              </w:rPr>
            </w:pPr>
            <w:r>
              <w:rPr>
                <w:rFonts w:ascii="Arial" w:cs="Arial" w:eastAsia="Arial" w:hAnsi="Arial"/>
                <w:sz w:val="12"/>
                <w:szCs w:val="12"/>
                <w:color w:val="auto"/>
              </w:rPr>
              <w:t>EPC</w:t>
            </w:r>
          </w:p>
        </w:tc>
        <w:tc>
          <w:tcPr>
            <w:tcW w:w="9120" w:type="dxa"/>
            <w:vAlign w:val="bottom"/>
          </w:tcPr>
          <w:p>
            <w:pPr>
              <w:ind w:left="660"/>
              <w:spacing w:after="0"/>
              <w:rPr>
                <w:sz w:val="20"/>
                <w:szCs w:val="20"/>
                <w:color w:val="auto"/>
              </w:rPr>
            </w:pPr>
            <w:r>
              <w:rPr>
                <w:rFonts w:ascii="Arial" w:cs="Arial" w:eastAsia="Arial" w:hAnsi="Arial"/>
                <w:sz w:val="12"/>
                <w:szCs w:val="12"/>
                <w:color w:val="auto"/>
              </w:rPr>
              <w:t>Engineering, Procurement and Construction</w:t>
            </w:r>
          </w:p>
        </w:tc>
        <w:tc>
          <w:tcPr>
            <w:tcW w:w="0" w:type="dxa"/>
            <w:vAlign w:val="bottom"/>
          </w:tcPr>
          <w:p>
            <w:pPr>
              <w:spacing w:after="0"/>
              <w:rPr>
                <w:sz w:val="1"/>
                <w:szCs w:val="1"/>
                <w:color w:val="auto"/>
              </w:rPr>
            </w:pPr>
          </w:p>
        </w:tc>
      </w:tr>
      <w:tr>
        <w:trPr>
          <w:trHeight w:val="180"/>
        </w:trPr>
        <w:tc>
          <w:tcPr>
            <w:tcW w:w="2320" w:type="dxa"/>
            <w:vAlign w:val="bottom"/>
          </w:tcPr>
          <w:p>
            <w:pPr>
              <w:spacing w:after="0"/>
              <w:rPr>
                <w:sz w:val="20"/>
                <w:szCs w:val="20"/>
                <w:color w:val="auto"/>
              </w:rPr>
            </w:pPr>
            <w:r>
              <w:rPr>
                <w:rFonts w:ascii="Arial" w:cs="Arial" w:eastAsia="Arial" w:hAnsi="Arial"/>
                <w:sz w:val="12"/>
                <w:szCs w:val="12"/>
                <w:color w:val="auto"/>
              </w:rPr>
              <w:t>Exchange Act</w:t>
            </w:r>
          </w:p>
        </w:tc>
        <w:tc>
          <w:tcPr>
            <w:tcW w:w="9120" w:type="dxa"/>
            <w:vAlign w:val="bottom"/>
          </w:tcPr>
          <w:p>
            <w:pPr>
              <w:ind w:left="660"/>
              <w:spacing w:after="0"/>
              <w:rPr>
                <w:sz w:val="20"/>
                <w:szCs w:val="20"/>
                <w:color w:val="auto"/>
              </w:rPr>
            </w:pPr>
            <w:r>
              <w:rPr>
                <w:rFonts w:ascii="Arial" w:cs="Arial" w:eastAsia="Arial" w:hAnsi="Arial"/>
                <w:sz w:val="12"/>
                <w:szCs w:val="12"/>
                <w:color w:val="auto"/>
              </w:rPr>
              <w:t>The Securities Exchange Act of 1934, as amended</w:t>
            </w:r>
          </w:p>
        </w:tc>
        <w:tc>
          <w:tcPr>
            <w:tcW w:w="0" w:type="dxa"/>
            <w:vAlign w:val="bottom"/>
          </w:tcPr>
          <w:p>
            <w:pPr>
              <w:spacing w:after="0"/>
              <w:rPr>
                <w:sz w:val="1"/>
                <w:szCs w:val="1"/>
                <w:color w:val="auto"/>
              </w:rPr>
            </w:pPr>
          </w:p>
        </w:tc>
      </w:tr>
      <w:tr>
        <w:trPr>
          <w:trHeight w:val="180"/>
        </w:trPr>
        <w:tc>
          <w:tcPr>
            <w:tcW w:w="2320" w:type="dxa"/>
            <w:vAlign w:val="bottom"/>
          </w:tcPr>
          <w:p>
            <w:pPr>
              <w:spacing w:after="0"/>
              <w:rPr>
                <w:sz w:val="20"/>
                <w:szCs w:val="20"/>
                <w:color w:val="auto"/>
              </w:rPr>
            </w:pPr>
            <w:r>
              <w:rPr>
                <w:rFonts w:ascii="Arial" w:cs="Arial" w:eastAsia="Arial" w:hAnsi="Arial"/>
                <w:sz w:val="12"/>
                <w:szCs w:val="12"/>
                <w:color w:val="auto"/>
              </w:rPr>
              <w:t>FASB</w:t>
            </w:r>
          </w:p>
        </w:tc>
        <w:tc>
          <w:tcPr>
            <w:tcW w:w="9120" w:type="dxa"/>
            <w:vAlign w:val="bottom"/>
          </w:tcPr>
          <w:p>
            <w:pPr>
              <w:ind w:left="660"/>
              <w:spacing w:after="0"/>
              <w:rPr>
                <w:sz w:val="20"/>
                <w:szCs w:val="20"/>
                <w:color w:val="auto"/>
              </w:rPr>
            </w:pPr>
            <w:r>
              <w:rPr>
                <w:rFonts w:ascii="Arial" w:cs="Arial" w:eastAsia="Arial" w:hAnsi="Arial"/>
                <w:sz w:val="12"/>
                <w:szCs w:val="12"/>
                <w:color w:val="auto"/>
              </w:rPr>
              <w:t>Financial Accounting Standards Board</w:t>
            </w:r>
          </w:p>
        </w:tc>
        <w:tc>
          <w:tcPr>
            <w:tcW w:w="0" w:type="dxa"/>
            <w:vAlign w:val="bottom"/>
          </w:tcPr>
          <w:p>
            <w:pPr>
              <w:spacing w:after="0"/>
              <w:rPr>
                <w:sz w:val="1"/>
                <w:szCs w:val="1"/>
                <w:color w:val="auto"/>
              </w:rPr>
            </w:pPr>
          </w:p>
        </w:tc>
      </w:tr>
      <w:tr>
        <w:trPr>
          <w:trHeight w:val="180"/>
        </w:trPr>
        <w:tc>
          <w:tcPr>
            <w:tcW w:w="2320" w:type="dxa"/>
            <w:vAlign w:val="bottom"/>
          </w:tcPr>
          <w:p>
            <w:pPr>
              <w:spacing w:after="0"/>
              <w:rPr>
                <w:sz w:val="20"/>
                <w:szCs w:val="20"/>
                <w:color w:val="auto"/>
              </w:rPr>
            </w:pPr>
            <w:r>
              <w:rPr>
                <w:rFonts w:ascii="Arial" w:cs="Arial" w:eastAsia="Arial" w:hAnsi="Arial"/>
                <w:sz w:val="12"/>
                <w:szCs w:val="12"/>
                <w:color w:val="auto"/>
              </w:rPr>
              <w:t>GAAP</w:t>
            </w:r>
          </w:p>
        </w:tc>
        <w:tc>
          <w:tcPr>
            <w:tcW w:w="9120" w:type="dxa"/>
            <w:vAlign w:val="bottom"/>
          </w:tcPr>
          <w:p>
            <w:pPr>
              <w:ind w:left="660"/>
              <w:spacing w:after="0"/>
              <w:rPr>
                <w:sz w:val="20"/>
                <w:szCs w:val="20"/>
                <w:color w:val="auto"/>
              </w:rPr>
            </w:pPr>
            <w:r>
              <w:rPr>
                <w:rFonts w:ascii="Arial" w:cs="Arial" w:eastAsia="Arial" w:hAnsi="Arial"/>
                <w:sz w:val="12"/>
                <w:szCs w:val="12"/>
                <w:color w:val="auto"/>
              </w:rPr>
              <w:t>Accounting principles generally accepted in the U.S.</w:t>
            </w:r>
          </w:p>
        </w:tc>
        <w:tc>
          <w:tcPr>
            <w:tcW w:w="0" w:type="dxa"/>
            <w:vAlign w:val="bottom"/>
          </w:tcPr>
          <w:p>
            <w:pPr>
              <w:spacing w:after="0"/>
              <w:rPr>
                <w:sz w:val="1"/>
                <w:szCs w:val="1"/>
                <w:color w:val="auto"/>
              </w:rPr>
            </w:pPr>
          </w:p>
        </w:tc>
      </w:tr>
      <w:tr>
        <w:trPr>
          <w:trHeight w:val="180"/>
        </w:trPr>
        <w:tc>
          <w:tcPr>
            <w:tcW w:w="2320" w:type="dxa"/>
            <w:vAlign w:val="bottom"/>
          </w:tcPr>
          <w:p>
            <w:pPr>
              <w:spacing w:after="0"/>
              <w:rPr>
                <w:sz w:val="20"/>
                <w:szCs w:val="20"/>
                <w:color w:val="auto"/>
              </w:rPr>
            </w:pPr>
            <w:r>
              <w:rPr>
                <w:rFonts w:ascii="Arial" w:cs="Arial" w:eastAsia="Arial" w:hAnsi="Arial"/>
                <w:sz w:val="12"/>
                <w:szCs w:val="12"/>
                <w:color w:val="auto"/>
              </w:rPr>
              <w:t>GenConn</w:t>
            </w:r>
          </w:p>
        </w:tc>
        <w:tc>
          <w:tcPr>
            <w:tcW w:w="9120" w:type="dxa"/>
            <w:vAlign w:val="bottom"/>
          </w:tcPr>
          <w:p>
            <w:pPr>
              <w:ind w:left="660"/>
              <w:spacing w:after="0"/>
              <w:rPr>
                <w:sz w:val="20"/>
                <w:szCs w:val="20"/>
                <w:color w:val="auto"/>
              </w:rPr>
            </w:pPr>
            <w:r>
              <w:rPr>
                <w:rFonts w:ascii="Arial" w:cs="Arial" w:eastAsia="Arial" w:hAnsi="Arial"/>
                <w:sz w:val="12"/>
                <w:szCs w:val="12"/>
                <w:color w:val="auto"/>
              </w:rPr>
              <w:t>GenConn Energy LLC</w:t>
            </w:r>
          </w:p>
        </w:tc>
        <w:tc>
          <w:tcPr>
            <w:tcW w:w="0" w:type="dxa"/>
            <w:vAlign w:val="bottom"/>
          </w:tcPr>
          <w:p>
            <w:pPr>
              <w:spacing w:after="0"/>
              <w:rPr>
                <w:sz w:val="1"/>
                <w:szCs w:val="1"/>
                <w:color w:val="auto"/>
              </w:rPr>
            </w:pPr>
          </w:p>
        </w:tc>
      </w:tr>
      <w:tr>
        <w:trPr>
          <w:trHeight w:val="180"/>
        </w:trPr>
        <w:tc>
          <w:tcPr>
            <w:tcW w:w="2320" w:type="dxa"/>
            <w:vAlign w:val="bottom"/>
          </w:tcPr>
          <w:p>
            <w:pPr>
              <w:spacing w:after="0"/>
              <w:rPr>
                <w:sz w:val="20"/>
                <w:szCs w:val="20"/>
                <w:color w:val="auto"/>
              </w:rPr>
            </w:pPr>
            <w:r>
              <w:rPr>
                <w:rFonts w:ascii="Arial" w:cs="Arial" w:eastAsia="Arial" w:hAnsi="Arial"/>
                <w:sz w:val="12"/>
                <w:szCs w:val="12"/>
                <w:color w:val="auto"/>
              </w:rPr>
              <w:t>GIP</w:t>
            </w:r>
          </w:p>
        </w:tc>
        <w:tc>
          <w:tcPr>
            <w:tcW w:w="9120" w:type="dxa"/>
            <w:vAlign w:val="bottom"/>
          </w:tcPr>
          <w:p>
            <w:pPr>
              <w:ind w:left="660"/>
              <w:spacing w:after="0"/>
              <w:rPr>
                <w:sz w:val="20"/>
                <w:szCs w:val="20"/>
                <w:color w:val="auto"/>
              </w:rPr>
            </w:pPr>
            <w:r>
              <w:rPr>
                <w:rFonts w:ascii="Arial" w:cs="Arial" w:eastAsia="Arial" w:hAnsi="Arial"/>
                <w:sz w:val="12"/>
                <w:szCs w:val="12"/>
                <w:color w:val="auto"/>
              </w:rPr>
              <w:t>Global Infrastructure Partners</w:t>
            </w:r>
          </w:p>
        </w:tc>
        <w:tc>
          <w:tcPr>
            <w:tcW w:w="0" w:type="dxa"/>
            <w:vAlign w:val="bottom"/>
          </w:tcPr>
          <w:p>
            <w:pPr>
              <w:spacing w:after="0"/>
              <w:rPr>
                <w:sz w:val="1"/>
                <w:szCs w:val="1"/>
                <w:color w:val="auto"/>
              </w:rPr>
            </w:pPr>
          </w:p>
        </w:tc>
      </w:tr>
      <w:tr>
        <w:trPr>
          <w:trHeight w:val="180"/>
        </w:trPr>
        <w:tc>
          <w:tcPr>
            <w:tcW w:w="2320" w:type="dxa"/>
            <w:vAlign w:val="bottom"/>
          </w:tcPr>
          <w:p>
            <w:pPr>
              <w:spacing w:after="0"/>
              <w:rPr>
                <w:sz w:val="20"/>
                <w:szCs w:val="20"/>
                <w:color w:val="auto"/>
              </w:rPr>
            </w:pPr>
            <w:r>
              <w:rPr>
                <w:rFonts w:ascii="Arial" w:cs="Arial" w:eastAsia="Arial" w:hAnsi="Arial"/>
                <w:sz w:val="12"/>
                <w:szCs w:val="12"/>
                <w:color w:val="auto"/>
              </w:rPr>
              <w:t>HLBV</w:t>
            </w:r>
          </w:p>
        </w:tc>
        <w:tc>
          <w:tcPr>
            <w:tcW w:w="9120" w:type="dxa"/>
            <w:vAlign w:val="bottom"/>
          </w:tcPr>
          <w:p>
            <w:pPr>
              <w:ind w:left="660"/>
              <w:spacing w:after="0"/>
              <w:rPr>
                <w:sz w:val="20"/>
                <w:szCs w:val="20"/>
                <w:color w:val="auto"/>
              </w:rPr>
            </w:pPr>
            <w:r>
              <w:rPr>
                <w:rFonts w:ascii="Arial" w:cs="Arial" w:eastAsia="Arial" w:hAnsi="Arial"/>
                <w:sz w:val="12"/>
                <w:szCs w:val="12"/>
                <w:color w:val="auto"/>
              </w:rPr>
              <w:t>Hypothetical Liquidation at Book Value</w:t>
            </w:r>
          </w:p>
        </w:tc>
        <w:tc>
          <w:tcPr>
            <w:tcW w:w="0" w:type="dxa"/>
            <w:vAlign w:val="bottom"/>
          </w:tcPr>
          <w:p>
            <w:pPr>
              <w:spacing w:after="0"/>
              <w:rPr>
                <w:sz w:val="1"/>
                <w:szCs w:val="1"/>
                <w:color w:val="auto"/>
              </w:rPr>
            </w:pPr>
          </w:p>
        </w:tc>
      </w:tr>
      <w:tr>
        <w:trPr>
          <w:trHeight w:val="324"/>
        </w:trPr>
        <w:tc>
          <w:tcPr>
            <w:tcW w:w="2320" w:type="dxa"/>
            <w:vAlign w:val="bottom"/>
          </w:tcPr>
          <w:p>
            <w:pPr>
              <w:spacing w:after="0"/>
              <w:rPr>
                <w:sz w:val="24"/>
                <w:szCs w:val="24"/>
                <w:color w:val="auto"/>
              </w:rPr>
            </w:pPr>
          </w:p>
        </w:tc>
        <w:tc>
          <w:tcPr>
            <w:tcW w:w="9120" w:type="dxa"/>
            <w:vAlign w:val="bottom"/>
          </w:tcPr>
          <w:p>
            <w:pPr>
              <w:ind w:left="336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bl>
    <w:p>
      <w:pPr>
        <w:sectPr>
          <w:pgSz w:w="11900" w:h="16838" w:orient="portrait"/>
          <w:cols w:equalWidth="0" w:num="1">
            <w:col w:w="11440"/>
          </w:cols>
          <w:pgMar w:left="240" w:top="505" w:right="21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340" w:type="dxa"/>
            <w:vAlign w:val="bottom"/>
          </w:tcPr>
          <w:p>
            <w:pPr>
              <w:spacing w:after="0"/>
              <w:rPr>
                <w:sz w:val="20"/>
                <w:szCs w:val="20"/>
                <w:color w:val="auto"/>
              </w:rPr>
            </w:pPr>
            <w:r>
              <w:rPr>
                <w:rFonts w:ascii="Arial" w:cs="Arial" w:eastAsia="Arial" w:hAnsi="Arial"/>
                <w:sz w:val="12"/>
                <w:szCs w:val="12"/>
                <w:color w:val="auto"/>
              </w:rPr>
              <w:t>IASB</w:t>
            </w:r>
          </w:p>
        </w:tc>
        <w:tc>
          <w:tcPr>
            <w:tcW w:w="9100" w:type="dxa"/>
            <w:vAlign w:val="bottom"/>
          </w:tcPr>
          <w:p>
            <w:pPr>
              <w:ind w:left="640"/>
              <w:spacing w:after="0"/>
              <w:rPr>
                <w:sz w:val="20"/>
                <w:szCs w:val="20"/>
                <w:color w:val="auto"/>
              </w:rPr>
            </w:pPr>
            <w:r>
              <w:rPr>
                <w:rFonts w:ascii="Arial" w:cs="Arial" w:eastAsia="Arial" w:hAnsi="Arial"/>
                <w:sz w:val="12"/>
                <w:szCs w:val="12"/>
                <w:color w:val="auto"/>
              </w:rPr>
              <w:t>International Accounting Standards Board</w:t>
            </w:r>
          </w:p>
        </w:tc>
        <w:tc>
          <w:tcPr>
            <w:tcW w:w="0" w:type="dxa"/>
            <w:vAlign w:val="bottom"/>
          </w:tcPr>
          <w:p>
            <w:pPr>
              <w:spacing w:after="0"/>
              <w:rPr>
                <w:sz w:val="1"/>
                <w:szCs w:val="1"/>
                <w:color w:val="auto"/>
              </w:rPr>
            </w:pPr>
          </w:p>
        </w:tc>
      </w:tr>
      <w:tr>
        <w:trPr>
          <w:trHeight w:val="180"/>
        </w:trPr>
        <w:tc>
          <w:tcPr>
            <w:tcW w:w="2340" w:type="dxa"/>
            <w:vAlign w:val="bottom"/>
          </w:tcPr>
          <w:p>
            <w:pPr>
              <w:spacing w:after="0"/>
              <w:rPr>
                <w:sz w:val="20"/>
                <w:szCs w:val="20"/>
                <w:color w:val="auto"/>
              </w:rPr>
            </w:pPr>
            <w:r>
              <w:rPr>
                <w:rFonts w:ascii="Arial" w:cs="Arial" w:eastAsia="Arial" w:hAnsi="Arial"/>
                <w:sz w:val="12"/>
                <w:szCs w:val="12"/>
                <w:color w:val="auto"/>
              </w:rPr>
              <w:t>ISO</w:t>
            </w:r>
          </w:p>
        </w:tc>
        <w:tc>
          <w:tcPr>
            <w:tcW w:w="9100" w:type="dxa"/>
            <w:vAlign w:val="bottom"/>
          </w:tcPr>
          <w:p>
            <w:pPr>
              <w:ind w:left="640"/>
              <w:spacing w:after="0"/>
              <w:rPr>
                <w:sz w:val="20"/>
                <w:szCs w:val="20"/>
                <w:color w:val="auto"/>
              </w:rPr>
            </w:pPr>
            <w:r>
              <w:rPr>
                <w:rFonts w:ascii="Arial" w:cs="Arial" w:eastAsia="Arial" w:hAnsi="Arial"/>
                <w:sz w:val="12"/>
                <w:szCs w:val="12"/>
                <w:color w:val="auto"/>
              </w:rPr>
              <w:t>Independent System Operator, also referred to as RTO</w:t>
            </w:r>
          </w:p>
        </w:tc>
        <w:tc>
          <w:tcPr>
            <w:tcW w:w="0" w:type="dxa"/>
            <w:vAlign w:val="bottom"/>
          </w:tcPr>
          <w:p>
            <w:pPr>
              <w:spacing w:after="0"/>
              <w:rPr>
                <w:sz w:val="1"/>
                <w:szCs w:val="1"/>
                <w:color w:val="auto"/>
              </w:rPr>
            </w:pPr>
          </w:p>
        </w:tc>
      </w:tr>
      <w:tr>
        <w:trPr>
          <w:trHeight w:val="180"/>
        </w:trPr>
        <w:tc>
          <w:tcPr>
            <w:tcW w:w="2340" w:type="dxa"/>
            <w:vAlign w:val="bottom"/>
          </w:tcPr>
          <w:p>
            <w:pPr>
              <w:spacing w:after="0"/>
              <w:rPr>
                <w:sz w:val="20"/>
                <w:szCs w:val="20"/>
                <w:color w:val="auto"/>
              </w:rPr>
            </w:pPr>
            <w:r>
              <w:rPr>
                <w:rFonts w:ascii="Arial" w:cs="Arial" w:eastAsia="Arial" w:hAnsi="Arial"/>
                <w:sz w:val="12"/>
                <w:szCs w:val="12"/>
                <w:color w:val="auto"/>
              </w:rPr>
              <w:t>January 2015 Drop Down Assets</w:t>
            </w:r>
          </w:p>
        </w:tc>
        <w:tc>
          <w:tcPr>
            <w:tcW w:w="9100" w:type="dxa"/>
            <w:vAlign w:val="bottom"/>
            <w:vMerge w:val="restart"/>
          </w:tcPr>
          <w:p>
            <w:pPr>
              <w:ind w:left="640"/>
              <w:spacing w:after="0"/>
              <w:rPr>
                <w:sz w:val="20"/>
                <w:szCs w:val="20"/>
                <w:color w:val="auto"/>
              </w:rPr>
            </w:pPr>
            <w:r>
              <w:rPr>
                <w:rFonts w:ascii="Arial" w:cs="Arial" w:eastAsia="Arial" w:hAnsi="Arial"/>
                <w:sz w:val="12"/>
                <w:szCs w:val="12"/>
                <w:color w:val="auto"/>
              </w:rPr>
              <w:t>The Laredo Ridge, Tapestry and Walnut Creek projects, which were acquired by NRG Yield Operating LLC from NRG on January 2, 2015</w:t>
            </w:r>
          </w:p>
        </w:tc>
        <w:tc>
          <w:tcPr>
            <w:tcW w:w="0" w:type="dxa"/>
            <w:vAlign w:val="bottom"/>
          </w:tcPr>
          <w:p>
            <w:pPr>
              <w:spacing w:after="0"/>
              <w:rPr>
                <w:sz w:val="1"/>
                <w:szCs w:val="1"/>
                <w:color w:val="auto"/>
              </w:rPr>
            </w:pPr>
          </w:p>
        </w:tc>
      </w:tr>
      <w:tr>
        <w:trPr>
          <w:trHeight w:val="54"/>
        </w:trPr>
        <w:tc>
          <w:tcPr>
            <w:tcW w:w="2340" w:type="dxa"/>
            <w:vAlign w:val="bottom"/>
          </w:tcPr>
          <w:p>
            <w:pPr>
              <w:spacing w:after="0"/>
              <w:rPr>
                <w:sz w:val="4"/>
                <w:szCs w:val="4"/>
                <w:color w:val="auto"/>
              </w:rPr>
            </w:pPr>
          </w:p>
        </w:tc>
        <w:tc>
          <w:tcPr>
            <w:tcW w:w="9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340" w:type="dxa"/>
            <w:vAlign w:val="bottom"/>
          </w:tcPr>
          <w:p>
            <w:pPr>
              <w:spacing w:after="0"/>
              <w:rPr>
                <w:sz w:val="20"/>
                <w:szCs w:val="20"/>
                <w:color w:val="auto"/>
              </w:rPr>
            </w:pPr>
            <w:r>
              <w:rPr>
                <w:rFonts w:ascii="Arial" w:cs="Arial" w:eastAsia="Arial" w:hAnsi="Arial"/>
                <w:sz w:val="12"/>
                <w:szCs w:val="12"/>
                <w:color w:val="auto"/>
              </w:rPr>
              <w:t>Kansas South</w:t>
            </w:r>
          </w:p>
        </w:tc>
        <w:tc>
          <w:tcPr>
            <w:tcW w:w="9100" w:type="dxa"/>
            <w:vAlign w:val="bottom"/>
            <w:vMerge w:val="restart"/>
          </w:tcPr>
          <w:p>
            <w:pPr>
              <w:ind w:left="640"/>
              <w:spacing w:after="0"/>
              <w:rPr>
                <w:sz w:val="20"/>
                <w:szCs w:val="20"/>
                <w:color w:val="auto"/>
              </w:rPr>
            </w:pPr>
            <w:r>
              <w:rPr>
                <w:rFonts w:ascii="Arial" w:cs="Arial" w:eastAsia="Arial" w:hAnsi="Arial"/>
                <w:sz w:val="12"/>
                <w:szCs w:val="12"/>
                <w:color w:val="auto"/>
              </w:rPr>
              <w:t>NRG Solar Kansas South LLC, the operating subsidiary of NRG Solar Kansas South Holdings LLC, which owns the Kansas South project</w:t>
            </w:r>
          </w:p>
        </w:tc>
        <w:tc>
          <w:tcPr>
            <w:tcW w:w="0" w:type="dxa"/>
            <w:vAlign w:val="bottom"/>
          </w:tcPr>
          <w:p>
            <w:pPr>
              <w:spacing w:after="0"/>
              <w:rPr>
                <w:sz w:val="1"/>
                <w:szCs w:val="1"/>
                <w:color w:val="auto"/>
              </w:rPr>
            </w:pPr>
          </w:p>
        </w:tc>
      </w:tr>
      <w:tr>
        <w:trPr>
          <w:trHeight w:val="54"/>
        </w:trPr>
        <w:tc>
          <w:tcPr>
            <w:tcW w:w="2340" w:type="dxa"/>
            <w:vAlign w:val="bottom"/>
          </w:tcPr>
          <w:p>
            <w:pPr>
              <w:spacing w:after="0"/>
              <w:rPr>
                <w:sz w:val="4"/>
                <w:szCs w:val="4"/>
                <w:color w:val="auto"/>
              </w:rPr>
            </w:pPr>
          </w:p>
        </w:tc>
        <w:tc>
          <w:tcPr>
            <w:tcW w:w="9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340" w:type="dxa"/>
            <w:vAlign w:val="bottom"/>
          </w:tcPr>
          <w:p>
            <w:pPr>
              <w:spacing w:after="0"/>
              <w:rPr>
                <w:sz w:val="20"/>
                <w:szCs w:val="20"/>
                <w:color w:val="auto"/>
              </w:rPr>
            </w:pPr>
            <w:r>
              <w:rPr>
                <w:rFonts w:ascii="Arial" w:cs="Arial" w:eastAsia="Arial" w:hAnsi="Arial"/>
                <w:sz w:val="12"/>
                <w:szCs w:val="12"/>
                <w:color w:val="auto"/>
              </w:rPr>
              <w:t>KPPH</w:t>
            </w:r>
          </w:p>
        </w:tc>
        <w:tc>
          <w:tcPr>
            <w:tcW w:w="9100" w:type="dxa"/>
            <w:vAlign w:val="bottom"/>
          </w:tcPr>
          <w:p>
            <w:pPr>
              <w:ind w:left="640"/>
              <w:spacing w:after="0"/>
              <w:rPr>
                <w:sz w:val="20"/>
                <w:szCs w:val="20"/>
                <w:color w:val="auto"/>
              </w:rPr>
            </w:pPr>
            <w:r>
              <w:rPr>
                <w:rFonts w:ascii="Arial" w:cs="Arial" w:eastAsia="Arial" w:hAnsi="Arial"/>
                <w:sz w:val="12"/>
                <w:szCs w:val="12"/>
                <w:color w:val="auto"/>
              </w:rPr>
              <w:t>Kilo Pascals Per Hour</w:t>
            </w:r>
          </w:p>
        </w:tc>
        <w:tc>
          <w:tcPr>
            <w:tcW w:w="0" w:type="dxa"/>
            <w:vAlign w:val="bottom"/>
          </w:tcPr>
          <w:p>
            <w:pPr>
              <w:spacing w:after="0"/>
              <w:rPr>
                <w:sz w:val="1"/>
                <w:szCs w:val="1"/>
                <w:color w:val="auto"/>
              </w:rPr>
            </w:pPr>
          </w:p>
        </w:tc>
      </w:tr>
      <w:tr>
        <w:trPr>
          <w:trHeight w:val="180"/>
        </w:trPr>
        <w:tc>
          <w:tcPr>
            <w:tcW w:w="2340" w:type="dxa"/>
            <w:vAlign w:val="bottom"/>
          </w:tcPr>
          <w:p>
            <w:pPr>
              <w:spacing w:after="0"/>
              <w:rPr>
                <w:sz w:val="20"/>
                <w:szCs w:val="20"/>
                <w:color w:val="auto"/>
              </w:rPr>
            </w:pPr>
            <w:r>
              <w:rPr>
                <w:rFonts w:ascii="Arial" w:cs="Arial" w:eastAsia="Arial" w:hAnsi="Arial"/>
                <w:sz w:val="12"/>
                <w:szCs w:val="12"/>
                <w:color w:val="auto"/>
              </w:rPr>
              <w:t>Laredo Ridge</w:t>
            </w:r>
          </w:p>
        </w:tc>
        <w:tc>
          <w:tcPr>
            <w:tcW w:w="9100" w:type="dxa"/>
            <w:vAlign w:val="bottom"/>
          </w:tcPr>
          <w:p>
            <w:pPr>
              <w:ind w:left="640"/>
              <w:spacing w:after="0"/>
              <w:rPr>
                <w:sz w:val="20"/>
                <w:szCs w:val="20"/>
                <w:color w:val="auto"/>
              </w:rPr>
            </w:pPr>
            <w:r>
              <w:rPr>
                <w:rFonts w:ascii="Arial" w:cs="Arial" w:eastAsia="Arial" w:hAnsi="Arial"/>
                <w:sz w:val="12"/>
                <w:szCs w:val="12"/>
                <w:color w:val="auto"/>
              </w:rPr>
              <w:t>Laredo Ridge Wind, LLC, the operating subsidiary of Mission Wind Laredo, LLC, which owns the Laredo Ridge project</w:t>
            </w:r>
          </w:p>
        </w:tc>
        <w:tc>
          <w:tcPr>
            <w:tcW w:w="0" w:type="dxa"/>
            <w:vAlign w:val="bottom"/>
          </w:tcPr>
          <w:p>
            <w:pPr>
              <w:spacing w:after="0"/>
              <w:rPr>
                <w:sz w:val="1"/>
                <w:szCs w:val="1"/>
                <w:color w:val="auto"/>
              </w:rPr>
            </w:pPr>
          </w:p>
        </w:tc>
      </w:tr>
      <w:tr>
        <w:trPr>
          <w:trHeight w:val="180"/>
        </w:trPr>
        <w:tc>
          <w:tcPr>
            <w:tcW w:w="2340" w:type="dxa"/>
            <w:vAlign w:val="bottom"/>
          </w:tcPr>
          <w:p>
            <w:pPr>
              <w:spacing w:after="0"/>
              <w:rPr>
                <w:sz w:val="20"/>
                <w:szCs w:val="20"/>
                <w:color w:val="auto"/>
              </w:rPr>
            </w:pPr>
            <w:r>
              <w:rPr>
                <w:rFonts w:ascii="Arial" w:cs="Arial" w:eastAsia="Arial" w:hAnsi="Arial"/>
                <w:sz w:val="12"/>
                <w:szCs w:val="12"/>
                <w:color w:val="auto"/>
              </w:rPr>
              <w:t>LIBOR</w:t>
            </w:r>
          </w:p>
        </w:tc>
        <w:tc>
          <w:tcPr>
            <w:tcW w:w="9100" w:type="dxa"/>
            <w:vAlign w:val="bottom"/>
          </w:tcPr>
          <w:p>
            <w:pPr>
              <w:ind w:left="640"/>
              <w:spacing w:after="0"/>
              <w:rPr>
                <w:sz w:val="20"/>
                <w:szCs w:val="20"/>
                <w:color w:val="auto"/>
              </w:rPr>
            </w:pPr>
            <w:r>
              <w:rPr>
                <w:rFonts w:ascii="Arial" w:cs="Arial" w:eastAsia="Arial" w:hAnsi="Arial"/>
                <w:sz w:val="12"/>
                <w:szCs w:val="12"/>
                <w:color w:val="auto"/>
              </w:rPr>
              <w:t>London Inter-Bank Offered Rate</w:t>
            </w:r>
          </w:p>
        </w:tc>
        <w:tc>
          <w:tcPr>
            <w:tcW w:w="0" w:type="dxa"/>
            <w:vAlign w:val="bottom"/>
          </w:tcPr>
          <w:p>
            <w:pPr>
              <w:spacing w:after="0"/>
              <w:rPr>
                <w:sz w:val="1"/>
                <w:szCs w:val="1"/>
                <w:color w:val="auto"/>
              </w:rPr>
            </w:pPr>
          </w:p>
        </w:tc>
      </w:tr>
      <w:tr>
        <w:trPr>
          <w:trHeight w:val="171"/>
        </w:trPr>
        <w:tc>
          <w:tcPr>
            <w:tcW w:w="2340" w:type="dxa"/>
            <w:vAlign w:val="bottom"/>
          </w:tcPr>
          <w:p>
            <w:pPr>
              <w:spacing w:after="0"/>
              <w:rPr>
                <w:sz w:val="20"/>
                <w:szCs w:val="20"/>
                <w:color w:val="auto"/>
              </w:rPr>
            </w:pPr>
            <w:r>
              <w:rPr>
                <w:rFonts w:ascii="Arial" w:cs="Arial" w:eastAsia="Arial" w:hAnsi="Arial"/>
                <w:sz w:val="12"/>
                <w:szCs w:val="12"/>
                <w:color w:val="auto"/>
              </w:rPr>
              <w:t>March 2017 Drop Down Assets</w:t>
            </w:r>
          </w:p>
        </w:tc>
        <w:tc>
          <w:tcPr>
            <w:tcW w:w="9100" w:type="dxa"/>
            <w:vAlign w:val="bottom"/>
          </w:tcPr>
          <w:p>
            <w:pPr>
              <w:ind w:left="640"/>
              <w:spacing w:after="0"/>
              <w:rPr>
                <w:sz w:val="20"/>
                <w:szCs w:val="20"/>
                <w:color w:val="auto"/>
              </w:rPr>
            </w:pPr>
            <w:r>
              <w:rPr>
                <w:rFonts w:ascii="Arial" w:cs="Arial" w:eastAsia="Arial" w:hAnsi="Arial"/>
                <w:sz w:val="12"/>
                <w:szCs w:val="12"/>
                <w:color w:val="auto"/>
                <w:w w:val="92"/>
              </w:rPr>
              <w:t>(i) Agua Caliente Borrower 2 LLC, which owns a 16% interest (approximately 31% of NRG's 51% interest) in the Agua Caliente solar farm and (ii) NRG's 100% ownership in</w:t>
            </w:r>
          </w:p>
        </w:tc>
        <w:tc>
          <w:tcPr>
            <w:tcW w:w="0" w:type="dxa"/>
            <w:vAlign w:val="bottom"/>
          </w:tcPr>
          <w:p>
            <w:pPr>
              <w:spacing w:after="0"/>
              <w:rPr>
                <w:sz w:val="1"/>
                <w:szCs w:val="1"/>
                <w:color w:val="auto"/>
              </w:rPr>
            </w:pPr>
          </w:p>
        </w:tc>
      </w:tr>
      <w:tr>
        <w:trPr>
          <w:trHeight w:val="153"/>
        </w:trPr>
        <w:tc>
          <w:tcPr>
            <w:tcW w:w="2340" w:type="dxa"/>
            <w:vAlign w:val="bottom"/>
          </w:tcPr>
          <w:p>
            <w:pPr>
              <w:spacing w:after="0"/>
              <w:rPr>
                <w:sz w:val="13"/>
                <w:szCs w:val="13"/>
                <w:color w:val="auto"/>
              </w:rPr>
            </w:pPr>
          </w:p>
        </w:tc>
        <w:tc>
          <w:tcPr>
            <w:tcW w:w="9100" w:type="dxa"/>
            <w:vAlign w:val="bottom"/>
          </w:tcPr>
          <w:p>
            <w:pPr>
              <w:ind w:left="640"/>
              <w:spacing w:after="0"/>
              <w:rPr>
                <w:sz w:val="20"/>
                <w:szCs w:val="20"/>
                <w:color w:val="auto"/>
              </w:rPr>
            </w:pPr>
            <w:r>
              <w:rPr>
                <w:rFonts w:ascii="Arial" w:cs="Arial" w:eastAsia="Arial" w:hAnsi="Arial"/>
                <w:sz w:val="12"/>
                <w:szCs w:val="12"/>
                <w:color w:val="auto"/>
              </w:rPr>
              <w:t>the Class A equity interests in the Utah Solar Portfolio (defined below), both acquired by the Company on March 27, 2017</w:t>
            </w:r>
          </w:p>
        </w:tc>
        <w:tc>
          <w:tcPr>
            <w:tcW w:w="0" w:type="dxa"/>
            <w:vAlign w:val="bottom"/>
          </w:tcPr>
          <w:p>
            <w:pPr>
              <w:spacing w:after="0"/>
              <w:rPr>
                <w:sz w:val="1"/>
                <w:szCs w:val="1"/>
                <w:color w:val="auto"/>
              </w:rPr>
            </w:pPr>
          </w:p>
        </w:tc>
      </w:tr>
      <w:tr>
        <w:trPr>
          <w:trHeight w:val="180"/>
        </w:trPr>
        <w:tc>
          <w:tcPr>
            <w:tcW w:w="2340" w:type="dxa"/>
            <w:vAlign w:val="bottom"/>
          </w:tcPr>
          <w:p>
            <w:pPr>
              <w:spacing w:after="0"/>
              <w:rPr>
                <w:sz w:val="20"/>
                <w:szCs w:val="20"/>
                <w:color w:val="auto"/>
              </w:rPr>
            </w:pPr>
            <w:r>
              <w:rPr>
                <w:rFonts w:ascii="Arial" w:cs="Arial" w:eastAsia="Arial" w:hAnsi="Arial"/>
                <w:sz w:val="12"/>
                <w:szCs w:val="12"/>
                <w:color w:val="auto"/>
              </w:rPr>
              <w:t>Marsh Landing</w:t>
            </w:r>
          </w:p>
        </w:tc>
        <w:tc>
          <w:tcPr>
            <w:tcW w:w="9100" w:type="dxa"/>
            <w:vAlign w:val="bottom"/>
          </w:tcPr>
          <w:p>
            <w:pPr>
              <w:ind w:left="640"/>
              <w:spacing w:after="0"/>
              <w:rPr>
                <w:sz w:val="20"/>
                <w:szCs w:val="20"/>
                <w:color w:val="auto"/>
              </w:rPr>
            </w:pPr>
            <w:r>
              <w:rPr>
                <w:rFonts w:ascii="Arial" w:cs="Arial" w:eastAsia="Arial" w:hAnsi="Arial"/>
                <w:sz w:val="12"/>
                <w:szCs w:val="12"/>
                <w:color w:val="auto"/>
              </w:rPr>
              <w:t>NRG Marsh Landing LLC, formerly GenOn Marsh Landing LLC</w:t>
            </w:r>
          </w:p>
        </w:tc>
        <w:tc>
          <w:tcPr>
            <w:tcW w:w="0" w:type="dxa"/>
            <w:vAlign w:val="bottom"/>
          </w:tcPr>
          <w:p>
            <w:pPr>
              <w:spacing w:after="0"/>
              <w:rPr>
                <w:sz w:val="1"/>
                <w:szCs w:val="1"/>
                <w:color w:val="auto"/>
              </w:rPr>
            </w:pPr>
          </w:p>
        </w:tc>
      </w:tr>
      <w:tr>
        <w:trPr>
          <w:trHeight w:val="180"/>
        </w:trPr>
        <w:tc>
          <w:tcPr>
            <w:tcW w:w="2340" w:type="dxa"/>
            <w:vAlign w:val="bottom"/>
          </w:tcPr>
          <w:p>
            <w:pPr>
              <w:spacing w:after="0"/>
              <w:rPr>
                <w:sz w:val="20"/>
                <w:szCs w:val="20"/>
                <w:color w:val="auto"/>
              </w:rPr>
            </w:pPr>
            <w:r>
              <w:rPr>
                <w:rFonts w:ascii="Arial" w:cs="Arial" w:eastAsia="Arial" w:hAnsi="Arial"/>
                <w:sz w:val="12"/>
                <w:szCs w:val="12"/>
                <w:color w:val="auto"/>
              </w:rPr>
              <w:t>MMBtu</w:t>
            </w:r>
          </w:p>
        </w:tc>
        <w:tc>
          <w:tcPr>
            <w:tcW w:w="9100" w:type="dxa"/>
            <w:vAlign w:val="bottom"/>
          </w:tcPr>
          <w:p>
            <w:pPr>
              <w:ind w:left="640"/>
              <w:spacing w:after="0"/>
              <w:rPr>
                <w:sz w:val="20"/>
                <w:szCs w:val="20"/>
                <w:color w:val="auto"/>
              </w:rPr>
            </w:pPr>
            <w:r>
              <w:rPr>
                <w:rFonts w:ascii="Arial" w:cs="Arial" w:eastAsia="Arial" w:hAnsi="Arial"/>
                <w:sz w:val="12"/>
                <w:szCs w:val="12"/>
                <w:color w:val="auto"/>
              </w:rPr>
              <w:t>Million British Thermal Units</w:t>
            </w:r>
          </w:p>
        </w:tc>
        <w:tc>
          <w:tcPr>
            <w:tcW w:w="0" w:type="dxa"/>
            <w:vAlign w:val="bottom"/>
          </w:tcPr>
          <w:p>
            <w:pPr>
              <w:spacing w:after="0"/>
              <w:rPr>
                <w:sz w:val="1"/>
                <w:szCs w:val="1"/>
                <w:color w:val="auto"/>
              </w:rPr>
            </w:pPr>
          </w:p>
        </w:tc>
      </w:tr>
      <w:tr>
        <w:trPr>
          <w:trHeight w:val="180"/>
        </w:trPr>
        <w:tc>
          <w:tcPr>
            <w:tcW w:w="2340" w:type="dxa"/>
            <w:vAlign w:val="bottom"/>
          </w:tcPr>
          <w:p>
            <w:pPr>
              <w:spacing w:after="0"/>
              <w:rPr>
                <w:sz w:val="20"/>
                <w:szCs w:val="20"/>
                <w:color w:val="auto"/>
              </w:rPr>
            </w:pPr>
            <w:r>
              <w:rPr>
                <w:rFonts w:ascii="Arial" w:cs="Arial" w:eastAsia="Arial" w:hAnsi="Arial"/>
                <w:sz w:val="12"/>
                <w:szCs w:val="12"/>
                <w:color w:val="auto"/>
              </w:rPr>
              <w:t>MW</w:t>
            </w:r>
          </w:p>
        </w:tc>
        <w:tc>
          <w:tcPr>
            <w:tcW w:w="9100" w:type="dxa"/>
            <w:vAlign w:val="bottom"/>
          </w:tcPr>
          <w:p>
            <w:pPr>
              <w:ind w:left="640"/>
              <w:spacing w:after="0"/>
              <w:rPr>
                <w:sz w:val="20"/>
                <w:szCs w:val="20"/>
                <w:color w:val="auto"/>
              </w:rPr>
            </w:pPr>
            <w:r>
              <w:rPr>
                <w:rFonts w:ascii="Arial" w:cs="Arial" w:eastAsia="Arial" w:hAnsi="Arial"/>
                <w:sz w:val="12"/>
                <w:szCs w:val="12"/>
                <w:color w:val="auto"/>
              </w:rPr>
              <w:t>Megawatts</w:t>
            </w:r>
          </w:p>
        </w:tc>
        <w:tc>
          <w:tcPr>
            <w:tcW w:w="0" w:type="dxa"/>
            <w:vAlign w:val="bottom"/>
          </w:tcPr>
          <w:p>
            <w:pPr>
              <w:spacing w:after="0"/>
              <w:rPr>
                <w:sz w:val="1"/>
                <w:szCs w:val="1"/>
                <w:color w:val="auto"/>
              </w:rPr>
            </w:pPr>
          </w:p>
        </w:tc>
      </w:tr>
      <w:tr>
        <w:trPr>
          <w:trHeight w:val="180"/>
        </w:trPr>
        <w:tc>
          <w:tcPr>
            <w:tcW w:w="2340" w:type="dxa"/>
            <w:vAlign w:val="bottom"/>
          </w:tcPr>
          <w:p>
            <w:pPr>
              <w:spacing w:after="0"/>
              <w:rPr>
                <w:sz w:val="20"/>
                <w:szCs w:val="20"/>
                <w:color w:val="auto"/>
              </w:rPr>
            </w:pPr>
            <w:r>
              <w:rPr>
                <w:rFonts w:ascii="Arial" w:cs="Arial" w:eastAsia="Arial" w:hAnsi="Arial"/>
                <w:sz w:val="12"/>
                <w:szCs w:val="12"/>
                <w:color w:val="auto"/>
              </w:rPr>
              <w:t>MWh</w:t>
            </w:r>
          </w:p>
        </w:tc>
        <w:tc>
          <w:tcPr>
            <w:tcW w:w="9100" w:type="dxa"/>
            <w:vAlign w:val="bottom"/>
          </w:tcPr>
          <w:p>
            <w:pPr>
              <w:ind w:left="640"/>
              <w:spacing w:after="0"/>
              <w:rPr>
                <w:sz w:val="20"/>
                <w:szCs w:val="20"/>
                <w:color w:val="auto"/>
              </w:rPr>
            </w:pPr>
            <w:r>
              <w:rPr>
                <w:rFonts w:ascii="Arial" w:cs="Arial" w:eastAsia="Arial" w:hAnsi="Arial"/>
                <w:sz w:val="12"/>
                <w:szCs w:val="12"/>
                <w:color w:val="auto"/>
              </w:rPr>
              <w:t>Saleable megawatt hours, net of internal/parasitic load megawatt-hours</w:t>
            </w:r>
          </w:p>
        </w:tc>
        <w:tc>
          <w:tcPr>
            <w:tcW w:w="0" w:type="dxa"/>
            <w:vAlign w:val="bottom"/>
          </w:tcPr>
          <w:p>
            <w:pPr>
              <w:spacing w:after="0"/>
              <w:rPr>
                <w:sz w:val="1"/>
                <w:szCs w:val="1"/>
                <w:color w:val="auto"/>
              </w:rPr>
            </w:pPr>
          </w:p>
        </w:tc>
      </w:tr>
      <w:tr>
        <w:trPr>
          <w:trHeight w:val="180"/>
        </w:trPr>
        <w:tc>
          <w:tcPr>
            <w:tcW w:w="2340" w:type="dxa"/>
            <w:vAlign w:val="bottom"/>
          </w:tcPr>
          <w:p>
            <w:pPr>
              <w:spacing w:after="0"/>
              <w:rPr>
                <w:sz w:val="20"/>
                <w:szCs w:val="20"/>
                <w:color w:val="auto"/>
              </w:rPr>
            </w:pPr>
            <w:r>
              <w:rPr>
                <w:rFonts w:ascii="Arial" w:cs="Arial" w:eastAsia="Arial" w:hAnsi="Arial"/>
                <w:sz w:val="12"/>
                <w:szCs w:val="12"/>
                <w:color w:val="auto"/>
              </w:rPr>
              <w:t>MWt</w:t>
            </w:r>
          </w:p>
        </w:tc>
        <w:tc>
          <w:tcPr>
            <w:tcW w:w="9100" w:type="dxa"/>
            <w:vAlign w:val="bottom"/>
          </w:tcPr>
          <w:p>
            <w:pPr>
              <w:ind w:left="640"/>
              <w:spacing w:after="0"/>
              <w:rPr>
                <w:sz w:val="20"/>
                <w:szCs w:val="20"/>
                <w:color w:val="auto"/>
              </w:rPr>
            </w:pPr>
            <w:r>
              <w:rPr>
                <w:rFonts w:ascii="Arial" w:cs="Arial" w:eastAsia="Arial" w:hAnsi="Arial"/>
                <w:sz w:val="12"/>
                <w:szCs w:val="12"/>
                <w:color w:val="auto"/>
              </w:rPr>
              <w:t>Megawatts Thermal Equivalent</w:t>
            </w:r>
          </w:p>
        </w:tc>
        <w:tc>
          <w:tcPr>
            <w:tcW w:w="0" w:type="dxa"/>
            <w:vAlign w:val="bottom"/>
          </w:tcPr>
          <w:p>
            <w:pPr>
              <w:spacing w:after="0"/>
              <w:rPr>
                <w:sz w:val="1"/>
                <w:szCs w:val="1"/>
                <w:color w:val="auto"/>
              </w:rPr>
            </w:pPr>
          </w:p>
        </w:tc>
      </w:tr>
      <w:tr>
        <w:trPr>
          <w:trHeight w:val="180"/>
        </w:trPr>
        <w:tc>
          <w:tcPr>
            <w:tcW w:w="2340" w:type="dxa"/>
            <w:vAlign w:val="bottom"/>
          </w:tcPr>
          <w:p>
            <w:pPr>
              <w:spacing w:after="0"/>
              <w:rPr>
                <w:sz w:val="20"/>
                <w:szCs w:val="20"/>
                <w:color w:val="auto"/>
              </w:rPr>
            </w:pPr>
            <w:r>
              <w:rPr>
                <w:rFonts w:ascii="Arial" w:cs="Arial" w:eastAsia="Arial" w:hAnsi="Arial"/>
                <w:sz w:val="12"/>
                <w:szCs w:val="12"/>
                <w:color w:val="auto"/>
              </w:rPr>
              <w:t>NECP</w:t>
            </w:r>
          </w:p>
        </w:tc>
        <w:tc>
          <w:tcPr>
            <w:tcW w:w="9100" w:type="dxa"/>
            <w:vAlign w:val="bottom"/>
          </w:tcPr>
          <w:p>
            <w:pPr>
              <w:ind w:left="640"/>
              <w:spacing w:after="0"/>
              <w:rPr>
                <w:sz w:val="20"/>
                <w:szCs w:val="20"/>
                <w:color w:val="auto"/>
              </w:rPr>
            </w:pPr>
            <w:r>
              <w:rPr>
                <w:rFonts w:ascii="Arial" w:cs="Arial" w:eastAsia="Arial" w:hAnsi="Arial"/>
                <w:sz w:val="12"/>
                <w:szCs w:val="12"/>
                <w:color w:val="auto"/>
              </w:rPr>
              <w:t>NRG Energy Center Pittsburgh LLC, a subsidiary of the Company</w:t>
            </w:r>
          </w:p>
        </w:tc>
        <w:tc>
          <w:tcPr>
            <w:tcW w:w="0" w:type="dxa"/>
            <w:vAlign w:val="bottom"/>
          </w:tcPr>
          <w:p>
            <w:pPr>
              <w:spacing w:after="0"/>
              <w:rPr>
                <w:sz w:val="1"/>
                <w:szCs w:val="1"/>
                <w:color w:val="auto"/>
              </w:rPr>
            </w:pPr>
          </w:p>
        </w:tc>
      </w:tr>
      <w:tr>
        <w:trPr>
          <w:trHeight w:val="180"/>
        </w:trPr>
        <w:tc>
          <w:tcPr>
            <w:tcW w:w="2340" w:type="dxa"/>
            <w:vAlign w:val="bottom"/>
          </w:tcPr>
          <w:p>
            <w:pPr>
              <w:spacing w:after="0"/>
              <w:rPr>
                <w:sz w:val="20"/>
                <w:szCs w:val="20"/>
                <w:color w:val="auto"/>
              </w:rPr>
            </w:pPr>
            <w:r>
              <w:rPr>
                <w:rFonts w:ascii="Arial" w:cs="Arial" w:eastAsia="Arial" w:hAnsi="Arial"/>
                <w:sz w:val="12"/>
                <w:szCs w:val="12"/>
                <w:color w:val="auto"/>
              </w:rPr>
              <w:t>NERC</w:t>
            </w:r>
          </w:p>
        </w:tc>
        <w:tc>
          <w:tcPr>
            <w:tcW w:w="9100" w:type="dxa"/>
            <w:vAlign w:val="bottom"/>
          </w:tcPr>
          <w:p>
            <w:pPr>
              <w:ind w:left="640"/>
              <w:spacing w:after="0"/>
              <w:rPr>
                <w:sz w:val="20"/>
                <w:szCs w:val="20"/>
                <w:color w:val="auto"/>
              </w:rPr>
            </w:pPr>
            <w:r>
              <w:rPr>
                <w:rFonts w:ascii="Arial" w:cs="Arial" w:eastAsia="Arial" w:hAnsi="Arial"/>
                <w:sz w:val="12"/>
                <w:szCs w:val="12"/>
                <w:color w:val="auto"/>
              </w:rPr>
              <w:t>North American Electric Reliability Corporation</w:t>
            </w:r>
          </w:p>
        </w:tc>
        <w:tc>
          <w:tcPr>
            <w:tcW w:w="0" w:type="dxa"/>
            <w:vAlign w:val="bottom"/>
          </w:tcPr>
          <w:p>
            <w:pPr>
              <w:spacing w:after="0"/>
              <w:rPr>
                <w:sz w:val="1"/>
                <w:szCs w:val="1"/>
                <w:color w:val="auto"/>
              </w:rPr>
            </w:pPr>
          </w:p>
        </w:tc>
      </w:tr>
      <w:tr>
        <w:trPr>
          <w:trHeight w:val="180"/>
        </w:trPr>
        <w:tc>
          <w:tcPr>
            <w:tcW w:w="2340" w:type="dxa"/>
            <w:vAlign w:val="bottom"/>
          </w:tcPr>
          <w:p>
            <w:pPr>
              <w:spacing w:after="0"/>
              <w:rPr>
                <w:sz w:val="20"/>
                <w:szCs w:val="20"/>
                <w:color w:val="auto"/>
              </w:rPr>
            </w:pPr>
            <w:r>
              <w:rPr>
                <w:rFonts w:ascii="Arial" w:cs="Arial" w:eastAsia="Arial" w:hAnsi="Arial"/>
                <w:sz w:val="12"/>
                <w:szCs w:val="12"/>
                <w:color w:val="auto"/>
              </w:rPr>
              <w:t>Net Exposure</w:t>
            </w:r>
          </w:p>
        </w:tc>
        <w:tc>
          <w:tcPr>
            <w:tcW w:w="9100" w:type="dxa"/>
            <w:vAlign w:val="bottom"/>
          </w:tcPr>
          <w:p>
            <w:pPr>
              <w:ind w:left="640"/>
              <w:spacing w:after="0"/>
              <w:rPr>
                <w:sz w:val="20"/>
                <w:szCs w:val="20"/>
                <w:color w:val="auto"/>
              </w:rPr>
            </w:pPr>
            <w:r>
              <w:rPr>
                <w:rFonts w:ascii="Arial" w:cs="Arial" w:eastAsia="Arial" w:hAnsi="Arial"/>
                <w:sz w:val="12"/>
                <w:szCs w:val="12"/>
                <w:color w:val="auto"/>
              </w:rPr>
              <w:t>Counterparty credit exposure to NRG Yield, Inc. net of collateral</w:t>
            </w:r>
          </w:p>
        </w:tc>
        <w:tc>
          <w:tcPr>
            <w:tcW w:w="0" w:type="dxa"/>
            <w:vAlign w:val="bottom"/>
          </w:tcPr>
          <w:p>
            <w:pPr>
              <w:spacing w:after="0"/>
              <w:rPr>
                <w:sz w:val="1"/>
                <w:szCs w:val="1"/>
                <w:color w:val="auto"/>
              </w:rPr>
            </w:pPr>
          </w:p>
        </w:tc>
      </w:tr>
      <w:tr>
        <w:trPr>
          <w:trHeight w:val="180"/>
        </w:trPr>
        <w:tc>
          <w:tcPr>
            <w:tcW w:w="2340" w:type="dxa"/>
            <w:vAlign w:val="bottom"/>
          </w:tcPr>
          <w:p>
            <w:pPr>
              <w:spacing w:after="0"/>
              <w:rPr>
                <w:sz w:val="20"/>
                <w:szCs w:val="20"/>
                <w:color w:val="auto"/>
              </w:rPr>
            </w:pPr>
            <w:r>
              <w:rPr>
                <w:rFonts w:ascii="Arial" w:cs="Arial" w:eastAsia="Arial" w:hAnsi="Arial"/>
                <w:sz w:val="12"/>
                <w:szCs w:val="12"/>
                <w:color w:val="auto"/>
              </w:rPr>
              <w:t>NOLs</w:t>
            </w:r>
          </w:p>
        </w:tc>
        <w:tc>
          <w:tcPr>
            <w:tcW w:w="9100" w:type="dxa"/>
            <w:vAlign w:val="bottom"/>
          </w:tcPr>
          <w:p>
            <w:pPr>
              <w:ind w:left="640"/>
              <w:spacing w:after="0"/>
              <w:rPr>
                <w:sz w:val="20"/>
                <w:szCs w:val="20"/>
                <w:color w:val="auto"/>
              </w:rPr>
            </w:pPr>
            <w:r>
              <w:rPr>
                <w:rFonts w:ascii="Arial" w:cs="Arial" w:eastAsia="Arial" w:hAnsi="Arial"/>
                <w:sz w:val="12"/>
                <w:szCs w:val="12"/>
                <w:color w:val="auto"/>
              </w:rPr>
              <w:t>Net Operating Losses</w:t>
            </w:r>
          </w:p>
        </w:tc>
        <w:tc>
          <w:tcPr>
            <w:tcW w:w="0" w:type="dxa"/>
            <w:vAlign w:val="bottom"/>
          </w:tcPr>
          <w:p>
            <w:pPr>
              <w:spacing w:after="0"/>
              <w:rPr>
                <w:sz w:val="1"/>
                <w:szCs w:val="1"/>
                <w:color w:val="auto"/>
              </w:rPr>
            </w:pPr>
          </w:p>
        </w:tc>
      </w:tr>
      <w:tr>
        <w:trPr>
          <w:trHeight w:val="171"/>
        </w:trPr>
        <w:tc>
          <w:tcPr>
            <w:tcW w:w="2340" w:type="dxa"/>
            <w:vAlign w:val="bottom"/>
          </w:tcPr>
          <w:p>
            <w:pPr>
              <w:spacing w:after="0"/>
              <w:rPr>
                <w:sz w:val="20"/>
                <w:szCs w:val="20"/>
                <w:color w:val="auto"/>
              </w:rPr>
            </w:pPr>
            <w:r>
              <w:rPr>
                <w:rFonts w:ascii="Arial" w:cs="Arial" w:eastAsia="Arial" w:hAnsi="Arial"/>
                <w:sz w:val="12"/>
                <w:szCs w:val="12"/>
                <w:color w:val="auto"/>
              </w:rPr>
              <w:t>November 2015 Drop Down Assets</w:t>
            </w:r>
          </w:p>
        </w:tc>
        <w:tc>
          <w:tcPr>
            <w:tcW w:w="9100" w:type="dxa"/>
            <w:vAlign w:val="bottom"/>
          </w:tcPr>
          <w:p>
            <w:pPr>
              <w:ind w:left="640"/>
              <w:spacing w:after="0"/>
              <w:rPr>
                <w:sz w:val="20"/>
                <w:szCs w:val="20"/>
                <w:color w:val="auto"/>
              </w:rPr>
            </w:pPr>
            <w:r>
              <w:rPr>
                <w:rFonts w:ascii="Arial" w:cs="Arial" w:eastAsia="Arial" w:hAnsi="Arial"/>
                <w:sz w:val="12"/>
                <w:szCs w:val="12"/>
                <w:color w:val="auto"/>
                <w:w w:val="94"/>
              </w:rPr>
              <w:t>75% of the Class B interests of NRG Wind TE Holdco, which owns a portfolio of 12 wind facilities totaling 814 net MW, which was acquired by NRG Yield Operating LLC</w:t>
            </w:r>
          </w:p>
        </w:tc>
        <w:tc>
          <w:tcPr>
            <w:tcW w:w="0" w:type="dxa"/>
            <w:vAlign w:val="bottom"/>
          </w:tcPr>
          <w:p>
            <w:pPr>
              <w:spacing w:after="0"/>
              <w:rPr>
                <w:sz w:val="1"/>
                <w:szCs w:val="1"/>
                <w:color w:val="auto"/>
              </w:rPr>
            </w:pPr>
          </w:p>
        </w:tc>
      </w:tr>
      <w:tr>
        <w:trPr>
          <w:trHeight w:val="153"/>
        </w:trPr>
        <w:tc>
          <w:tcPr>
            <w:tcW w:w="2340" w:type="dxa"/>
            <w:vAlign w:val="bottom"/>
          </w:tcPr>
          <w:p>
            <w:pPr>
              <w:spacing w:after="0"/>
              <w:rPr>
                <w:sz w:val="13"/>
                <w:szCs w:val="13"/>
                <w:color w:val="auto"/>
              </w:rPr>
            </w:pPr>
          </w:p>
        </w:tc>
        <w:tc>
          <w:tcPr>
            <w:tcW w:w="9100" w:type="dxa"/>
            <w:vAlign w:val="bottom"/>
          </w:tcPr>
          <w:p>
            <w:pPr>
              <w:ind w:left="640"/>
              <w:spacing w:after="0"/>
              <w:rPr>
                <w:sz w:val="20"/>
                <w:szCs w:val="20"/>
                <w:color w:val="auto"/>
              </w:rPr>
            </w:pPr>
            <w:r>
              <w:rPr>
                <w:rFonts w:ascii="Arial" w:cs="Arial" w:eastAsia="Arial" w:hAnsi="Arial"/>
                <w:sz w:val="12"/>
                <w:szCs w:val="12"/>
                <w:color w:val="auto"/>
              </w:rPr>
              <w:t>from NRG on November 3, 2015</w:t>
            </w:r>
          </w:p>
        </w:tc>
        <w:tc>
          <w:tcPr>
            <w:tcW w:w="0" w:type="dxa"/>
            <w:vAlign w:val="bottom"/>
          </w:tcPr>
          <w:p>
            <w:pPr>
              <w:spacing w:after="0"/>
              <w:rPr>
                <w:sz w:val="1"/>
                <w:szCs w:val="1"/>
                <w:color w:val="auto"/>
              </w:rPr>
            </w:pPr>
          </w:p>
        </w:tc>
      </w:tr>
      <w:tr>
        <w:trPr>
          <w:trHeight w:val="171"/>
        </w:trPr>
        <w:tc>
          <w:tcPr>
            <w:tcW w:w="2340" w:type="dxa"/>
            <w:vAlign w:val="bottom"/>
          </w:tcPr>
          <w:p>
            <w:pPr>
              <w:spacing w:after="0"/>
              <w:rPr>
                <w:sz w:val="20"/>
                <w:szCs w:val="20"/>
                <w:color w:val="auto"/>
              </w:rPr>
            </w:pPr>
            <w:r>
              <w:rPr>
                <w:rFonts w:ascii="Arial" w:cs="Arial" w:eastAsia="Arial" w:hAnsi="Arial"/>
                <w:sz w:val="12"/>
                <w:szCs w:val="12"/>
                <w:color w:val="auto"/>
              </w:rPr>
              <w:t>November 2017 Drop Down Assets</w:t>
            </w:r>
          </w:p>
        </w:tc>
        <w:tc>
          <w:tcPr>
            <w:tcW w:w="9100" w:type="dxa"/>
            <w:vAlign w:val="bottom"/>
          </w:tcPr>
          <w:p>
            <w:pPr>
              <w:ind w:left="640"/>
              <w:spacing w:after="0"/>
              <w:rPr>
                <w:sz w:val="20"/>
                <w:szCs w:val="20"/>
                <w:color w:val="auto"/>
              </w:rPr>
            </w:pPr>
            <w:r>
              <w:rPr>
                <w:rFonts w:ascii="Arial" w:cs="Arial" w:eastAsia="Arial" w:hAnsi="Arial"/>
                <w:sz w:val="12"/>
                <w:szCs w:val="12"/>
                <w:color w:val="auto"/>
                <w:w w:val="93"/>
              </w:rPr>
              <w:t>38 MW portfolio of distributed and small utility-scale solar assets, primarily comprised of assets from NRG's Solar Power Partners (SPP) funds, in addition to other projects</w:t>
            </w:r>
          </w:p>
        </w:tc>
        <w:tc>
          <w:tcPr>
            <w:tcW w:w="0" w:type="dxa"/>
            <w:vAlign w:val="bottom"/>
          </w:tcPr>
          <w:p>
            <w:pPr>
              <w:spacing w:after="0"/>
              <w:rPr>
                <w:sz w:val="1"/>
                <w:szCs w:val="1"/>
                <w:color w:val="auto"/>
              </w:rPr>
            </w:pPr>
          </w:p>
        </w:tc>
      </w:tr>
      <w:tr>
        <w:trPr>
          <w:trHeight w:val="153"/>
        </w:trPr>
        <w:tc>
          <w:tcPr>
            <w:tcW w:w="2340" w:type="dxa"/>
            <w:vAlign w:val="bottom"/>
          </w:tcPr>
          <w:p>
            <w:pPr>
              <w:spacing w:after="0"/>
              <w:rPr>
                <w:sz w:val="13"/>
                <w:szCs w:val="13"/>
                <w:color w:val="auto"/>
              </w:rPr>
            </w:pPr>
          </w:p>
        </w:tc>
        <w:tc>
          <w:tcPr>
            <w:tcW w:w="9100" w:type="dxa"/>
            <w:vAlign w:val="bottom"/>
          </w:tcPr>
          <w:p>
            <w:pPr>
              <w:ind w:left="640"/>
              <w:spacing w:after="0"/>
              <w:rPr>
                <w:sz w:val="20"/>
                <w:szCs w:val="20"/>
                <w:color w:val="auto"/>
              </w:rPr>
            </w:pPr>
            <w:r>
              <w:rPr>
                <w:rFonts w:ascii="Arial" w:cs="Arial" w:eastAsia="Arial" w:hAnsi="Arial"/>
                <w:sz w:val="12"/>
                <w:szCs w:val="12"/>
                <w:color w:val="auto"/>
              </w:rPr>
              <w:t>developed since the acquisition of SPP by NRG, which was acquired by NRG Yield Operating LLC from NRG on November 1, 2017</w:t>
            </w:r>
          </w:p>
        </w:tc>
        <w:tc>
          <w:tcPr>
            <w:tcW w:w="0" w:type="dxa"/>
            <w:vAlign w:val="bottom"/>
          </w:tcPr>
          <w:p>
            <w:pPr>
              <w:spacing w:after="0"/>
              <w:rPr>
                <w:sz w:val="1"/>
                <w:szCs w:val="1"/>
                <w:color w:val="auto"/>
              </w:rPr>
            </w:pPr>
          </w:p>
        </w:tc>
      </w:tr>
    </w:tbl>
    <w:p>
      <w:pPr>
        <w:spacing w:after="0" w:line="27" w:lineRule="exact"/>
        <w:rPr>
          <w:sz w:val="20"/>
          <w:szCs w:val="20"/>
          <w:color w:val="auto"/>
        </w:rPr>
      </w:pPr>
    </w:p>
    <w:p>
      <w:pPr>
        <w:sectPr>
          <w:pgSz w:w="11900" w:h="16838" w:orient="portrait"/>
          <w:cols w:equalWidth="0" w:num="1">
            <w:col w:w="11440"/>
          </w:cols>
          <w:pgMar w:left="240" w:top="617" w:right="219" w:bottom="1440" w:gutter="0" w:footer="0" w:header="0"/>
        </w:sectPr>
      </w:pPr>
    </w:p>
    <w:p>
      <w:pPr>
        <w:spacing w:after="0"/>
        <w:rPr>
          <w:sz w:val="20"/>
          <w:szCs w:val="20"/>
          <w:color w:val="auto"/>
        </w:rPr>
      </w:pPr>
      <w:r>
        <w:rPr>
          <w:rFonts w:ascii="Arial" w:cs="Arial" w:eastAsia="Arial" w:hAnsi="Arial"/>
          <w:sz w:val="12"/>
          <w:szCs w:val="12"/>
          <w:color w:val="auto"/>
        </w:rPr>
        <w:t>NRG</w:t>
      </w:r>
    </w:p>
    <w:p>
      <w:pPr>
        <w:spacing w:after="0" w:line="42" w:lineRule="exact"/>
        <w:rPr>
          <w:sz w:val="20"/>
          <w:szCs w:val="20"/>
          <w:color w:val="auto"/>
        </w:rPr>
      </w:pPr>
    </w:p>
    <w:p>
      <w:pPr>
        <w:spacing w:after="0"/>
        <w:rPr>
          <w:sz w:val="20"/>
          <w:szCs w:val="20"/>
          <w:color w:val="auto"/>
        </w:rPr>
      </w:pPr>
      <w:r>
        <w:rPr>
          <w:rFonts w:ascii="Arial" w:cs="Arial" w:eastAsia="Arial" w:hAnsi="Arial"/>
          <w:sz w:val="11"/>
          <w:szCs w:val="11"/>
          <w:color w:val="auto"/>
        </w:rPr>
        <w:t>NRG Power Marketing</w:t>
      </w:r>
    </w:p>
    <w:p>
      <w:pPr>
        <w:spacing w:after="0" w:line="54" w:lineRule="exact"/>
        <w:rPr>
          <w:sz w:val="20"/>
          <w:szCs w:val="20"/>
          <w:color w:val="auto"/>
        </w:rPr>
      </w:pPr>
    </w:p>
    <w:p>
      <w:pPr>
        <w:spacing w:after="0"/>
        <w:rPr>
          <w:sz w:val="20"/>
          <w:szCs w:val="20"/>
          <w:color w:val="auto"/>
        </w:rPr>
      </w:pPr>
      <w:r>
        <w:rPr>
          <w:rFonts w:ascii="Arial" w:cs="Arial" w:eastAsia="Arial" w:hAnsi="Arial"/>
          <w:sz w:val="12"/>
          <w:szCs w:val="12"/>
          <w:color w:val="auto"/>
        </w:rPr>
        <w:t>NRG 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NRG Energy, Inc.</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NRG Power Marketing LLC</w:t>
      </w:r>
    </w:p>
    <w:p>
      <w:pPr>
        <w:spacing w:after="0" w:line="96"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On February 6, 2018, GIP entered into a purchase and sale agreement with NRG for the acquisition of NRG's full ownership interest in the Company and NRG's renewable energy development and operations platform. GIP, NRG and the Company also entered into a consent and indemnity agreement in connection with the purchase and sale agreement.</w:t>
      </w:r>
    </w:p>
    <w:p>
      <w:pPr>
        <w:spacing w:after="0" w:line="69" w:lineRule="exact"/>
        <w:rPr>
          <w:sz w:val="20"/>
          <w:szCs w:val="20"/>
          <w:color w:val="auto"/>
        </w:rPr>
      </w:pPr>
    </w:p>
    <w:p>
      <w:pPr>
        <w:sectPr>
          <w:pgSz w:w="11900" w:h="16838" w:orient="portrait"/>
          <w:cols w:equalWidth="0" w:num="2">
            <w:col w:w="2260" w:space="720"/>
            <w:col w:w="8460"/>
          </w:cols>
          <w:pgMar w:left="240" w:top="617" w:right="219" w:bottom="1440" w:gutter="0" w:footer="0" w:header="0"/>
          <w:type w:val="continuous"/>
        </w:sectPr>
      </w:pPr>
    </w:p>
    <w:p>
      <w:pPr>
        <w:spacing w:after="0"/>
        <w:tabs>
          <w:tab w:leader="none" w:pos="2960" w:val="left"/>
        </w:tabs>
        <w:rPr>
          <w:sz w:val="20"/>
          <w:szCs w:val="20"/>
          <w:color w:val="auto"/>
        </w:rPr>
      </w:pPr>
      <w:r>
        <w:rPr>
          <w:rFonts w:ascii="Arial" w:cs="Arial" w:eastAsia="Arial" w:hAnsi="Arial"/>
          <w:sz w:val="12"/>
          <w:szCs w:val="12"/>
          <w:color w:val="auto"/>
        </w:rPr>
        <w:t>NRG Wind TE Holdco</w:t>
      </w:r>
      <w:r>
        <w:rPr>
          <w:sz w:val="20"/>
          <w:szCs w:val="20"/>
          <w:color w:val="auto"/>
        </w:rPr>
        <w:tab/>
      </w:r>
      <w:r>
        <w:rPr>
          <w:rFonts w:ascii="Arial" w:cs="Arial" w:eastAsia="Arial" w:hAnsi="Arial"/>
          <w:sz w:val="11"/>
          <w:szCs w:val="11"/>
          <w:color w:val="auto"/>
        </w:rPr>
        <w:t>NRG Wind TE Holdco LLC</w:t>
      </w:r>
    </w:p>
    <w:p>
      <w:pPr>
        <w:spacing w:after="0" w:line="42" w:lineRule="exact"/>
        <w:rPr>
          <w:sz w:val="20"/>
          <w:szCs w:val="20"/>
          <w:color w:val="auto"/>
        </w:rPr>
      </w:pPr>
    </w:p>
    <w:p>
      <w:pPr>
        <w:spacing w:after="0"/>
        <w:tabs>
          <w:tab w:leader="none" w:pos="2960" w:val="left"/>
        </w:tabs>
        <w:rPr>
          <w:sz w:val="20"/>
          <w:szCs w:val="20"/>
          <w:color w:val="auto"/>
        </w:rPr>
      </w:pPr>
      <w:r>
        <w:rPr>
          <w:rFonts w:ascii="Arial" w:cs="Arial" w:eastAsia="Arial" w:hAnsi="Arial"/>
          <w:sz w:val="12"/>
          <w:szCs w:val="12"/>
          <w:color w:val="auto"/>
        </w:rPr>
        <w:t>NRG Yield LLC</w:t>
      </w:r>
      <w:r>
        <w:rPr>
          <w:sz w:val="20"/>
          <w:szCs w:val="20"/>
          <w:color w:val="auto"/>
        </w:rPr>
        <w:tab/>
      </w:r>
      <w:r>
        <w:rPr>
          <w:rFonts w:ascii="Arial" w:cs="Arial" w:eastAsia="Arial" w:hAnsi="Arial"/>
          <w:sz w:val="10"/>
          <w:szCs w:val="10"/>
          <w:color w:val="auto"/>
        </w:rPr>
        <w:t>The holding company through which the projects are owned by NRG, the holder of Class B and Class D units, and NRG Yield, Inc., the holder of the Class A and Class C units</w:t>
      </w:r>
    </w:p>
    <w:p>
      <w:pPr>
        <w:spacing w:after="0" w:line="42" w:lineRule="exact"/>
        <w:rPr>
          <w:sz w:val="20"/>
          <w:szCs w:val="20"/>
          <w:color w:val="auto"/>
        </w:rPr>
      </w:pPr>
    </w:p>
    <w:p>
      <w:pPr>
        <w:spacing w:after="0"/>
        <w:tabs>
          <w:tab w:leader="none" w:pos="2960" w:val="left"/>
        </w:tabs>
        <w:rPr>
          <w:sz w:val="20"/>
          <w:szCs w:val="20"/>
          <w:color w:val="auto"/>
        </w:rPr>
      </w:pPr>
      <w:r>
        <w:rPr>
          <w:rFonts w:ascii="Arial" w:cs="Arial" w:eastAsia="Arial" w:hAnsi="Arial"/>
          <w:sz w:val="12"/>
          <w:szCs w:val="12"/>
          <w:color w:val="auto"/>
        </w:rPr>
        <w:t>NRG Yield Operating LLC</w:t>
      </w:r>
      <w:r>
        <w:rPr>
          <w:sz w:val="20"/>
          <w:szCs w:val="20"/>
          <w:color w:val="auto"/>
        </w:rPr>
        <w:tab/>
      </w:r>
      <w:r>
        <w:rPr>
          <w:rFonts w:ascii="Arial" w:cs="Arial" w:eastAsia="Arial" w:hAnsi="Arial"/>
          <w:sz w:val="10"/>
          <w:szCs w:val="10"/>
          <w:color w:val="auto"/>
        </w:rPr>
        <w:t>The holder of the project assets that are owned by NRG Yield LLC</w:t>
      </w:r>
    </w:p>
    <w:p>
      <w:pPr>
        <w:spacing w:after="0" w:line="42" w:lineRule="exact"/>
        <w:rPr>
          <w:sz w:val="20"/>
          <w:szCs w:val="20"/>
          <w:color w:val="auto"/>
        </w:rPr>
      </w:pPr>
    </w:p>
    <w:p>
      <w:pPr>
        <w:spacing w:after="0"/>
        <w:tabs>
          <w:tab w:leader="none" w:pos="2960" w:val="left"/>
        </w:tabs>
        <w:rPr>
          <w:sz w:val="20"/>
          <w:szCs w:val="20"/>
          <w:color w:val="auto"/>
        </w:rPr>
      </w:pPr>
      <w:r>
        <w:rPr>
          <w:rFonts w:ascii="Arial" w:cs="Arial" w:eastAsia="Arial" w:hAnsi="Arial"/>
          <w:sz w:val="12"/>
          <w:szCs w:val="12"/>
          <w:color w:val="auto"/>
        </w:rPr>
        <w:t>OCI/OCL</w:t>
      </w:r>
      <w:r>
        <w:rPr>
          <w:sz w:val="20"/>
          <w:szCs w:val="20"/>
          <w:color w:val="auto"/>
        </w:rPr>
        <w:tab/>
      </w:r>
      <w:r>
        <w:rPr>
          <w:rFonts w:ascii="Arial" w:cs="Arial" w:eastAsia="Arial" w:hAnsi="Arial"/>
          <w:sz w:val="12"/>
          <w:szCs w:val="12"/>
          <w:color w:val="auto"/>
        </w:rPr>
        <w:t>Other comprehensive income/loss</w:t>
      </w:r>
    </w:p>
    <w:p>
      <w:pPr>
        <w:spacing w:after="0" w:line="42" w:lineRule="exact"/>
        <w:rPr>
          <w:sz w:val="20"/>
          <w:szCs w:val="20"/>
          <w:color w:val="auto"/>
        </w:rPr>
      </w:pPr>
    </w:p>
    <w:p>
      <w:pPr>
        <w:spacing w:after="0"/>
        <w:tabs>
          <w:tab w:leader="none" w:pos="2960" w:val="left"/>
        </w:tabs>
        <w:rPr>
          <w:sz w:val="20"/>
          <w:szCs w:val="20"/>
          <w:color w:val="auto"/>
        </w:rPr>
      </w:pPr>
      <w:r>
        <w:rPr>
          <w:rFonts w:ascii="Arial" w:cs="Arial" w:eastAsia="Arial" w:hAnsi="Arial"/>
          <w:sz w:val="12"/>
          <w:szCs w:val="12"/>
          <w:color w:val="auto"/>
        </w:rPr>
        <w:t>O&amp;M</w:t>
      </w:r>
      <w:r>
        <w:rPr>
          <w:sz w:val="20"/>
          <w:szCs w:val="20"/>
          <w:color w:val="auto"/>
        </w:rPr>
        <w:tab/>
      </w:r>
      <w:r>
        <w:rPr>
          <w:rFonts w:ascii="Arial" w:cs="Arial" w:eastAsia="Arial" w:hAnsi="Arial"/>
          <w:sz w:val="12"/>
          <w:szCs w:val="12"/>
          <w:color w:val="auto"/>
        </w:rPr>
        <w:t>Operation and Maintenance</w:t>
      </w:r>
    </w:p>
    <w:p>
      <w:pPr>
        <w:spacing w:after="0" w:line="42" w:lineRule="exact"/>
        <w:rPr>
          <w:sz w:val="20"/>
          <w:szCs w:val="20"/>
          <w:color w:val="auto"/>
        </w:rPr>
      </w:pPr>
    </w:p>
    <w:p>
      <w:pPr>
        <w:spacing w:after="0"/>
        <w:tabs>
          <w:tab w:leader="none" w:pos="2960" w:val="left"/>
        </w:tabs>
        <w:rPr>
          <w:sz w:val="20"/>
          <w:szCs w:val="20"/>
          <w:color w:val="auto"/>
        </w:rPr>
      </w:pPr>
      <w:r>
        <w:rPr>
          <w:rFonts w:ascii="Arial" w:cs="Arial" w:eastAsia="Arial" w:hAnsi="Arial"/>
          <w:sz w:val="12"/>
          <w:szCs w:val="12"/>
          <w:color w:val="auto"/>
        </w:rPr>
        <w:t>Pinnacle</w:t>
      </w:r>
      <w:r>
        <w:rPr>
          <w:sz w:val="20"/>
          <w:szCs w:val="20"/>
          <w:color w:val="auto"/>
        </w:rPr>
        <w:tab/>
      </w:r>
      <w:r>
        <w:rPr>
          <w:rFonts w:ascii="Arial" w:cs="Arial" w:eastAsia="Arial" w:hAnsi="Arial"/>
          <w:sz w:val="12"/>
          <w:szCs w:val="12"/>
          <w:color w:val="auto"/>
        </w:rPr>
        <w:t>Pinnacle Wind, LLC, the operating subsidiary of Tapestry Wind LLC, which owns the Pinnacle project</w:t>
      </w:r>
    </w:p>
    <w:p>
      <w:pPr>
        <w:spacing w:after="0" w:line="42" w:lineRule="exact"/>
        <w:rPr>
          <w:sz w:val="20"/>
          <w:szCs w:val="20"/>
          <w:color w:val="auto"/>
        </w:rPr>
      </w:pPr>
    </w:p>
    <w:p>
      <w:pPr>
        <w:spacing w:after="0"/>
        <w:tabs>
          <w:tab w:leader="none" w:pos="2960" w:val="left"/>
        </w:tabs>
        <w:rPr>
          <w:sz w:val="20"/>
          <w:szCs w:val="20"/>
          <w:color w:val="auto"/>
        </w:rPr>
      </w:pPr>
      <w:r>
        <w:rPr>
          <w:rFonts w:ascii="Arial" w:cs="Arial" w:eastAsia="Arial" w:hAnsi="Arial"/>
          <w:sz w:val="12"/>
          <w:szCs w:val="12"/>
          <w:color w:val="auto"/>
        </w:rPr>
        <w:t>PPA</w:t>
      </w:r>
      <w:r>
        <w:rPr>
          <w:sz w:val="20"/>
          <w:szCs w:val="20"/>
          <w:color w:val="auto"/>
        </w:rPr>
        <w:tab/>
      </w:r>
      <w:r>
        <w:rPr>
          <w:rFonts w:ascii="Arial" w:cs="Arial" w:eastAsia="Arial" w:hAnsi="Arial"/>
          <w:sz w:val="12"/>
          <w:szCs w:val="12"/>
          <w:color w:val="auto"/>
        </w:rPr>
        <w:t>Power Purchase Agreement</w:t>
      </w:r>
    </w:p>
    <w:p>
      <w:pPr>
        <w:spacing w:after="0" w:line="42" w:lineRule="exact"/>
        <w:rPr>
          <w:sz w:val="20"/>
          <w:szCs w:val="20"/>
          <w:color w:val="auto"/>
        </w:rPr>
      </w:pPr>
    </w:p>
    <w:p>
      <w:pPr>
        <w:spacing w:after="0"/>
        <w:tabs>
          <w:tab w:leader="none" w:pos="2960" w:val="left"/>
        </w:tabs>
        <w:rPr>
          <w:sz w:val="20"/>
          <w:szCs w:val="20"/>
          <w:color w:val="auto"/>
        </w:rPr>
      </w:pPr>
      <w:r>
        <w:rPr>
          <w:rFonts w:ascii="Arial" w:cs="Arial" w:eastAsia="Arial" w:hAnsi="Arial"/>
          <w:sz w:val="12"/>
          <w:szCs w:val="12"/>
          <w:color w:val="auto"/>
        </w:rPr>
        <w:t>ROFO Agreement</w:t>
      </w:r>
      <w:r>
        <w:rPr>
          <w:sz w:val="20"/>
          <w:szCs w:val="20"/>
          <w:color w:val="auto"/>
        </w:rPr>
        <w:tab/>
      </w:r>
      <w:r>
        <w:rPr>
          <w:rFonts w:ascii="Arial" w:cs="Arial" w:eastAsia="Arial" w:hAnsi="Arial"/>
          <w:sz w:val="10"/>
          <w:szCs w:val="10"/>
          <w:color w:val="auto"/>
        </w:rPr>
        <w:t>Second Amended and Restated Right of First Offer Agreement between the Company and NRG</w:t>
      </w:r>
    </w:p>
    <w:p>
      <w:pPr>
        <w:spacing w:after="0" w:line="42" w:lineRule="exact"/>
        <w:rPr>
          <w:sz w:val="20"/>
          <w:szCs w:val="20"/>
          <w:color w:val="auto"/>
        </w:rPr>
      </w:pPr>
    </w:p>
    <w:p>
      <w:pPr>
        <w:spacing w:after="0"/>
        <w:tabs>
          <w:tab w:leader="none" w:pos="2960" w:val="left"/>
        </w:tabs>
        <w:rPr>
          <w:sz w:val="20"/>
          <w:szCs w:val="20"/>
          <w:color w:val="auto"/>
        </w:rPr>
      </w:pPr>
      <w:r>
        <w:rPr>
          <w:rFonts w:ascii="Arial" w:cs="Arial" w:eastAsia="Arial" w:hAnsi="Arial"/>
          <w:sz w:val="12"/>
          <w:szCs w:val="12"/>
          <w:color w:val="auto"/>
        </w:rPr>
        <w:t>ROFO Assets</w:t>
      </w:r>
      <w:r>
        <w:rPr>
          <w:sz w:val="20"/>
          <w:szCs w:val="20"/>
          <w:color w:val="auto"/>
        </w:rPr>
        <w:tab/>
      </w:r>
      <w:r>
        <w:rPr>
          <w:rFonts w:ascii="Arial" w:cs="Arial" w:eastAsia="Arial" w:hAnsi="Arial"/>
          <w:sz w:val="10"/>
          <w:szCs w:val="10"/>
          <w:color w:val="auto"/>
        </w:rPr>
        <w:t>Specified assets subject to sale, as described in the ROFO Agreement</w:t>
      </w:r>
    </w:p>
    <w:p>
      <w:pPr>
        <w:spacing w:after="0" w:line="42" w:lineRule="exact"/>
        <w:rPr>
          <w:sz w:val="20"/>
          <w:szCs w:val="20"/>
          <w:color w:val="auto"/>
        </w:rPr>
      </w:pPr>
    </w:p>
    <w:p>
      <w:pPr>
        <w:spacing w:after="0"/>
        <w:tabs>
          <w:tab w:leader="none" w:pos="2960" w:val="left"/>
        </w:tabs>
        <w:rPr>
          <w:sz w:val="20"/>
          <w:szCs w:val="20"/>
          <w:color w:val="auto"/>
        </w:rPr>
      </w:pPr>
      <w:r>
        <w:rPr>
          <w:rFonts w:ascii="Arial" w:cs="Arial" w:eastAsia="Arial" w:hAnsi="Arial"/>
          <w:sz w:val="12"/>
          <w:szCs w:val="12"/>
          <w:color w:val="auto"/>
        </w:rPr>
        <w:t>RPV Holdco</w:t>
      </w:r>
      <w:r>
        <w:rPr>
          <w:sz w:val="20"/>
          <w:szCs w:val="20"/>
          <w:color w:val="auto"/>
        </w:rPr>
        <w:tab/>
      </w:r>
      <w:r>
        <w:rPr>
          <w:rFonts w:ascii="Arial" w:cs="Arial" w:eastAsia="Arial" w:hAnsi="Arial"/>
          <w:sz w:val="11"/>
          <w:szCs w:val="11"/>
          <w:color w:val="auto"/>
        </w:rPr>
        <w:t>NRG RPV Holdco 1 LLC</w:t>
      </w:r>
    </w:p>
    <w:p>
      <w:pPr>
        <w:spacing w:after="0" w:line="42" w:lineRule="exact"/>
        <w:rPr>
          <w:sz w:val="20"/>
          <w:szCs w:val="20"/>
          <w:color w:val="auto"/>
        </w:rPr>
      </w:pPr>
    </w:p>
    <w:p>
      <w:pPr>
        <w:spacing w:after="0"/>
        <w:tabs>
          <w:tab w:leader="none" w:pos="2960" w:val="left"/>
        </w:tabs>
        <w:rPr>
          <w:sz w:val="20"/>
          <w:szCs w:val="20"/>
          <w:color w:val="auto"/>
        </w:rPr>
      </w:pPr>
      <w:r>
        <w:rPr>
          <w:rFonts w:ascii="Arial" w:cs="Arial" w:eastAsia="Arial" w:hAnsi="Arial"/>
          <w:sz w:val="12"/>
          <w:szCs w:val="12"/>
          <w:color w:val="auto"/>
        </w:rPr>
        <w:t>RTO</w:t>
      </w:r>
      <w:r>
        <w:rPr>
          <w:sz w:val="20"/>
          <w:szCs w:val="20"/>
          <w:color w:val="auto"/>
        </w:rPr>
        <w:tab/>
      </w:r>
      <w:r>
        <w:rPr>
          <w:rFonts w:ascii="Arial" w:cs="Arial" w:eastAsia="Arial" w:hAnsi="Arial"/>
          <w:sz w:val="12"/>
          <w:szCs w:val="12"/>
          <w:color w:val="auto"/>
        </w:rPr>
        <w:t>Regional Transmission Originator</w:t>
      </w:r>
    </w:p>
    <w:p>
      <w:pPr>
        <w:spacing w:after="0" w:line="42" w:lineRule="exact"/>
        <w:rPr>
          <w:sz w:val="20"/>
          <w:szCs w:val="20"/>
          <w:color w:val="auto"/>
        </w:rPr>
      </w:pPr>
    </w:p>
    <w:p>
      <w:pPr>
        <w:spacing w:after="0"/>
        <w:tabs>
          <w:tab w:leader="none" w:pos="2960" w:val="left"/>
        </w:tabs>
        <w:rPr>
          <w:sz w:val="20"/>
          <w:szCs w:val="20"/>
          <w:color w:val="auto"/>
        </w:rPr>
      </w:pPr>
      <w:r>
        <w:rPr>
          <w:rFonts w:ascii="Arial" w:cs="Arial" w:eastAsia="Arial" w:hAnsi="Arial"/>
          <w:sz w:val="12"/>
          <w:szCs w:val="12"/>
          <w:color w:val="auto"/>
        </w:rPr>
        <w:t>SEC</w:t>
      </w:r>
      <w:r>
        <w:rPr>
          <w:sz w:val="20"/>
          <w:szCs w:val="20"/>
          <w:color w:val="auto"/>
        </w:rPr>
        <w:tab/>
      </w:r>
      <w:r>
        <w:rPr>
          <w:rFonts w:ascii="Arial" w:cs="Arial" w:eastAsia="Arial" w:hAnsi="Arial"/>
          <w:sz w:val="12"/>
          <w:szCs w:val="12"/>
          <w:color w:val="auto"/>
        </w:rPr>
        <w:t>U.S. Securities and Exchange Commission</w:t>
      </w:r>
    </w:p>
    <w:p>
      <w:pPr>
        <w:spacing w:after="0" w:line="42" w:lineRule="exact"/>
        <w:rPr>
          <w:sz w:val="20"/>
          <w:szCs w:val="20"/>
          <w:color w:val="auto"/>
        </w:rPr>
      </w:pPr>
    </w:p>
    <w:p>
      <w:pPr>
        <w:spacing w:after="0"/>
        <w:tabs>
          <w:tab w:leader="none" w:pos="2960" w:val="left"/>
        </w:tabs>
        <w:rPr>
          <w:sz w:val="20"/>
          <w:szCs w:val="20"/>
          <w:color w:val="auto"/>
        </w:rPr>
      </w:pPr>
      <w:r>
        <w:rPr>
          <w:rFonts w:ascii="Arial" w:cs="Arial" w:eastAsia="Arial" w:hAnsi="Arial"/>
          <w:sz w:val="12"/>
          <w:szCs w:val="12"/>
          <w:color w:val="auto"/>
        </w:rPr>
        <w:t>Senior Notes</w:t>
      </w:r>
      <w:r>
        <w:rPr>
          <w:sz w:val="20"/>
          <w:szCs w:val="20"/>
          <w:color w:val="auto"/>
        </w:rPr>
        <w:tab/>
      </w:r>
      <w:r>
        <w:rPr>
          <w:rFonts w:ascii="Arial" w:cs="Arial" w:eastAsia="Arial" w:hAnsi="Arial"/>
          <w:sz w:val="10"/>
          <w:szCs w:val="10"/>
          <w:color w:val="auto"/>
        </w:rPr>
        <w:t>Collectively, the 2024 Senior Notes and the 2026 Senior Notes</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440"/>
          </w:cols>
          <w:pgMar w:left="240" w:top="617" w:right="219" w:bottom="1440" w:gutter="0" w:footer="0" w:header="0"/>
          <w:type w:val="continuous"/>
        </w:sectPr>
      </w:pPr>
    </w:p>
    <w:bookmarkStart w:id="5" w:name="page6"/>
    <w:bookmarkEnd w:id="5"/>
    <w:p>
      <w:pPr>
        <w:spacing w:after="0"/>
        <w:rPr>
          <w:sz w:val="20"/>
          <w:szCs w:val="20"/>
          <w:color w:val="auto"/>
        </w:rPr>
      </w:pPr>
      <w:r>
        <w:rPr>
          <w:rFonts w:ascii="Arial" w:cs="Arial" w:eastAsia="Arial" w:hAnsi="Arial"/>
          <w:sz w:val="9"/>
          <w:szCs w:val="9"/>
          <w:color w:val="auto"/>
        </w:rPr>
        <w:t>SPP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Solar Power Partners</w:t>
      </w:r>
    </w:p>
    <w:p>
      <w:pPr>
        <w:spacing w:after="0" w:line="65" w:lineRule="exact"/>
        <w:rPr>
          <w:sz w:val="20"/>
          <w:szCs w:val="20"/>
          <w:color w:val="auto"/>
        </w:rPr>
      </w:pPr>
    </w:p>
    <w:p>
      <w:pPr>
        <w:sectPr>
          <w:pgSz w:w="11900" w:h="16838" w:orient="portrait"/>
          <w:cols w:equalWidth="0" w:num="2">
            <w:col w:w="2260" w:space="720"/>
            <w:col w:w="8460"/>
          </w:cols>
          <w:pgMar w:left="240" w:top="617" w:right="219" w:bottom="1440" w:gutter="0" w:footer="0" w:header="0"/>
        </w:sectPr>
      </w:pPr>
    </w:p>
    <w:p>
      <w:pPr>
        <w:spacing w:after="0"/>
        <w:rPr>
          <w:sz w:val="20"/>
          <w:szCs w:val="20"/>
          <w:color w:val="auto"/>
        </w:rPr>
      </w:pPr>
      <w:r>
        <w:rPr>
          <w:rFonts w:ascii="Arial" w:cs="Arial" w:eastAsia="Arial" w:hAnsi="Arial"/>
          <w:sz w:val="10"/>
          <w:szCs w:val="10"/>
          <w:color w:val="auto"/>
        </w:rPr>
        <w:t>Taloga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Taloga Wind, LLC, the operating subsidiary of Tapestry Wind LLC, which owns the Taloga project</w:t>
      </w:r>
    </w:p>
    <w:p>
      <w:pPr>
        <w:spacing w:after="0" w:line="54" w:lineRule="exact"/>
        <w:rPr>
          <w:sz w:val="20"/>
          <w:szCs w:val="20"/>
          <w:color w:val="auto"/>
        </w:rPr>
      </w:pPr>
    </w:p>
    <w:p>
      <w:pPr>
        <w:sectPr>
          <w:pgSz w:w="11900" w:h="16838" w:orient="portrait"/>
          <w:cols w:equalWidth="0" w:num="2">
            <w:col w:w="2260" w:space="720"/>
            <w:col w:w="8460"/>
          </w:cols>
          <w:pgMar w:left="240" w:top="617" w:right="219" w:bottom="1440" w:gutter="0" w:footer="0" w:header="0"/>
          <w:type w:val="continuous"/>
        </w:sectPr>
      </w:pPr>
    </w:p>
    <w:p>
      <w:pPr>
        <w:spacing w:after="0"/>
        <w:rPr>
          <w:sz w:val="20"/>
          <w:szCs w:val="20"/>
          <w:color w:val="auto"/>
        </w:rPr>
      </w:pPr>
      <w:r>
        <w:rPr>
          <w:rFonts w:ascii="Arial" w:cs="Arial" w:eastAsia="Arial" w:hAnsi="Arial"/>
          <w:sz w:val="10"/>
          <w:szCs w:val="10"/>
          <w:color w:val="auto"/>
        </w:rPr>
        <w:t>Tapestry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Collection of the Pinnacle, Buffalo Bear and Taloga projects</w:t>
      </w:r>
    </w:p>
    <w:p>
      <w:pPr>
        <w:spacing w:after="0" w:line="65" w:lineRule="exact"/>
        <w:rPr>
          <w:sz w:val="20"/>
          <w:szCs w:val="20"/>
          <w:color w:val="auto"/>
        </w:rPr>
      </w:pPr>
    </w:p>
    <w:p>
      <w:pPr>
        <w:sectPr>
          <w:pgSz w:w="11900" w:h="16838" w:orient="portrait"/>
          <w:cols w:equalWidth="0" w:num="2">
            <w:col w:w="2260" w:space="720"/>
            <w:col w:w="8460"/>
          </w:cols>
          <w:pgMar w:left="240" w:top="617" w:right="219" w:bottom="1440" w:gutter="0" w:footer="0" w:header="0"/>
          <w:type w:val="continuous"/>
        </w:sectPr>
      </w:pPr>
    </w:p>
    <w:p>
      <w:pPr>
        <w:spacing w:after="0"/>
        <w:rPr>
          <w:sz w:val="20"/>
          <w:szCs w:val="20"/>
          <w:color w:val="auto"/>
        </w:rPr>
      </w:pPr>
      <w:r>
        <w:rPr>
          <w:rFonts w:ascii="Arial" w:cs="Arial" w:eastAsia="Arial" w:hAnsi="Arial"/>
          <w:sz w:val="11"/>
          <w:szCs w:val="11"/>
          <w:color w:val="auto"/>
        </w:rPr>
        <w:t>Tax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Tax Cuts and Jobs Act of 2017</w:t>
      </w:r>
    </w:p>
    <w:p>
      <w:pPr>
        <w:spacing w:after="0" w:line="65" w:lineRule="exact"/>
        <w:rPr>
          <w:sz w:val="20"/>
          <w:szCs w:val="20"/>
          <w:color w:val="auto"/>
        </w:rPr>
      </w:pPr>
    </w:p>
    <w:p>
      <w:pPr>
        <w:sectPr>
          <w:pgSz w:w="11900" w:h="16838" w:orient="portrait"/>
          <w:cols w:equalWidth="0" w:num="2">
            <w:col w:w="2260" w:space="720"/>
            <w:col w:w="8460"/>
          </w:cols>
          <w:pgMar w:left="240" w:top="617" w:right="219" w:bottom="1440" w:gutter="0" w:footer="0" w:header="0"/>
          <w:type w:val="continuous"/>
        </w:sectPr>
      </w:pPr>
    </w:p>
    <w:p>
      <w:pPr>
        <w:spacing w:after="0"/>
        <w:rPr>
          <w:sz w:val="20"/>
          <w:szCs w:val="20"/>
          <w:color w:val="auto"/>
        </w:rPr>
      </w:pPr>
      <w:r>
        <w:rPr>
          <w:rFonts w:ascii="Arial" w:cs="Arial" w:eastAsia="Arial" w:hAnsi="Arial"/>
          <w:sz w:val="10"/>
          <w:szCs w:val="10"/>
          <w:color w:val="auto"/>
        </w:rPr>
        <w:t>Thermal Business</w:t>
      </w:r>
    </w:p>
    <w:p>
      <w:pPr>
        <w:spacing w:after="0" w:line="20" w:lineRule="exact"/>
        <w:rPr>
          <w:sz w:val="20"/>
          <w:szCs w:val="20"/>
          <w:color w:val="auto"/>
        </w:rPr>
      </w:pPr>
      <w:r>
        <w:rPr>
          <w:sz w:val="20"/>
          <w:szCs w:val="20"/>
          <w:color w:val="auto"/>
        </w:rPr>
        <w:br w:type="column"/>
      </w:r>
    </w:p>
    <w:p>
      <w:pPr>
        <w:spacing w:after="0" w:line="276" w:lineRule="auto"/>
        <w:rPr>
          <w:sz w:val="20"/>
          <w:szCs w:val="20"/>
          <w:color w:val="auto"/>
        </w:rPr>
      </w:pPr>
      <w:r>
        <w:rPr>
          <w:rFonts w:ascii="Arial" w:cs="Arial" w:eastAsia="Arial" w:hAnsi="Arial"/>
          <w:sz w:val="12"/>
          <w:szCs w:val="12"/>
          <w:color w:val="auto"/>
        </w:rPr>
        <w:t>The Company's thermal business, which consists of thermal infrastructure assets that provide steam, hot water and/or chilled water, and in some instances electricity, to commercial businesses, universities, hospitals and governmental units</w:t>
      </w:r>
    </w:p>
    <w:p>
      <w:pPr>
        <w:spacing w:after="0" w:line="7" w:lineRule="exact"/>
        <w:rPr>
          <w:sz w:val="20"/>
          <w:szCs w:val="20"/>
          <w:color w:val="auto"/>
        </w:rPr>
      </w:pPr>
    </w:p>
    <w:p>
      <w:pPr>
        <w:sectPr>
          <w:pgSz w:w="11900" w:h="16838" w:orient="portrait"/>
          <w:cols w:equalWidth="0" w:num="2">
            <w:col w:w="2260" w:space="720"/>
            <w:col w:w="8460"/>
          </w:cols>
          <w:pgMar w:left="240" w:top="617" w:right="219" w:bottom="1440" w:gutter="0" w:footer="0" w:header="0"/>
          <w:type w:val="continuous"/>
        </w:sectPr>
      </w:pPr>
    </w:p>
    <w:p>
      <w:pPr>
        <w:spacing w:after="0"/>
        <w:rPr>
          <w:sz w:val="20"/>
          <w:szCs w:val="20"/>
          <w:color w:val="auto"/>
        </w:rPr>
      </w:pPr>
      <w:r>
        <w:rPr>
          <w:rFonts w:ascii="Arial" w:cs="Arial" w:eastAsia="Arial" w:hAnsi="Arial"/>
          <w:sz w:val="11"/>
          <w:szCs w:val="11"/>
          <w:color w:val="auto"/>
        </w:rPr>
        <w:t>Third Amendment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Third Amendment to Amended and Restated Credit Agreement and Administrative Agent Resignation and Appointment Agreement, dated as of April 30, 2018</w:t>
      </w:r>
    </w:p>
    <w:p>
      <w:pPr>
        <w:spacing w:after="0" w:line="65" w:lineRule="exact"/>
        <w:rPr>
          <w:sz w:val="20"/>
          <w:szCs w:val="20"/>
          <w:color w:val="auto"/>
        </w:rPr>
      </w:pPr>
    </w:p>
    <w:p>
      <w:pPr>
        <w:sectPr>
          <w:pgSz w:w="11900" w:h="16838" w:orient="portrait"/>
          <w:cols w:equalWidth="0" w:num="2">
            <w:col w:w="2260" w:space="720"/>
            <w:col w:w="8460"/>
          </w:cols>
          <w:pgMar w:left="240" w:top="617" w:right="219" w:bottom="1440" w:gutter="0" w:footer="0" w:header="0"/>
          <w:type w:val="continuous"/>
        </w:sectPr>
      </w:pPr>
    </w:p>
    <w:p>
      <w:pPr>
        <w:spacing w:after="0"/>
        <w:rPr>
          <w:sz w:val="20"/>
          <w:szCs w:val="20"/>
          <w:color w:val="auto"/>
        </w:rPr>
      </w:pPr>
      <w:r>
        <w:rPr>
          <w:rFonts w:ascii="Arial" w:cs="Arial" w:eastAsia="Arial" w:hAnsi="Arial"/>
          <w:sz w:val="11"/>
          <w:szCs w:val="11"/>
          <w:color w:val="auto"/>
        </w:rPr>
        <w:t>UPMC Thermal Project</w:t>
      </w:r>
    </w:p>
    <w:p>
      <w:pPr>
        <w:spacing w:after="0" w:line="20" w:lineRule="exact"/>
        <w:rPr>
          <w:sz w:val="20"/>
          <w:szCs w:val="20"/>
          <w:color w:val="auto"/>
        </w:rPr>
      </w:pPr>
      <w:r>
        <w:rPr>
          <w:sz w:val="20"/>
          <w:szCs w:val="20"/>
          <w:color w:val="auto"/>
        </w:rPr>
        <w:br w:type="column"/>
      </w:r>
    </w:p>
    <w:p>
      <w:pPr>
        <w:ind w:right="20"/>
        <w:spacing w:after="0" w:line="276" w:lineRule="auto"/>
        <w:rPr>
          <w:sz w:val="20"/>
          <w:szCs w:val="20"/>
          <w:color w:val="auto"/>
        </w:rPr>
      </w:pPr>
      <w:r>
        <w:rPr>
          <w:rFonts w:ascii="Arial" w:cs="Arial" w:eastAsia="Arial" w:hAnsi="Arial"/>
          <w:sz w:val="12"/>
          <w:szCs w:val="12"/>
          <w:color w:val="auto"/>
        </w:rPr>
        <w:t>The University of Pittsburgh Medical Center Thermal Project, a 73 MWt district energy system that allows NECP to provide steam, chilled water and 7.5 MW of emergency backup power service to UPMC.</w:t>
      </w:r>
    </w:p>
    <w:p>
      <w:pPr>
        <w:spacing w:after="0" w:line="7" w:lineRule="exact"/>
        <w:rPr>
          <w:sz w:val="20"/>
          <w:szCs w:val="20"/>
          <w:color w:val="auto"/>
        </w:rPr>
      </w:pPr>
    </w:p>
    <w:p>
      <w:pPr>
        <w:sectPr>
          <w:pgSz w:w="11900" w:h="16838" w:orient="portrait"/>
          <w:cols w:equalWidth="0" w:num="2">
            <w:col w:w="2260" w:space="720"/>
            <w:col w:w="8460"/>
          </w:cols>
          <w:pgMar w:left="240" w:top="617" w:right="219" w:bottom="1440" w:gutter="0" w:footer="0" w:header="0"/>
          <w:type w:val="continuous"/>
        </w:sectPr>
      </w:pPr>
    </w:p>
    <w:p>
      <w:pPr>
        <w:spacing w:after="0"/>
        <w:rPr>
          <w:sz w:val="20"/>
          <w:szCs w:val="20"/>
          <w:color w:val="auto"/>
        </w:rPr>
      </w:pPr>
      <w:r>
        <w:rPr>
          <w:rFonts w:ascii="Arial" w:cs="Arial" w:eastAsia="Arial" w:hAnsi="Arial"/>
          <w:sz w:val="10"/>
          <w:szCs w:val="10"/>
          <w:color w:val="auto"/>
        </w:rPr>
        <w: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United States of America</w:t>
      </w:r>
    </w:p>
    <w:p>
      <w:pPr>
        <w:spacing w:after="0" w:line="54" w:lineRule="exact"/>
        <w:rPr>
          <w:sz w:val="20"/>
          <w:szCs w:val="20"/>
          <w:color w:val="auto"/>
        </w:rPr>
      </w:pPr>
    </w:p>
    <w:p>
      <w:pPr>
        <w:sectPr>
          <w:pgSz w:w="11900" w:h="16838" w:orient="portrait"/>
          <w:cols w:equalWidth="0" w:num="2">
            <w:col w:w="2260" w:space="720"/>
            <w:col w:w="8460"/>
          </w:cols>
          <w:pgMar w:left="240" w:top="617" w:right="219" w:bottom="1440" w:gutter="0" w:footer="0" w:header="0"/>
          <w:type w:val="continuous"/>
        </w:sectPr>
      </w:pPr>
    </w:p>
    <w:p>
      <w:pPr>
        <w:spacing w:after="0"/>
        <w:rPr>
          <w:sz w:val="20"/>
          <w:szCs w:val="20"/>
          <w:color w:val="auto"/>
        </w:rPr>
      </w:pPr>
      <w:r>
        <w:rPr>
          <w:rFonts w:ascii="Arial" w:cs="Arial" w:eastAsia="Arial" w:hAnsi="Arial"/>
          <w:sz w:val="11"/>
          <w:szCs w:val="11"/>
          <w:color w:val="auto"/>
        </w:rPr>
        <w:t>Utah Solar Portfolio</w:t>
      </w:r>
    </w:p>
    <w:p>
      <w:pPr>
        <w:spacing w:after="0" w:line="20" w:lineRule="exact"/>
        <w:rPr>
          <w:sz w:val="20"/>
          <w:szCs w:val="20"/>
          <w:color w:val="auto"/>
        </w:rPr>
      </w:pPr>
      <w:r>
        <w:rPr>
          <w:sz w:val="20"/>
          <w:szCs w:val="20"/>
          <w:color w:val="auto"/>
        </w:rPr>
        <w:br w:type="column"/>
      </w:r>
    </w:p>
    <w:p>
      <w:pPr>
        <w:jc w:val="both"/>
        <w:spacing w:after="0" w:line="263" w:lineRule="auto"/>
        <w:rPr>
          <w:sz w:val="20"/>
          <w:szCs w:val="20"/>
          <w:color w:val="auto"/>
        </w:rPr>
      </w:pPr>
      <w:r>
        <w:rPr>
          <w:rFonts w:ascii="Arial" w:cs="Arial" w:eastAsia="Arial" w:hAnsi="Arial"/>
          <w:sz w:val="12"/>
          <w:szCs w:val="12"/>
          <w:color w:val="auto"/>
        </w:rPr>
        <w:t>Collection consists of Four Brothers Solar, LLC, Granite Mountain Holdings, LLC, and Iron Springs Holdings, LLC, which are equity investments owned by Four Brothers Capital, LLC, Granite Mountain Capital, LLC, and Iron Springs Capital, LLC, respectively, and are part of the March 2017 Drop Down Assets acquisition that closed on March 27, 2017</w:t>
      </w:r>
    </w:p>
    <w:p>
      <w:pPr>
        <w:spacing w:after="0" w:line="15" w:lineRule="exact"/>
        <w:rPr>
          <w:sz w:val="20"/>
          <w:szCs w:val="20"/>
          <w:color w:val="auto"/>
        </w:rPr>
      </w:pPr>
    </w:p>
    <w:p>
      <w:pPr>
        <w:sectPr>
          <w:pgSz w:w="11900" w:h="16838" w:orient="portrait"/>
          <w:cols w:equalWidth="0" w:num="2">
            <w:col w:w="2260" w:space="720"/>
            <w:col w:w="8460"/>
          </w:cols>
          <w:pgMar w:left="240" w:top="617" w:right="219" w:bottom="1440" w:gutter="0" w:footer="0" w:header="0"/>
          <w:type w:val="continuous"/>
        </w:sectPr>
      </w:pPr>
    </w:p>
    <w:p>
      <w:pPr>
        <w:spacing w:after="0"/>
        <w:rPr>
          <w:sz w:val="20"/>
          <w:szCs w:val="20"/>
          <w:color w:val="auto"/>
        </w:rPr>
      </w:pPr>
      <w:r>
        <w:rPr>
          <w:rFonts w:ascii="Arial" w:cs="Arial" w:eastAsia="Arial" w:hAnsi="Arial"/>
          <w:sz w:val="11"/>
          <w:szCs w:val="11"/>
          <w:color w:val="auto"/>
        </w:rPr>
        <w:t>Utility Scale Solar</w:t>
      </w:r>
    </w:p>
    <w:p>
      <w:pPr>
        <w:spacing w:after="0" w:line="20" w:lineRule="exact"/>
        <w:rPr>
          <w:sz w:val="20"/>
          <w:szCs w:val="20"/>
          <w:color w:val="auto"/>
        </w:rPr>
      </w:pPr>
      <w:r>
        <w:rPr>
          <w:sz w:val="20"/>
          <w:szCs w:val="20"/>
          <w:color w:val="auto"/>
        </w:rPr>
        <w:br w:type="column"/>
      </w:r>
    </w:p>
    <w:p>
      <w:pPr>
        <w:spacing w:after="0" w:line="276" w:lineRule="auto"/>
        <w:rPr>
          <w:sz w:val="20"/>
          <w:szCs w:val="20"/>
          <w:color w:val="auto"/>
        </w:rPr>
      </w:pPr>
      <w:r>
        <w:rPr>
          <w:rFonts w:ascii="Arial" w:cs="Arial" w:eastAsia="Arial" w:hAnsi="Arial"/>
          <w:sz w:val="12"/>
          <w:szCs w:val="12"/>
          <w:color w:val="auto"/>
        </w:rPr>
        <w:t>Solar power projects, typically 20 MW or greater in size (on an alternating current, or AC, basis), that are interconnected into the transmission or distribution grid to sell power at a wholesale level</w:t>
      </w:r>
    </w:p>
    <w:p>
      <w:pPr>
        <w:spacing w:after="0" w:line="7" w:lineRule="exact"/>
        <w:rPr>
          <w:sz w:val="20"/>
          <w:szCs w:val="20"/>
          <w:color w:val="auto"/>
        </w:rPr>
      </w:pPr>
    </w:p>
    <w:p>
      <w:pPr>
        <w:sectPr>
          <w:pgSz w:w="11900" w:h="16838" w:orient="portrait"/>
          <w:cols w:equalWidth="0" w:num="2">
            <w:col w:w="2260" w:space="720"/>
            <w:col w:w="8460"/>
          </w:cols>
          <w:pgMar w:left="240" w:top="617" w:right="219" w:bottom="1440" w:gutter="0" w:footer="0" w:header="0"/>
          <w:type w:val="continuous"/>
        </w:sectPr>
      </w:pPr>
    </w:p>
    <w:p>
      <w:pPr>
        <w:spacing w:after="0"/>
        <w:rPr>
          <w:sz w:val="20"/>
          <w:szCs w:val="20"/>
          <w:color w:val="auto"/>
        </w:rPr>
      </w:pPr>
      <w:r>
        <w:rPr>
          <w:rFonts w:ascii="Arial" w:cs="Arial" w:eastAsia="Arial" w:hAnsi="Arial"/>
          <w:sz w:val="10"/>
          <w:szCs w:val="10"/>
          <w:color w:val="auto"/>
        </w:rPr>
        <w:t>VaR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Value at Risk</w:t>
      </w:r>
    </w:p>
    <w:p>
      <w:pPr>
        <w:spacing w:after="0" w:line="65" w:lineRule="exact"/>
        <w:rPr>
          <w:sz w:val="20"/>
          <w:szCs w:val="20"/>
          <w:color w:val="auto"/>
        </w:rPr>
      </w:pPr>
    </w:p>
    <w:p>
      <w:pPr>
        <w:sectPr>
          <w:pgSz w:w="11900" w:h="16838" w:orient="portrait"/>
          <w:cols w:equalWidth="0" w:num="2">
            <w:col w:w="2260" w:space="720"/>
            <w:col w:w="8460"/>
          </w:cols>
          <w:pgMar w:left="240" w:top="617" w:right="219" w:bottom="1440" w:gutter="0" w:footer="0" w:header="0"/>
          <w:type w:val="continuous"/>
        </w:sectPr>
      </w:pPr>
    </w:p>
    <w:p>
      <w:pPr>
        <w:spacing w:after="0"/>
        <w:rPr>
          <w:sz w:val="20"/>
          <w:szCs w:val="20"/>
          <w:color w:val="auto"/>
        </w:rPr>
      </w:pPr>
      <w:r>
        <w:rPr>
          <w:rFonts w:ascii="Arial" w:cs="Arial" w:eastAsia="Arial" w:hAnsi="Arial"/>
          <w:sz w:val="12"/>
          <w:szCs w:val="12"/>
          <w:color w:val="auto"/>
        </w:rPr>
        <w:t>VIE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Variable Interest Entity</w:t>
      </w:r>
    </w:p>
    <w:p>
      <w:pPr>
        <w:spacing w:after="0" w:line="53" w:lineRule="exact"/>
        <w:rPr>
          <w:sz w:val="20"/>
          <w:szCs w:val="20"/>
          <w:color w:val="auto"/>
        </w:rPr>
      </w:pPr>
    </w:p>
    <w:p>
      <w:pPr>
        <w:sectPr>
          <w:pgSz w:w="11900" w:h="16838" w:orient="portrait"/>
          <w:cols w:equalWidth="0" w:num="2">
            <w:col w:w="2260" w:space="720"/>
            <w:col w:w="8460"/>
          </w:cols>
          <w:pgMar w:left="240" w:top="617" w:right="219" w:bottom="1440" w:gutter="0" w:footer="0" w:header="0"/>
          <w:type w:val="continuous"/>
        </w:sectPr>
      </w:pPr>
    </w:p>
    <w:p>
      <w:pPr>
        <w:spacing w:after="0"/>
        <w:rPr>
          <w:sz w:val="20"/>
          <w:szCs w:val="20"/>
          <w:color w:val="auto"/>
        </w:rPr>
      </w:pPr>
      <w:r>
        <w:rPr>
          <w:rFonts w:ascii="Arial" w:cs="Arial" w:eastAsia="Arial" w:hAnsi="Arial"/>
          <w:sz w:val="10"/>
          <w:szCs w:val="10"/>
          <w:color w:val="auto"/>
        </w:rPr>
        <w:t>Walnut Creek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Walnut Creek Energy, LLC, the operating subsidiary of WCEP Holdings, LLC, which owns the Walnut Creek project</w:t>
      </w:r>
    </w:p>
    <w:p>
      <w:pPr>
        <w:spacing w:after="0" w:line="198" w:lineRule="exact"/>
        <w:rPr>
          <w:sz w:val="20"/>
          <w:szCs w:val="20"/>
          <w:color w:val="auto"/>
        </w:rPr>
      </w:pPr>
    </w:p>
    <w:p>
      <w:pPr>
        <w:sectPr>
          <w:pgSz w:w="11900" w:h="16838" w:orient="portrait"/>
          <w:cols w:equalWidth="0" w:num="2">
            <w:col w:w="2260" w:space="720"/>
            <w:col w:w="8460"/>
          </w:cols>
          <w:pgMar w:left="240" w:top="617" w:right="219" w:bottom="1440" w:gutter="0" w:footer="0" w:header="0"/>
          <w:type w:val="continuous"/>
        </w:sectPr>
      </w:pPr>
    </w:p>
    <w:p>
      <w:pPr>
        <w:jc w:val="center"/>
        <w:ind w:right="20"/>
        <w:spacing w:after="0"/>
        <w:rPr>
          <w:sz w:val="20"/>
          <w:szCs w:val="20"/>
          <w:color w:val="auto"/>
        </w:rPr>
      </w:pPr>
      <w:r>
        <w:rPr>
          <w:rFonts w:ascii="Arial" w:cs="Arial" w:eastAsia="Arial" w:hAnsi="Arial"/>
          <w:sz w:val="10"/>
          <w:szCs w:val="10"/>
          <w:color w:val="auto"/>
        </w:rPr>
        <w:t>6</w:t>
      </w:r>
    </w:p>
    <w:p>
      <w:pPr>
        <w:sectPr>
          <w:pgSz w:w="11900" w:h="16838" w:orient="portrait"/>
          <w:cols w:equalWidth="0" w:num="1">
            <w:col w:w="11440"/>
          </w:cols>
          <w:pgMar w:left="240" w:top="617" w:right="219" w:bottom="1440" w:gutter="0" w:footer="0" w:header="0"/>
          <w:type w:val="continuous"/>
        </w:sectPr>
      </w:pPr>
    </w:p>
    <w:bookmarkStart w:id="6" w:name="page7"/>
    <w:bookmarkEnd w:id="6"/>
    <w:p>
      <w:pPr>
        <w:jc w:val="center"/>
        <w:ind w:right="-7"/>
        <w:spacing w:after="0"/>
        <w:rPr>
          <w:sz w:val="20"/>
          <w:szCs w:val="20"/>
          <w:color w:val="auto"/>
        </w:rPr>
      </w:pPr>
      <w:r>
        <w:rPr>
          <w:rFonts w:ascii="Arial" w:cs="Arial" w:eastAsia="Arial" w:hAnsi="Arial"/>
          <w:sz w:val="12"/>
          <w:szCs w:val="12"/>
          <w:b w:val="1"/>
          <w:bCs w:val="1"/>
          <w:color w:val="auto"/>
        </w:rPr>
        <w:t>PART I - FINANCIAL INFORMATION</w:t>
      </w:r>
    </w:p>
    <w:p>
      <w:pPr>
        <w:spacing w:after="0" w:line="11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ITEM 1 — FINANCIAL STATEMENTS</w:t>
      </w:r>
    </w:p>
    <w:p>
      <w:pPr>
        <w:spacing w:after="0" w:line="11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NRG YIELD, INC.</w:t>
      </w:r>
    </w:p>
    <w:p>
      <w:pPr>
        <w:spacing w:after="0" w:line="11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CONSOLIDATED STATEMENTS OF OPERATIONS</w:t>
      </w:r>
    </w:p>
    <w:p>
      <w:pPr>
        <w:spacing w:after="0" w:line="11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(Unaudited)</w:t>
      </w:r>
    </w:p>
    <w:p>
      <w:pPr>
        <w:spacing w:after="0" w:line="266"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36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0"/>
                <w:szCs w:val="10"/>
                <w:b w:val="1"/>
                <w:bCs w:val="1"/>
                <w:color w:val="auto"/>
              </w:rPr>
              <w:t>Three months ended June 30,</w:t>
            </w:r>
          </w:p>
        </w:tc>
        <w:tc>
          <w:tcPr>
            <w:tcW w:w="1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32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0"/>
                <w:szCs w:val="10"/>
                <w:b w:val="1"/>
                <w:bCs w:val="1"/>
                <w:color w:val="auto"/>
              </w:rPr>
              <w:t>Six months ended June 30,</w:t>
            </w:r>
          </w:p>
        </w:tc>
      </w:tr>
      <w:tr>
        <w:trPr>
          <w:trHeight w:val="146"/>
        </w:trPr>
        <w:tc>
          <w:tcPr>
            <w:tcW w:w="6080" w:type="dxa"/>
            <w:vAlign w:val="bottom"/>
            <w:gridSpan w:val="3"/>
          </w:tcPr>
          <w:p>
            <w:pPr>
              <w:ind w:left="20"/>
              <w:spacing w:after="0"/>
              <w:rPr>
                <w:sz w:val="20"/>
                <w:szCs w:val="20"/>
                <w:color w:val="auto"/>
              </w:rPr>
            </w:pPr>
            <w:r>
              <w:rPr>
                <w:rFonts w:ascii="Arial" w:cs="Arial" w:eastAsia="Arial" w:hAnsi="Arial"/>
                <w:sz w:val="10"/>
                <w:szCs w:val="10"/>
                <w:b w:val="1"/>
                <w:bCs w:val="1"/>
                <w:color w:val="auto"/>
              </w:rPr>
              <w:t>(In millions, except per share amounts)</w:t>
            </w:r>
          </w:p>
        </w:tc>
        <w:tc>
          <w:tcPr>
            <w:tcW w:w="300" w:type="dxa"/>
            <w:vAlign w:val="bottom"/>
          </w:tcPr>
          <w:p>
            <w:pPr>
              <w:spacing w:after="0"/>
              <w:rPr>
                <w:sz w:val="12"/>
                <w:szCs w:val="12"/>
                <w:color w:val="auto"/>
              </w:rPr>
            </w:pPr>
          </w:p>
        </w:tc>
        <w:tc>
          <w:tcPr>
            <w:tcW w:w="980" w:type="dxa"/>
            <w:vAlign w:val="bottom"/>
          </w:tcPr>
          <w:p>
            <w:pPr>
              <w:jc w:val="right"/>
              <w:ind w:right="481"/>
              <w:spacing w:after="0"/>
              <w:rPr>
                <w:sz w:val="20"/>
                <w:szCs w:val="20"/>
                <w:color w:val="auto"/>
              </w:rPr>
            </w:pPr>
            <w:r>
              <w:rPr>
                <w:rFonts w:ascii="Arial" w:cs="Arial" w:eastAsia="Arial" w:hAnsi="Arial"/>
                <w:sz w:val="10"/>
                <w:szCs w:val="10"/>
                <w:b w:val="1"/>
                <w:bCs w:val="1"/>
                <w:color w:val="auto"/>
              </w:rPr>
              <w:t>2018</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ind w:left="200"/>
              <w:spacing w:after="0"/>
              <w:rPr>
                <w:sz w:val="20"/>
                <w:szCs w:val="20"/>
                <w:color w:val="auto"/>
              </w:rPr>
            </w:pPr>
            <w:r>
              <w:rPr>
                <w:rFonts w:ascii="Arial" w:cs="Arial" w:eastAsia="Arial" w:hAnsi="Arial"/>
                <w:sz w:val="10"/>
                <w:szCs w:val="10"/>
                <w:b w:val="1"/>
                <w:bCs w:val="1"/>
                <w:color w:val="auto"/>
              </w:rPr>
              <w:t xml:space="preserve">2017 </w:t>
            </w:r>
            <w:r>
              <w:rPr>
                <w:rFonts w:ascii="Arial" w:cs="Arial" w:eastAsia="Arial" w:hAnsi="Arial"/>
                <w:sz w:val="5"/>
                <w:szCs w:val="5"/>
                <w:b w:val="1"/>
                <w:bCs w:val="1"/>
                <w:color w:val="auto"/>
              </w:rPr>
              <w:t>(a)</w:t>
            </w:r>
          </w:p>
        </w:tc>
        <w:tc>
          <w:tcPr>
            <w:tcW w:w="300" w:type="dxa"/>
            <w:vAlign w:val="bottom"/>
          </w:tcPr>
          <w:p>
            <w:pPr>
              <w:spacing w:after="0"/>
              <w:rPr>
                <w:sz w:val="12"/>
                <w:szCs w:val="12"/>
                <w:color w:val="auto"/>
              </w:rPr>
            </w:pPr>
          </w:p>
        </w:tc>
        <w:tc>
          <w:tcPr>
            <w:tcW w:w="960" w:type="dxa"/>
            <w:vAlign w:val="bottom"/>
          </w:tcPr>
          <w:p>
            <w:pPr>
              <w:jc w:val="right"/>
              <w:ind w:right="481"/>
              <w:spacing w:after="0"/>
              <w:rPr>
                <w:sz w:val="20"/>
                <w:szCs w:val="20"/>
                <w:color w:val="auto"/>
              </w:rPr>
            </w:pPr>
            <w:r>
              <w:rPr>
                <w:rFonts w:ascii="Arial" w:cs="Arial" w:eastAsia="Arial" w:hAnsi="Arial"/>
                <w:sz w:val="10"/>
                <w:szCs w:val="10"/>
                <w:b w:val="1"/>
                <w:bCs w:val="1"/>
                <w:color w:val="auto"/>
              </w:rPr>
              <w:t>2018</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420"/>
              <w:spacing w:after="0"/>
              <w:rPr>
                <w:sz w:val="20"/>
                <w:szCs w:val="20"/>
                <w:color w:val="auto"/>
              </w:rPr>
            </w:pPr>
            <w:r>
              <w:rPr>
                <w:rFonts w:ascii="Arial" w:cs="Arial" w:eastAsia="Arial" w:hAnsi="Arial"/>
                <w:sz w:val="10"/>
                <w:szCs w:val="10"/>
                <w:b w:val="1"/>
                <w:bCs w:val="1"/>
                <w:color w:val="auto"/>
              </w:rPr>
              <w:t xml:space="preserve">2017 </w:t>
            </w:r>
            <w:r>
              <w:rPr>
                <w:rFonts w:ascii="Arial" w:cs="Arial" w:eastAsia="Arial" w:hAnsi="Arial"/>
                <w:sz w:val="5"/>
                <w:szCs w:val="5"/>
                <w:b w:val="1"/>
                <w:bCs w:val="1"/>
                <w:color w:val="auto"/>
              </w:rPr>
              <w:t>(a)</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80" w:type="dxa"/>
            <w:vAlign w:val="bottom"/>
            <w:tcBorders>
              <w:top w:val="single" w:sz="8" w:color="auto"/>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36"/>
        </w:trPr>
        <w:tc>
          <w:tcPr>
            <w:tcW w:w="60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Operating Revenues</w:t>
            </w:r>
          </w:p>
        </w:tc>
        <w:tc>
          <w:tcPr>
            <w:tcW w:w="30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shd w:val="clear" w:color="auto" w:fill="CCEEFF"/>
          </w:tcPr>
          <w:p>
            <w:pPr>
              <w:spacing w:after="0"/>
              <w:rPr>
                <w:sz w:val="11"/>
                <w:szCs w:val="1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6060" w:type="dxa"/>
            <w:vAlign w:val="bottom"/>
            <w:tcBorders>
              <w:bottom w:val="single" w:sz="8" w:color="CCEEFF"/>
            </w:tcBorders>
            <w:gridSpan w:val="2"/>
          </w:tcPr>
          <w:p>
            <w:pPr>
              <w:ind w:left="160"/>
              <w:spacing w:after="0"/>
              <w:rPr>
                <w:sz w:val="20"/>
                <w:szCs w:val="20"/>
                <w:color w:val="auto"/>
              </w:rPr>
            </w:pPr>
            <w:r>
              <w:rPr>
                <w:rFonts w:ascii="Arial" w:cs="Arial" w:eastAsia="Arial" w:hAnsi="Arial"/>
                <w:sz w:val="11"/>
                <w:szCs w:val="11"/>
                <w:color w:val="auto"/>
              </w:rPr>
              <w:t>Total operating revenues</w:t>
            </w: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307</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288</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532</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509</w:t>
            </w:r>
          </w:p>
        </w:tc>
      </w:tr>
      <w:tr>
        <w:trPr>
          <w:trHeight w:val="158"/>
        </w:trPr>
        <w:tc>
          <w:tcPr>
            <w:tcW w:w="60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Operating Costs and Expenses</w:t>
            </w:r>
          </w:p>
        </w:tc>
        <w:tc>
          <w:tcPr>
            <w:tcW w:w="3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6060" w:type="dxa"/>
            <w:vAlign w:val="bottom"/>
            <w:gridSpan w:val="2"/>
          </w:tcPr>
          <w:p>
            <w:pPr>
              <w:ind w:left="80"/>
              <w:spacing w:after="0"/>
              <w:rPr>
                <w:sz w:val="20"/>
                <w:szCs w:val="20"/>
                <w:color w:val="auto"/>
              </w:rPr>
            </w:pPr>
            <w:r>
              <w:rPr>
                <w:rFonts w:ascii="Arial" w:cs="Arial" w:eastAsia="Arial" w:hAnsi="Arial"/>
                <w:sz w:val="11"/>
                <w:szCs w:val="11"/>
                <w:color w:val="auto"/>
              </w:rPr>
              <w:t>Cost of operations</w:t>
            </w:r>
          </w:p>
        </w:tc>
        <w:tc>
          <w:tcPr>
            <w:tcW w:w="300" w:type="dxa"/>
            <w:vAlign w:val="bottom"/>
          </w:tcPr>
          <w:p>
            <w:pPr>
              <w:spacing w:after="0"/>
              <w:rPr>
                <w:sz w:val="14"/>
                <w:szCs w:val="14"/>
                <w:color w:val="auto"/>
              </w:rPr>
            </w:pPr>
          </w:p>
        </w:tc>
        <w:tc>
          <w:tcPr>
            <w:tcW w:w="980" w:type="dxa"/>
            <w:vAlign w:val="bottom"/>
          </w:tcPr>
          <w:p>
            <w:pPr>
              <w:jc w:val="right"/>
              <w:ind w:right="61"/>
              <w:spacing w:after="0"/>
              <w:rPr>
                <w:sz w:val="20"/>
                <w:szCs w:val="20"/>
                <w:color w:val="auto"/>
              </w:rPr>
            </w:pPr>
            <w:r>
              <w:rPr>
                <w:rFonts w:ascii="Arial" w:cs="Arial" w:eastAsia="Arial" w:hAnsi="Arial"/>
                <w:sz w:val="12"/>
                <w:szCs w:val="12"/>
                <w:color w:val="auto"/>
              </w:rPr>
              <w:t>74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77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163</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162</w:t>
            </w:r>
          </w:p>
        </w:tc>
      </w:tr>
      <w:tr>
        <w:trPr>
          <w:trHeight w:val="189"/>
        </w:trPr>
        <w:tc>
          <w:tcPr>
            <w:tcW w:w="20" w:type="dxa"/>
            <w:vAlign w:val="bottom"/>
            <w:shd w:val="clear" w:color="auto" w:fill="CCEEFF"/>
          </w:tcPr>
          <w:p>
            <w:pPr>
              <w:spacing w:after="0"/>
              <w:rPr>
                <w:sz w:val="16"/>
                <w:szCs w:val="16"/>
                <w:color w:val="auto"/>
              </w:rPr>
            </w:pPr>
          </w:p>
        </w:tc>
        <w:tc>
          <w:tcPr>
            <w:tcW w:w="606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Depreciation and amortization</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79</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163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156</w:t>
            </w:r>
          </w:p>
        </w:tc>
      </w:tr>
      <w:tr>
        <w:trPr>
          <w:trHeight w:val="171"/>
        </w:trPr>
        <w:tc>
          <w:tcPr>
            <w:tcW w:w="20" w:type="dxa"/>
            <w:vAlign w:val="bottom"/>
          </w:tcPr>
          <w:p>
            <w:pPr>
              <w:spacing w:after="0"/>
              <w:rPr>
                <w:sz w:val="14"/>
                <w:szCs w:val="14"/>
                <w:color w:val="auto"/>
              </w:rPr>
            </w:pPr>
          </w:p>
        </w:tc>
        <w:tc>
          <w:tcPr>
            <w:tcW w:w="6060" w:type="dxa"/>
            <w:vAlign w:val="bottom"/>
            <w:gridSpan w:val="2"/>
          </w:tcPr>
          <w:p>
            <w:pPr>
              <w:ind w:left="80"/>
              <w:spacing w:after="0"/>
              <w:rPr>
                <w:sz w:val="20"/>
                <w:szCs w:val="20"/>
                <w:color w:val="auto"/>
              </w:rPr>
            </w:pPr>
            <w:r>
              <w:rPr>
                <w:rFonts w:ascii="Arial" w:cs="Arial" w:eastAsia="Arial" w:hAnsi="Arial"/>
                <w:sz w:val="11"/>
                <w:szCs w:val="11"/>
                <w:color w:val="auto"/>
              </w:rPr>
              <w:t>General and administrative</w:t>
            </w:r>
          </w:p>
        </w:tc>
        <w:tc>
          <w:tcPr>
            <w:tcW w:w="300" w:type="dxa"/>
            <w:vAlign w:val="bottom"/>
          </w:tcPr>
          <w:p>
            <w:pPr>
              <w:spacing w:after="0"/>
              <w:rPr>
                <w:sz w:val="14"/>
                <w:szCs w:val="14"/>
                <w:color w:val="auto"/>
              </w:rPr>
            </w:pPr>
          </w:p>
        </w:tc>
        <w:tc>
          <w:tcPr>
            <w:tcW w:w="980" w:type="dxa"/>
            <w:vAlign w:val="bottom"/>
          </w:tcPr>
          <w:p>
            <w:pPr>
              <w:jc w:val="right"/>
              <w:ind w:right="61"/>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11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10</w:t>
            </w:r>
          </w:p>
        </w:tc>
      </w:tr>
      <w:tr>
        <w:trPr>
          <w:trHeight w:val="180"/>
        </w:trPr>
        <w:tc>
          <w:tcPr>
            <w:tcW w:w="20" w:type="dxa"/>
            <w:vAlign w:val="bottom"/>
            <w:shd w:val="clear" w:color="auto" w:fill="CCEEFF"/>
          </w:tcPr>
          <w:p>
            <w:pPr>
              <w:spacing w:after="0"/>
              <w:rPr>
                <w:sz w:val="15"/>
                <w:szCs w:val="15"/>
                <w:color w:val="auto"/>
              </w:rPr>
            </w:pPr>
          </w:p>
        </w:tc>
        <w:tc>
          <w:tcPr>
            <w:tcW w:w="606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Acquisition-related transaction and integration costs</w:t>
            </w: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w:t>
            </w:r>
          </w:p>
        </w:tc>
      </w:tr>
      <w:tr>
        <w:trPr>
          <w:trHeight w:val="169"/>
        </w:trPr>
        <w:tc>
          <w:tcPr>
            <w:tcW w:w="20" w:type="dxa"/>
            <w:vAlign w:val="bottom"/>
            <w:tcBorders>
              <w:bottom w:val="single" w:sz="8" w:color="CCEEFF"/>
            </w:tcBorders>
          </w:tcPr>
          <w:p>
            <w:pPr>
              <w:spacing w:after="0"/>
              <w:rPr>
                <w:sz w:val="14"/>
                <w:szCs w:val="14"/>
                <w:color w:val="auto"/>
              </w:rPr>
            </w:pPr>
          </w:p>
        </w:tc>
        <w:tc>
          <w:tcPr>
            <w:tcW w:w="6060" w:type="dxa"/>
            <w:vAlign w:val="bottom"/>
            <w:tcBorders>
              <w:bottom w:val="single" w:sz="8" w:color="CCEEFF"/>
            </w:tcBorders>
            <w:gridSpan w:val="2"/>
          </w:tcPr>
          <w:p>
            <w:pPr>
              <w:ind w:left="160"/>
              <w:spacing w:after="0"/>
              <w:rPr>
                <w:sz w:val="20"/>
                <w:szCs w:val="20"/>
                <w:color w:val="auto"/>
              </w:rPr>
            </w:pPr>
            <w:r>
              <w:rPr>
                <w:rFonts w:ascii="Arial" w:cs="Arial" w:eastAsia="Arial" w:hAnsi="Arial"/>
                <w:sz w:val="11"/>
                <w:szCs w:val="11"/>
                <w:color w:val="auto"/>
              </w:rPr>
              <w:t>Total operating costs and expenses</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163</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163</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339</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330</w:t>
            </w:r>
          </w:p>
        </w:tc>
      </w:tr>
      <w:tr>
        <w:trPr>
          <w:trHeight w:val="178"/>
        </w:trPr>
        <w:tc>
          <w:tcPr>
            <w:tcW w:w="6080" w:type="dxa"/>
            <w:vAlign w:val="bottom"/>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Operating Income</w:t>
            </w: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144</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125</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193</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179</w:t>
            </w:r>
          </w:p>
        </w:tc>
      </w:tr>
      <w:tr>
        <w:trPr>
          <w:trHeight w:val="149"/>
        </w:trPr>
        <w:tc>
          <w:tcPr>
            <w:tcW w:w="6080" w:type="dxa"/>
            <w:vAlign w:val="bottom"/>
            <w:gridSpan w:val="3"/>
          </w:tcPr>
          <w:p>
            <w:pPr>
              <w:ind w:left="20"/>
              <w:spacing w:after="0"/>
              <w:rPr>
                <w:sz w:val="20"/>
                <w:szCs w:val="20"/>
                <w:color w:val="auto"/>
              </w:rPr>
            </w:pPr>
            <w:r>
              <w:rPr>
                <w:rFonts w:ascii="Arial" w:cs="Arial" w:eastAsia="Arial" w:hAnsi="Arial"/>
                <w:sz w:val="11"/>
                <w:szCs w:val="11"/>
                <w:b w:val="1"/>
                <w:bCs w:val="1"/>
                <w:color w:val="auto"/>
              </w:rPr>
              <w:t>Other Income (Expense)</w:t>
            </w: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06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Equity in earnings of unconsolidated affiliates</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16</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33</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35</w:t>
            </w:r>
          </w:p>
        </w:tc>
      </w:tr>
      <w:tr>
        <w:trPr>
          <w:trHeight w:val="171"/>
        </w:trPr>
        <w:tc>
          <w:tcPr>
            <w:tcW w:w="20" w:type="dxa"/>
            <w:vAlign w:val="bottom"/>
          </w:tcPr>
          <w:p>
            <w:pPr>
              <w:spacing w:after="0"/>
              <w:rPr>
                <w:sz w:val="14"/>
                <w:szCs w:val="14"/>
                <w:color w:val="auto"/>
              </w:rPr>
            </w:pPr>
          </w:p>
        </w:tc>
        <w:tc>
          <w:tcPr>
            <w:tcW w:w="6060" w:type="dxa"/>
            <w:vAlign w:val="bottom"/>
            <w:gridSpan w:val="2"/>
          </w:tcPr>
          <w:p>
            <w:pPr>
              <w:ind w:left="80"/>
              <w:spacing w:after="0"/>
              <w:rPr>
                <w:sz w:val="20"/>
                <w:szCs w:val="20"/>
                <w:color w:val="auto"/>
              </w:rPr>
            </w:pPr>
            <w:r>
              <w:rPr>
                <w:rFonts w:ascii="Arial" w:cs="Arial" w:eastAsia="Arial" w:hAnsi="Arial"/>
                <w:sz w:val="11"/>
                <w:szCs w:val="11"/>
                <w:color w:val="auto"/>
              </w:rPr>
              <w:t>Other income, net</w:t>
            </w:r>
          </w:p>
        </w:tc>
        <w:tc>
          <w:tcPr>
            <w:tcW w:w="300" w:type="dxa"/>
            <w:vAlign w:val="bottom"/>
          </w:tcPr>
          <w:p>
            <w:pPr>
              <w:spacing w:after="0"/>
              <w:rPr>
                <w:sz w:val="14"/>
                <w:szCs w:val="14"/>
                <w:color w:val="auto"/>
              </w:rPr>
            </w:pPr>
          </w:p>
        </w:tc>
        <w:tc>
          <w:tcPr>
            <w:tcW w:w="980" w:type="dxa"/>
            <w:vAlign w:val="bottom"/>
          </w:tcPr>
          <w:p>
            <w:pPr>
              <w:jc w:val="right"/>
              <w:ind w:right="61"/>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2</w:t>
            </w:r>
          </w:p>
        </w:tc>
      </w:tr>
      <w:tr>
        <w:trPr>
          <w:trHeight w:val="189"/>
        </w:trPr>
        <w:tc>
          <w:tcPr>
            <w:tcW w:w="20" w:type="dxa"/>
            <w:vAlign w:val="bottom"/>
            <w:shd w:val="clear" w:color="auto" w:fill="CCEEFF"/>
          </w:tcPr>
          <w:p>
            <w:pPr>
              <w:spacing w:after="0"/>
              <w:rPr>
                <w:sz w:val="16"/>
                <w:szCs w:val="16"/>
                <w:color w:val="auto"/>
              </w:rPr>
            </w:pPr>
          </w:p>
        </w:tc>
        <w:tc>
          <w:tcPr>
            <w:tcW w:w="606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Loss on debt extinguishment</w:t>
            </w:r>
          </w:p>
        </w:tc>
        <w:tc>
          <w:tcPr>
            <w:tcW w:w="3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w:t>
            </w:r>
          </w:p>
        </w:tc>
      </w:tr>
      <w:tr>
        <w:trPr>
          <w:trHeight w:val="171"/>
        </w:trPr>
        <w:tc>
          <w:tcPr>
            <w:tcW w:w="20" w:type="dxa"/>
            <w:vAlign w:val="bottom"/>
            <w:tcBorders>
              <w:bottom w:val="single" w:sz="8" w:color="CCEEFF"/>
            </w:tcBorders>
          </w:tcPr>
          <w:p>
            <w:pPr>
              <w:spacing w:after="0"/>
              <w:rPr>
                <w:sz w:val="14"/>
                <w:szCs w:val="14"/>
                <w:color w:val="auto"/>
              </w:rPr>
            </w:pPr>
          </w:p>
        </w:tc>
        <w:tc>
          <w:tcPr>
            <w:tcW w:w="6060" w:type="dxa"/>
            <w:vAlign w:val="bottom"/>
            <w:tcBorders>
              <w:bottom w:val="single" w:sz="8" w:color="CCEEFF"/>
            </w:tcBorders>
            <w:gridSpan w:val="2"/>
          </w:tcPr>
          <w:p>
            <w:pPr>
              <w:ind w:left="80"/>
              <w:spacing w:after="0"/>
              <w:rPr>
                <w:sz w:val="20"/>
                <w:szCs w:val="20"/>
                <w:color w:val="auto"/>
              </w:rPr>
            </w:pPr>
            <w:r>
              <w:rPr>
                <w:rFonts w:ascii="Arial" w:cs="Arial" w:eastAsia="Arial" w:hAnsi="Arial"/>
                <w:sz w:val="11"/>
                <w:szCs w:val="11"/>
                <w:color w:val="auto"/>
              </w:rPr>
              <w:t>Interest expense</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(71)</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(90)</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(126)</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(165)</w:t>
            </w:r>
          </w:p>
        </w:tc>
      </w:tr>
      <w:tr>
        <w:trPr>
          <w:trHeight w:val="169"/>
        </w:trPr>
        <w:tc>
          <w:tcPr>
            <w:tcW w:w="20" w:type="dxa"/>
            <w:vAlign w:val="bottom"/>
            <w:shd w:val="clear" w:color="auto" w:fill="CCEEFF"/>
          </w:tcPr>
          <w:p>
            <w:pPr>
              <w:spacing w:after="0"/>
              <w:rPr>
                <w:sz w:val="14"/>
                <w:szCs w:val="14"/>
                <w:color w:val="auto"/>
              </w:rPr>
            </w:pPr>
          </w:p>
        </w:tc>
        <w:tc>
          <w:tcPr>
            <w:tcW w:w="606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Total other expense, net</w:t>
            </w: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(41)</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(73)</w:t>
            </w:r>
          </w:p>
        </w:tc>
        <w:tc>
          <w:tcPr>
            <w:tcW w:w="12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(91)</w:t>
            </w:r>
          </w:p>
        </w:tc>
        <w:tc>
          <w:tcPr>
            <w:tcW w:w="1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(130)</w:t>
            </w:r>
          </w:p>
        </w:tc>
      </w:tr>
      <w:tr>
        <w:trPr>
          <w:trHeight w:val="169"/>
        </w:trPr>
        <w:tc>
          <w:tcPr>
            <w:tcW w:w="6080" w:type="dxa"/>
            <w:vAlign w:val="bottom"/>
            <w:gridSpan w:val="3"/>
          </w:tcPr>
          <w:p>
            <w:pPr>
              <w:ind w:left="20"/>
              <w:spacing w:after="0"/>
              <w:rPr>
                <w:sz w:val="20"/>
                <w:szCs w:val="20"/>
                <w:color w:val="auto"/>
              </w:rPr>
            </w:pPr>
            <w:r>
              <w:rPr>
                <w:rFonts w:ascii="Arial" w:cs="Arial" w:eastAsia="Arial" w:hAnsi="Arial"/>
                <w:sz w:val="11"/>
                <w:szCs w:val="11"/>
                <w:b w:val="1"/>
                <w:bCs w:val="1"/>
                <w:color w:val="auto"/>
              </w:rPr>
              <w:t>Income Before Income Taxes</w:t>
            </w:r>
          </w:p>
        </w:tc>
        <w:tc>
          <w:tcPr>
            <w:tcW w:w="300" w:type="dxa"/>
            <w:vAlign w:val="bottom"/>
          </w:tcPr>
          <w:p>
            <w:pPr>
              <w:spacing w:after="0"/>
              <w:rPr>
                <w:sz w:val="14"/>
                <w:szCs w:val="14"/>
                <w:color w:val="auto"/>
              </w:rPr>
            </w:pPr>
          </w:p>
        </w:tc>
        <w:tc>
          <w:tcPr>
            <w:tcW w:w="980" w:type="dxa"/>
            <w:vAlign w:val="bottom"/>
          </w:tcPr>
          <w:p>
            <w:pPr>
              <w:jc w:val="right"/>
              <w:ind w:right="61"/>
              <w:spacing w:after="0"/>
              <w:rPr>
                <w:sz w:val="20"/>
                <w:szCs w:val="20"/>
                <w:color w:val="auto"/>
              </w:rPr>
            </w:pPr>
            <w:r>
              <w:rPr>
                <w:rFonts w:ascii="Arial" w:cs="Arial" w:eastAsia="Arial" w:hAnsi="Arial"/>
                <w:sz w:val="12"/>
                <w:szCs w:val="12"/>
                <w:color w:val="auto"/>
              </w:rPr>
              <w:t>103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52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102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49</w:t>
            </w:r>
          </w:p>
        </w:tc>
      </w:tr>
      <w:tr>
        <w:trPr>
          <w:trHeight w:val="180"/>
        </w:trPr>
        <w:tc>
          <w:tcPr>
            <w:tcW w:w="20" w:type="dxa"/>
            <w:vAlign w:val="bottom"/>
            <w:shd w:val="clear" w:color="auto" w:fill="CCEEFF"/>
          </w:tcPr>
          <w:p>
            <w:pPr>
              <w:spacing w:after="0"/>
              <w:rPr>
                <w:sz w:val="15"/>
                <w:szCs w:val="15"/>
                <w:color w:val="auto"/>
              </w:rPr>
            </w:pPr>
          </w:p>
        </w:tc>
        <w:tc>
          <w:tcPr>
            <w:tcW w:w="606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Income tax expense</w:t>
            </w: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7</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8</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6</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w:t>
            </w:r>
          </w:p>
        </w:tc>
      </w:tr>
      <w:tr>
        <w:trPr>
          <w:trHeight w:val="169"/>
        </w:trPr>
        <w:tc>
          <w:tcPr>
            <w:tcW w:w="6080" w:type="dxa"/>
            <w:vAlign w:val="bottom"/>
            <w:gridSpan w:val="3"/>
          </w:tcPr>
          <w:p>
            <w:pPr>
              <w:ind w:left="20"/>
              <w:spacing w:after="0"/>
              <w:rPr>
                <w:sz w:val="20"/>
                <w:szCs w:val="20"/>
                <w:color w:val="auto"/>
              </w:rPr>
            </w:pPr>
            <w:r>
              <w:rPr>
                <w:rFonts w:ascii="Arial" w:cs="Arial" w:eastAsia="Arial" w:hAnsi="Arial"/>
                <w:sz w:val="11"/>
                <w:szCs w:val="11"/>
                <w:b w:val="1"/>
                <w:bCs w:val="1"/>
                <w:color w:val="auto"/>
              </w:rPr>
              <w:t>Net Income</w:t>
            </w:r>
          </w:p>
        </w:tc>
        <w:tc>
          <w:tcPr>
            <w:tcW w:w="300" w:type="dxa"/>
            <w:vAlign w:val="bottom"/>
          </w:tcPr>
          <w:p>
            <w:pPr>
              <w:spacing w:after="0"/>
              <w:rPr>
                <w:sz w:val="14"/>
                <w:szCs w:val="14"/>
                <w:color w:val="auto"/>
              </w:rPr>
            </w:pPr>
          </w:p>
        </w:tc>
        <w:tc>
          <w:tcPr>
            <w:tcW w:w="980" w:type="dxa"/>
            <w:vAlign w:val="bottom"/>
          </w:tcPr>
          <w:p>
            <w:pPr>
              <w:jc w:val="right"/>
              <w:ind w:right="61"/>
              <w:spacing w:after="0"/>
              <w:rPr>
                <w:sz w:val="20"/>
                <w:szCs w:val="20"/>
                <w:color w:val="auto"/>
              </w:rPr>
            </w:pPr>
            <w:r>
              <w:rPr>
                <w:rFonts w:ascii="Arial" w:cs="Arial" w:eastAsia="Arial" w:hAnsi="Arial"/>
                <w:sz w:val="12"/>
                <w:szCs w:val="12"/>
                <w:color w:val="auto"/>
              </w:rPr>
              <w:t>96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44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96</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42</w:t>
            </w:r>
          </w:p>
        </w:tc>
      </w:tr>
      <w:tr>
        <w:trPr>
          <w:trHeight w:val="180"/>
        </w:trPr>
        <w:tc>
          <w:tcPr>
            <w:tcW w:w="20" w:type="dxa"/>
            <w:vAlign w:val="bottom"/>
            <w:shd w:val="clear" w:color="auto" w:fill="CCEEFF"/>
          </w:tcPr>
          <w:p>
            <w:pPr>
              <w:spacing w:after="0"/>
              <w:rPr>
                <w:sz w:val="15"/>
                <w:szCs w:val="15"/>
                <w:color w:val="auto"/>
              </w:rPr>
            </w:pPr>
          </w:p>
        </w:tc>
        <w:tc>
          <w:tcPr>
            <w:tcW w:w="606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Less: Pre-acquisition net income of Drop Down Assets</w:t>
            </w:r>
          </w:p>
        </w:tc>
        <w:tc>
          <w:tcPr>
            <w:tcW w:w="3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15</w:t>
            </w:r>
          </w:p>
        </w:tc>
      </w:tr>
      <w:tr>
        <w:trPr>
          <w:trHeight w:val="169"/>
        </w:trPr>
        <w:tc>
          <w:tcPr>
            <w:tcW w:w="6080" w:type="dxa"/>
            <w:vAlign w:val="bottom"/>
            <w:gridSpan w:val="3"/>
          </w:tcPr>
          <w:p>
            <w:pPr>
              <w:ind w:left="20"/>
              <w:spacing w:after="0"/>
              <w:rPr>
                <w:sz w:val="20"/>
                <w:szCs w:val="20"/>
                <w:color w:val="auto"/>
              </w:rPr>
            </w:pPr>
            <w:r>
              <w:rPr>
                <w:rFonts w:ascii="Arial" w:cs="Arial" w:eastAsia="Arial" w:hAnsi="Arial"/>
                <w:sz w:val="11"/>
                <w:szCs w:val="11"/>
                <w:b w:val="1"/>
                <w:bCs w:val="1"/>
                <w:color w:val="auto"/>
              </w:rPr>
              <w:t>Net Income Excluding Pre-acquisition Net Income of Drop Down Assets</w:t>
            </w:r>
          </w:p>
        </w:tc>
        <w:tc>
          <w:tcPr>
            <w:tcW w:w="3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61"/>
              <w:spacing w:after="0"/>
              <w:rPr>
                <w:sz w:val="20"/>
                <w:szCs w:val="20"/>
                <w:color w:val="auto"/>
              </w:rPr>
            </w:pPr>
            <w:r>
              <w:rPr>
                <w:rFonts w:ascii="Arial" w:cs="Arial" w:eastAsia="Arial" w:hAnsi="Arial"/>
                <w:sz w:val="12"/>
                <w:szCs w:val="12"/>
                <w:color w:val="auto"/>
              </w:rPr>
              <w:t>96</w:t>
            </w: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42</w:t>
            </w: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61"/>
              <w:spacing w:after="0"/>
              <w:rPr>
                <w:sz w:val="20"/>
                <w:szCs w:val="20"/>
                <w:color w:val="auto"/>
              </w:rPr>
            </w:pPr>
            <w:r>
              <w:rPr>
                <w:rFonts w:ascii="Arial" w:cs="Arial" w:eastAsia="Arial" w:hAnsi="Arial"/>
                <w:sz w:val="12"/>
                <w:szCs w:val="12"/>
                <w:color w:val="auto"/>
              </w:rPr>
              <w:t>92</w:t>
            </w: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27</w:t>
            </w:r>
          </w:p>
        </w:tc>
      </w:tr>
      <w:tr>
        <w:trPr>
          <w:trHeight w:val="180"/>
        </w:trPr>
        <w:tc>
          <w:tcPr>
            <w:tcW w:w="20" w:type="dxa"/>
            <w:vAlign w:val="bottom"/>
            <w:shd w:val="clear" w:color="auto" w:fill="CCEEFF"/>
          </w:tcPr>
          <w:p>
            <w:pPr>
              <w:spacing w:after="0"/>
              <w:rPr>
                <w:sz w:val="15"/>
                <w:szCs w:val="15"/>
                <w:color w:val="auto"/>
              </w:rPr>
            </w:pPr>
          </w:p>
        </w:tc>
        <w:tc>
          <w:tcPr>
            <w:tcW w:w="606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Less: Income (loss) attributable to noncontrolling interests</w:t>
            </w: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17</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14</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(3)</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w:t>
            </w:r>
          </w:p>
        </w:tc>
      </w:tr>
      <w:tr>
        <w:trPr>
          <w:trHeight w:val="185"/>
        </w:trPr>
        <w:tc>
          <w:tcPr>
            <w:tcW w:w="6080" w:type="dxa"/>
            <w:vAlign w:val="bottom"/>
            <w:tcBorders>
              <w:bottom w:val="single" w:sz="8" w:color="CCEEFF"/>
            </w:tcBorders>
            <w:gridSpan w:val="3"/>
          </w:tcPr>
          <w:p>
            <w:pPr>
              <w:ind w:left="20"/>
              <w:spacing w:after="0"/>
              <w:rPr>
                <w:sz w:val="20"/>
                <w:szCs w:val="20"/>
                <w:color w:val="auto"/>
              </w:rPr>
            </w:pPr>
            <w:r>
              <w:rPr>
                <w:rFonts w:ascii="Arial" w:cs="Arial" w:eastAsia="Arial" w:hAnsi="Arial"/>
                <w:sz w:val="11"/>
                <w:szCs w:val="11"/>
                <w:b w:val="1"/>
                <w:bCs w:val="1"/>
                <w:color w:val="auto"/>
              </w:rPr>
              <w:t>Net Income Attributable to NRG Yield, Inc.</w:t>
            </w: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79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28</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95</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25</w:t>
            </w:r>
          </w:p>
        </w:tc>
      </w:tr>
      <w:tr>
        <w:trPr>
          <w:trHeight w:val="160"/>
        </w:trPr>
        <w:tc>
          <w:tcPr>
            <w:tcW w:w="60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Earnings Per Share Attributable to NRG Yield, Inc. Class A and Class C Common Stockholders</w:t>
            </w:r>
          </w:p>
        </w:tc>
        <w:tc>
          <w:tcPr>
            <w:tcW w:w="3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r>
      <w:tr>
        <w:trPr>
          <w:trHeight w:val="177"/>
        </w:trPr>
        <w:tc>
          <w:tcPr>
            <w:tcW w:w="20" w:type="dxa"/>
            <w:vAlign w:val="bottom"/>
          </w:tcPr>
          <w:p>
            <w:pPr>
              <w:spacing w:after="0"/>
              <w:rPr>
                <w:sz w:val="15"/>
                <w:szCs w:val="15"/>
                <w:color w:val="auto"/>
              </w:rPr>
            </w:pPr>
          </w:p>
        </w:tc>
        <w:tc>
          <w:tcPr>
            <w:tcW w:w="6060" w:type="dxa"/>
            <w:vAlign w:val="bottom"/>
            <w:gridSpan w:val="2"/>
          </w:tcPr>
          <w:p>
            <w:pPr>
              <w:ind w:left="80"/>
              <w:spacing w:after="0"/>
              <w:rPr>
                <w:sz w:val="20"/>
                <w:szCs w:val="20"/>
                <w:color w:val="auto"/>
              </w:rPr>
            </w:pPr>
            <w:r>
              <w:rPr>
                <w:rFonts w:ascii="Arial" w:cs="Arial" w:eastAsia="Arial" w:hAnsi="Arial"/>
                <w:sz w:val="10"/>
                <w:szCs w:val="10"/>
                <w:color w:val="auto"/>
              </w:rPr>
              <w:t>Weighted average number of Class A common shares outstanding - basic</w:t>
            </w:r>
          </w:p>
        </w:tc>
        <w:tc>
          <w:tcPr>
            <w:tcW w:w="300" w:type="dxa"/>
            <w:vAlign w:val="bottom"/>
          </w:tcPr>
          <w:p>
            <w:pPr>
              <w:spacing w:after="0"/>
              <w:rPr>
                <w:sz w:val="15"/>
                <w:szCs w:val="15"/>
                <w:color w:val="auto"/>
              </w:rPr>
            </w:pPr>
          </w:p>
        </w:tc>
        <w:tc>
          <w:tcPr>
            <w:tcW w:w="980" w:type="dxa"/>
            <w:vAlign w:val="bottom"/>
          </w:tcPr>
          <w:p>
            <w:pPr>
              <w:jc w:val="right"/>
              <w:ind w:right="61"/>
              <w:spacing w:after="0"/>
              <w:rPr>
                <w:sz w:val="20"/>
                <w:szCs w:val="20"/>
                <w:color w:val="auto"/>
              </w:rPr>
            </w:pPr>
            <w:r>
              <w:rPr>
                <w:rFonts w:ascii="Arial" w:cs="Arial" w:eastAsia="Arial" w:hAnsi="Arial"/>
                <w:sz w:val="12"/>
                <w:szCs w:val="12"/>
                <w:color w:val="auto"/>
              </w:rPr>
              <w:t>35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35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35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35</w:t>
            </w:r>
          </w:p>
        </w:tc>
      </w:tr>
      <w:tr>
        <w:trPr>
          <w:trHeight w:val="183"/>
        </w:trPr>
        <w:tc>
          <w:tcPr>
            <w:tcW w:w="20" w:type="dxa"/>
            <w:vAlign w:val="bottom"/>
            <w:shd w:val="clear" w:color="auto" w:fill="CCEEFF"/>
          </w:tcPr>
          <w:p>
            <w:pPr>
              <w:spacing w:after="0"/>
              <w:rPr>
                <w:sz w:val="15"/>
                <w:szCs w:val="15"/>
                <w:color w:val="auto"/>
              </w:rPr>
            </w:pPr>
          </w:p>
        </w:tc>
        <w:tc>
          <w:tcPr>
            <w:tcW w:w="606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Weighted average number of Class A common shares outstanding - diluted</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49</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49</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35</w:t>
            </w:r>
          </w:p>
        </w:tc>
      </w:tr>
      <w:tr>
        <w:trPr>
          <w:trHeight w:val="177"/>
        </w:trPr>
        <w:tc>
          <w:tcPr>
            <w:tcW w:w="20" w:type="dxa"/>
            <w:vAlign w:val="bottom"/>
          </w:tcPr>
          <w:p>
            <w:pPr>
              <w:spacing w:after="0"/>
              <w:rPr>
                <w:sz w:val="15"/>
                <w:szCs w:val="15"/>
                <w:color w:val="auto"/>
              </w:rPr>
            </w:pPr>
          </w:p>
        </w:tc>
        <w:tc>
          <w:tcPr>
            <w:tcW w:w="6060" w:type="dxa"/>
            <w:vAlign w:val="bottom"/>
            <w:gridSpan w:val="2"/>
          </w:tcPr>
          <w:p>
            <w:pPr>
              <w:ind w:left="80"/>
              <w:spacing w:after="0"/>
              <w:rPr>
                <w:sz w:val="20"/>
                <w:szCs w:val="20"/>
                <w:color w:val="auto"/>
              </w:rPr>
            </w:pPr>
            <w:r>
              <w:rPr>
                <w:rFonts w:ascii="Arial" w:cs="Arial" w:eastAsia="Arial" w:hAnsi="Arial"/>
                <w:sz w:val="10"/>
                <w:szCs w:val="10"/>
                <w:color w:val="auto"/>
              </w:rPr>
              <w:t>Weighted average number of Class C common shares outstanding - basic</w:t>
            </w:r>
          </w:p>
        </w:tc>
        <w:tc>
          <w:tcPr>
            <w:tcW w:w="300" w:type="dxa"/>
            <w:vAlign w:val="bottom"/>
          </w:tcPr>
          <w:p>
            <w:pPr>
              <w:spacing w:after="0"/>
              <w:rPr>
                <w:sz w:val="15"/>
                <w:szCs w:val="15"/>
                <w:color w:val="auto"/>
              </w:rPr>
            </w:pPr>
          </w:p>
        </w:tc>
        <w:tc>
          <w:tcPr>
            <w:tcW w:w="980" w:type="dxa"/>
            <w:vAlign w:val="bottom"/>
          </w:tcPr>
          <w:p>
            <w:pPr>
              <w:jc w:val="right"/>
              <w:ind w:right="61"/>
              <w:spacing w:after="0"/>
              <w:rPr>
                <w:sz w:val="20"/>
                <w:szCs w:val="20"/>
                <w:color w:val="auto"/>
              </w:rPr>
            </w:pPr>
            <w:r>
              <w:rPr>
                <w:rFonts w:ascii="Arial" w:cs="Arial" w:eastAsia="Arial" w:hAnsi="Arial"/>
                <w:sz w:val="12"/>
                <w:szCs w:val="12"/>
                <w:color w:val="auto"/>
              </w:rPr>
              <w:t>67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63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66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63</w:t>
            </w:r>
          </w:p>
        </w:tc>
      </w:tr>
      <w:tr>
        <w:trPr>
          <w:trHeight w:val="183"/>
        </w:trPr>
        <w:tc>
          <w:tcPr>
            <w:tcW w:w="20" w:type="dxa"/>
            <w:vAlign w:val="bottom"/>
            <w:shd w:val="clear" w:color="auto" w:fill="CCEEFF"/>
          </w:tcPr>
          <w:p>
            <w:pPr>
              <w:spacing w:after="0"/>
              <w:rPr>
                <w:sz w:val="15"/>
                <w:szCs w:val="15"/>
                <w:color w:val="auto"/>
              </w:rPr>
            </w:pPr>
          </w:p>
        </w:tc>
        <w:tc>
          <w:tcPr>
            <w:tcW w:w="606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Weighted average number of Class C common shares outstanding - diluted</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78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74</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77</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63</w:t>
            </w:r>
          </w:p>
        </w:tc>
      </w:tr>
      <w:tr>
        <w:trPr>
          <w:trHeight w:val="187"/>
        </w:trPr>
        <w:tc>
          <w:tcPr>
            <w:tcW w:w="6080" w:type="dxa"/>
            <w:vAlign w:val="bottom"/>
            <w:tcBorders>
              <w:bottom w:val="single" w:sz="8" w:color="CCEEFF"/>
            </w:tcBorders>
            <w:gridSpan w:val="3"/>
          </w:tcPr>
          <w:p>
            <w:pPr>
              <w:ind w:left="20"/>
              <w:spacing w:after="0"/>
              <w:rPr>
                <w:sz w:val="20"/>
                <w:szCs w:val="20"/>
                <w:color w:val="auto"/>
              </w:rPr>
            </w:pPr>
            <w:r>
              <w:rPr>
                <w:rFonts w:ascii="Arial" w:cs="Arial" w:eastAsia="Arial" w:hAnsi="Arial"/>
                <w:sz w:val="11"/>
                <w:szCs w:val="11"/>
                <w:b w:val="1"/>
                <w:bCs w:val="1"/>
                <w:color w:val="auto"/>
              </w:rPr>
              <w:t>Earnings per Weighted Average Class A and Class C Common Share - Basic</w:t>
            </w: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0.77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0.29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0.94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0.26</w:t>
            </w:r>
          </w:p>
        </w:tc>
      </w:tr>
      <w:tr>
        <w:trPr>
          <w:trHeight w:val="187"/>
        </w:trPr>
        <w:tc>
          <w:tcPr>
            <w:tcW w:w="60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Earnings per Weighted Average Class A Common Share - Diluted</w:t>
            </w: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0.61</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0.26</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0.80</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0.26</w:t>
            </w:r>
          </w:p>
        </w:tc>
      </w:tr>
      <w:tr>
        <w:trPr>
          <w:trHeight w:val="187"/>
        </w:trPr>
        <w:tc>
          <w:tcPr>
            <w:tcW w:w="6080" w:type="dxa"/>
            <w:vAlign w:val="bottom"/>
            <w:tcBorders>
              <w:bottom w:val="single" w:sz="8" w:color="CCEEFF"/>
            </w:tcBorders>
            <w:gridSpan w:val="3"/>
          </w:tcPr>
          <w:p>
            <w:pPr>
              <w:ind w:left="20"/>
              <w:spacing w:after="0"/>
              <w:rPr>
                <w:sz w:val="20"/>
                <w:szCs w:val="20"/>
                <w:color w:val="auto"/>
              </w:rPr>
            </w:pPr>
            <w:r>
              <w:rPr>
                <w:rFonts w:ascii="Arial" w:cs="Arial" w:eastAsia="Arial" w:hAnsi="Arial"/>
                <w:sz w:val="11"/>
                <w:szCs w:val="11"/>
                <w:b w:val="1"/>
                <w:bCs w:val="1"/>
                <w:color w:val="auto"/>
              </w:rPr>
              <w:t>Earnings per Weighted Average Class C Common Share - Diluted</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0.70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0.28</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0.89</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0.26</w:t>
            </w:r>
          </w:p>
        </w:tc>
      </w:tr>
      <w:tr>
        <w:trPr>
          <w:trHeight w:val="187"/>
        </w:trPr>
        <w:tc>
          <w:tcPr>
            <w:tcW w:w="60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Dividends Per Class A Common Share</w:t>
            </w: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0.309</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0.27</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0.607</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0.53</w:t>
            </w:r>
          </w:p>
        </w:tc>
      </w:tr>
      <w:tr>
        <w:trPr>
          <w:trHeight w:val="187"/>
        </w:trPr>
        <w:tc>
          <w:tcPr>
            <w:tcW w:w="6080" w:type="dxa"/>
            <w:vAlign w:val="bottom"/>
            <w:gridSpan w:val="3"/>
          </w:tcPr>
          <w:p>
            <w:pPr>
              <w:ind w:left="20"/>
              <w:spacing w:after="0"/>
              <w:rPr>
                <w:sz w:val="20"/>
                <w:szCs w:val="20"/>
                <w:color w:val="auto"/>
              </w:rPr>
            </w:pPr>
            <w:r>
              <w:rPr>
                <w:rFonts w:ascii="Arial" w:cs="Arial" w:eastAsia="Arial" w:hAnsi="Arial"/>
                <w:sz w:val="11"/>
                <w:szCs w:val="11"/>
                <w:b w:val="1"/>
                <w:bCs w:val="1"/>
                <w:color w:val="auto"/>
              </w:rPr>
              <w:t>Dividends Per Class C Common Share</w:t>
            </w: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0.309</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0.27</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0.607</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0.53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142430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4305" cy="5715"/>
                    </a:xfrm>
                    <a:prstGeom prst="rect">
                      <a:avLst/>
                    </a:prstGeom>
                    <a:noFill/>
                  </pic:spPr>
                </pic:pic>
              </a:graphicData>
            </a:graphic>
          </wp:anchor>
        </w:drawing>
      </w:r>
    </w:p>
    <w:p>
      <w:pPr>
        <w:spacing w:after="0" w:line="164" w:lineRule="exact"/>
        <w:rPr>
          <w:sz w:val="20"/>
          <w:szCs w:val="20"/>
          <w:color w:val="auto"/>
        </w:rPr>
      </w:pPr>
    </w:p>
    <w:p>
      <w:pPr>
        <w:ind w:left="128" w:hanging="128"/>
        <w:spacing w:after="0"/>
        <w:tabs>
          <w:tab w:leader="none" w:pos="128" w:val="left"/>
        </w:tabs>
        <w:numPr>
          <w:ilvl w:val="0"/>
          <w:numId w:val="4"/>
        </w:numPr>
        <w:rPr>
          <w:rFonts w:ascii="Arial" w:cs="Arial" w:eastAsia="Arial" w:hAnsi="Arial"/>
          <w:sz w:val="15"/>
          <w:szCs w:val="15"/>
          <w:color w:val="auto"/>
          <w:vertAlign w:val="superscript"/>
        </w:rPr>
      </w:pPr>
      <w:r>
        <w:rPr>
          <w:rFonts w:ascii="Arial" w:cs="Arial" w:eastAsia="Arial" w:hAnsi="Arial"/>
          <w:sz w:val="10"/>
          <w:szCs w:val="10"/>
          <w:color w:val="auto"/>
        </w:rPr>
        <w:t xml:space="preserve">Retrospectively adjusted as discussed in Note 1, </w:t>
      </w:r>
      <w:r>
        <w:rPr>
          <w:rFonts w:ascii="Arial" w:cs="Arial" w:eastAsia="Arial" w:hAnsi="Arial"/>
          <w:sz w:val="10"/>
          <w:szCs w:val="10"/>
          <w:i w:val="1"/>
          <w:iCs w:val="1"/>
          <w:color w:val="auto"/>
        </w:rPr>
        <w:t>Nature of Business</w:t>
      </w:r>
      <w:r>
        <w:rPr>
          <w:rFonts w:ascii="Arial" w:cs="Arial" w:eastAsia="Arial" w:hAnsi="Arial"/>
          <w:sz w:val="10"/>
          <w:szCs w:val="10"/>
          <w:color w:val="auto"/>
        </w:rPr>
        <w:t>.</w:t>
      </w:r>
    </w:p>
    <w:p>
      <w:pPr>
        <w:spacing w:after="0" w:line="10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20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488"/>
          </w:cols>
          <w:pgMar w:left="212" w:top="505" w:right="199" w:bottom="1440" w:gutter="0" w:footer="0" w:header="0"/>
        </w:sectPr>
      </w:pPr>
    </w:p>
    <w:bookmarkStart w:id="7" w:name="page8"/>
    <w:bookmarkEnd w:id="7"/>
    <w:p>
      <w:pPr>
        <w:jc w:val="center"/>
        <w:ind w:right="-7"/>
        <w:spacing w:after="0"/>
        <w:rPr>
          <w:sz w:val="20"/>
          <w:szCs w:val="20"/>
          <w:color w:val="auto"/>
        </w:rPr>
      </w:pPr>
      <w:r>
        <w:rPr>
          <w:rFonts w:ascii="Arial" w:cs="Arial" w:eastAsia="Arial" w:hAnsi="Arial"/>
          <w:sz w:val="12"/>
          <w:szCs w:val="12"/>
          <w:b w:val="1"/>
          <w:bCs w:val="1"/>
          <w:color w:val="auto"/>
        </w:rPr>
        <w:t>NRG YIELD, INC.</w:t>
      </w:r>
    </w:p>
    <w:p>
      <w:pPr>
        <w:spacing w:after="0" w:line="11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CONSOLIDATED STATEMENTS OF COMPREHENSIVE INCOME</w:t>
      </w:r>
    </w:p>
    <w:p>
      <w:pPr>
        <w:spacing w:after="0" w:line="11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(Unaudited)</w:t>
      </w:r>
    </w:p>
    <w:p>
      <w:pPr>
        <w:spacing w:after="0" w:line="266"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380" w:type="dxa"/>
            <w:vAlign w:val="bottom"/>
            <w:tcBorders>
              <w:bottom w:val="single" w:sz="8" w:color="auto"/>
            </w:tcBorders>
            <w:gridSpan w:val="4"/>
          </w:tcPr>
          <w:p>
            <w:pPr>
              <w:jc w:val="right"/>
              <w:ind w:right="681"/>
              <w:spacing w:after="0"/>
              <w:rPr>
                <w:sz w:val="20"/>
                <w:szCs w:val="20"/>
                <w:color w:val="auto"/>
              </w:rPr>
            </w:pPr>
            <w:r>
              <w:rPr>
                <w:rFonts w:ascii="Arial" w:cs="Arial" w:eastAsia="Arial" w:hAnsi="Arial"/>
                <w:sz w:val="10"/>
                <w:szCs w:val="10"/>
                <w:b w:val="1"/>
                <w:bCs w:val="1"/>
                <w:color w:val="auto"/>
              </w:rPr>
              <w:t>Three months ended June 30,</w:t>
            </w: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Six months ended June 30,</w:t>
            </w:r>
          </w:p>
        </w:tc>
        <w:tc>
          <w:tcPr>
            <w:tcW w:w="840" w:type="dxa"/>
            <w:vAlign w:val="bottom"/>
            <w:tcBorders>
              <w:bottom w:val="single" w:sz="8" w:color="auto"/>
            </w:tcBorders>
          </w:tcPr>
          <w:p>
            <w:pPr>
              <w:spacing w:after="0"/>
              <w:rPr>
                <w:sz w:val="11"/>
                <w:szCs w:val="11"/>
                <w:color w:val="auto"/>
              </w:rPr>
            </w:pPr>
          </w:p>
        </w:tc>
      </w:tr>
      <w:tr>
        <w:trPr>
          <w:trHeight w:val="137"/>
        </w:trPr>
        <w:tc>
          <w:tcPr>
            <w:tcW w:w="5860" w:type="dxa"/>
            <w:vAlign w:val="bottom"/>
            <w:gridSpan w:val="3"/>
          </w:tcPr>
          <w:p>
            <w:pPr>
              <w:ind w:left="20"/>
              <w:spacing w:after="0"/>
              <w:rPr>
                <w:sz w:val="20"/>
                <w:szCs w:val="20"/>
                <w:color w:val="auto"/>
              </w:rPr>
            </w:pPr>
            <w:r>
              <w:rPr>
                <w:rFonts w:ascii="Arial" w:cs="Arial" w:eastAsia="Arial" w:hAnsi="Arial"/>
                <w:sz w:val="10"/>
                <w:szCs w:val="10"/>
                <w:b w:val="1"/>
                <w:bCs w:val="1"/>
                <w:color w:val="auto"/>
              </w:rPr>
              <w:t>(In millions)</w:t>
            </w:r>
          </w:p>
        </w:tc>
        <w:tc>
          <w:tcPr>
            <w:tcW w:w="300" w:type="dxa"/>
            <w:vAlign w:val="bottom"/>
          </w:tcPr>
          <w:p>
            <w:pPr>
              <w:spacing w:after="0"/>
              <w:rPr>
                <w:sz w:val="11"/>
                <w:szCs w:val="11"/>
                <w:color w:val="auto"/>
              </w:rPr>
            </w:pPr>
          </w:p>
        </w:tc>
        <w:tc>
          <w:tcPr>
            <w:tcW w:w="960" w:type="dxa"/>
            <w:vAlign w:val="bottom"/>
          </w:tcPr>
          <w:p>
            <w:pPr>
              <w:jc w:val="right"/>
              <w:ind w:right="483"/>
              <w:spacing w:after="0"/>
              <w:rPr>
                <w:sz w:val="20"/>
                <w:szCs w:val="20"/>
                <w:color w:val="auto"/>
              </w:rPr>
            </w:pPr>
            <w:r>
              <w:rPr>
                <w:rFonts w:ascii="Arial" w:cs="Arial" w:eastAsia="Arial" w:hAnsi="Arial"/>
                <w:sz w:val="10"/>
                <w:szCs w:val="10"/>
                <w:b w:val="1"/>
                <w:bCs w:val="1"/>
                <w:color w:val="auto"/>
              </w:rPr>
              <w:t>2018</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2"/>
          </w:tcPr>
          <w:p>
            <w:pPr>
              <w:ind w:left="200"/>
              <w:spacing w:after="0"/>
              <w:rPr>
                <w:sz w:val="20"/>
                <w:szCs w:val="20"/>
                <w:color w:val="auto"/>
              </w:rPr>
            </w:pPr>
            <w:r>
              <w:rPr>
                <w:rFonts w:ascii="Arial" w:cs="Arial" w:eastAsia="Arial" w:hAnsi="Arial"/>
                <w:sz w:val="10"/>
                <w:szCs w:val="10"/>
                <w:b w:val="1"/>
                <w:bCs w:val="1"/>
                <w:color w:val="auto"/>
              </w:rPr>
              <w:t xml:space="preserve">2017 </w:t>
            </w:r>
            <w:r>
              <w:rPr>
                <w:rFonts w:ascii="Arial" w:cs="Arial" w:eastAsia="Arial" w:hAnsi="Arial"/>
                <w:sz w:val="5"/>
                <w:szCs w:val="5"/>
                <w:b w:val="1"/>
                <w:bCs w:val="1"/>
                <w:color w:val="auto"/>
              </w:rPr>
              <w:t>(a)</w:t>
            </w:r>
          </w:p>
        </w:tc>
        <w:tc>
          <w:tcPr>
            <w:tcW w:w="340" w:type="dxa"/>
            <w:vAlign w:val="bottom"/>
          </w:tcPr>
          <w:p>
            <w:pPr>
              <w:spacing w:after="0"/>
              <w:rPr>
                <w:sz w:val="11"/>
                <w:szCs w:val="11"/>
                <w:color w:val="auto"/>
              </w:rPr>
            </w:pPr>
          </w:p>
        </w:tc>
        <w:tc>
          <w:tcPr>
            <w:tcW w:w="1020" w:type="dxa"/>
            <w:vAlign w:val="bottom"/>
          </w:tcPr>
          <w:p>
            <w:pPr>
              <w:jc w:val="right"/>
              <w:ind w:right="523"/>
              <w:spacing w:after="0"/>
              <w:rPr>
                <w:sz w:val="20"/>
                <w:szCs w:val="20"/>
                <w:color w:val="auto"/>
              </w:rPr>
            </w:pPr>
            <w:r>
              <w:rPr>
                <w:rFonts w:ascii="Arial" w:cs="Arial" w:eastAsia="Arial" w:hAnsi="Arial"/>
                <w:sz w:val="10"/>
                <w:szCs w:val="10"/>
                <w:b w:val="1"/>
                <w:bCs w:val="1"/>
                <w:color w:val="auto"/>
              </w:rPr>
              <w:t>2018</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jc w:val="right"/>
              <w:ind w:right="481"/>
              <w:spacing w:after="0"/>
              <w:rPr>
                <w:sz w:val="20"/>
                <w:szCs w:val="20"/>
                <w:color w:val="auto"/>
              </w:rPr>
            </w:pPr>
            <w:r>
              <w:rPr>
                <w:rFonts w:ascii="Arial" w:cs="Arial" w:eastAsia="Arial" w:hAnsi="Arial"/>
                <w:sz w:val="10"/>
                <w:szCs w:val="10"/>
                <w:b w:val="1"/>
                <w:bCs w:val="1"/>
                <w:color w:val="auto"/>
                <w:w w:val="89"/>
              </w:rPr>
              <w:t xml:space="preserve">2017 </w:t>
            </w:r>
            <w:r>
              <w:rPr>
                <w:rFonts w:ascii="Arial" w:cs="Arial" w:eastAsia="Arial" w:hAnsi="Arial"/>
                <w:sz w:val="5"/>
                <w:szCs w:val="5"/>
                <w:b w:val="1"/>
                <w:bCs w:val="1"/>
                <w:color w:val="auto"/>
                <w:w w:val="89"/>
              </w:rPr>
              <w:t>(a)</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CCEEFF"/>
            </w:tcBorders>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56"/>
        </w:trPr>
        <w:tc>
          <w:tcPr>
            <w:tcW w:w="5860" w:type="dxa"/>
            <w:vAlign w:val="bottom"/>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Net Income</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96</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44</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96</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380"/>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42</w:t>
            </w:r>
          </w:p>
        </w:tc>
      </w:tr>
      <w:tr>
        <w:trPr>
          <w:trHeight w:val="171"/>
        </w:trPr>
        <w:tc>
          <w:tcPr>
            <w:tcW w:w="5860" w:type="dxa"/>
            <w:vAlign w:val="bottom"/>
            <w:gridSpan w:val="3"/>
          </w:tcPr>
          <w:p>
            <w:pPr>
              <w:ind w:left="20"/>
              <w:spacing w:after="0"/>
              <w:rPr>
                <w:sz w:val="20"/>
                <w:szCs w:val="20"/>
                <w:color w:val="auto"/>
              </w:rPr>
            </w:pPr>
            <w:r>
              <w:rPr>
                <w:rFonts w:ascii="Arial" w:cs="Arial" w:eastAsia="Arial" w:hAnsi="Arial"/>
                <w:sz w:val="12"/>
                <w:szCs w:val="12"/>
                <w:b w:val="1"/>
                <w:bCs w:val="1"/>
                <w:color w:val="auto"/>
              </w:rPr>
              <w:t>Other Comprehensive Gain (Loss), net of tax</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80"/>
        </w:trPr>
        <w:tc>
          <w:tcPr>
            <w:tcW w:w="20" w:type="dxa"/>
            <w:vAlign w:val="bottom"/>
            <w:shd w:val="clear" w:color="auto" w:fill="CCEEFF"/>
          </w:tcPr>
          <w:p>
            <w:pPr>
              <w:spacing w:after="0"/>
              <w:rPr>
                <w:sz w:val="15"/>
                <w:szCs w:val="15"/>
                <w:color w:val="auto"/>
              </w:rPr>
            </w:pPr>
          </w:p>
        </w:tc>
        <w:tc>
          <w:tcPr>
            <w:tcW w:w="584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Unrealized gain (loss) on derivatives, net of income tax (expense) benefit of $0, $1, ($3) and $0</w:t>
            </w: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7</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color w:val="auto"/>
              </w:rPr>
              <w:t>24</w:t>
            </w:r>
          </w:p>
        </w:tc>
        <w:tc>
          <w:tcPr>
            <w:tcW w:w="12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w:t>
            </w:r>
          </w:p>
        </w:tc>
      </w:tr>
      <w:tr>
        <w:trPr>
          <w:trHeight w:val="169"/>
        </w:trPr>
        <w:tc>
          <w:tcPr>
            <w:tcW w:w="20" w:type="dxa"/>
            <w:vAlign w:val="bottom"/>
            <w:tcBorders>
              <w:bottom w:val="single" w:sz="8" w:color="CCEEFF"/>
            </w:tcBorders>
          </w:tcPr>
          <w:p>
            <w:pPr>
              <w:spacing w:after="0"/>
              <w:rPr>
                <w:sz w:val="14"/>
                <w:szCs w:val="14"/>
                <w:color w:val="auto"/>
              </w:rPr>
            </w:pPr>
          </w:p>
        </w:tc>
        <w:tc>
          <w:tcPr>
            <w:tcW w:w="5840" w:type="dxa"/>
            <w:vAlign w:val="bottom"/>
            <w:tcBorders>
              <w:bottom w:val="single" w:sz="8" w:color="CCEEFF"/>
            </w:tcBorders>
            <w:gridSpan w:val="2"/>
          </w:tcPr>
          <w:p>
            <w:pPr>
              <w:ind w:left="360"/>
              <w:spacing w:after="0"/>
              <w:rPr>
                <w:sz w:val="20"/>
                <w:szCs w:val="20"/>
                <w:color w:val="auto"/>
              </w:rPr>
            </w:pPr>
            <w:r>
              <w:rPr>
                <w:rFonts w:ascii="Arial" w:cs="Arial" w:eastAsia="Arial" w:hAnsi="Arial"/>
                <w:sz w:val="12"/>
                <w:szCs w:val="12"/>
                <w:color w:val="auto"/>
              </w:rPr>
              <w:t>Other comprehensive gain (loss)</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7</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(6)</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24</w:t>
            </w:r>
          </w:p>
        </w:tc>
        <w:tc>
          <w:tcPr>
            <w:tcW w:w="12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r>
      <w:tr>
        <w:trPr>
          <w:trHeight w:val="178"/>
        </w:trPr>
        <w:tc>
          <w:tcPr>
            <w:tcW w:w="5860" w:type="dxa"/>
            <w:vAlign w:val="bottom"/>
            <w:gridSpan w:val="3"/>
            <w:shd w:val="clear" w:color="auto" w:fill="CCEEFF"/>
          </w:tcPr>
          <w:p>
            <w:pPr>
              <w:ind w:left="20"/>
              <w:spacing w:after="0"/>
              <w:rPr>
                <w:sz w:val="20"/>
                <w:szCs w:val="20"/>
                <w:color w:val="auto"/>
              </w:rPr>
            </w:pPr>
            <w:r>
              <w:rPr>
                <w:rFonts w:ascii="Arial" w:cs="Arial" w:eastAsia="Arial" w:hAnsi="Arial"/>
                <w:sz w:val="12"/>
                <w:szCs w:val="12"/>
                <w:b w:val="1"/>
                <w:bCs w:val="1"/>
                <w:color w:val="auto"/>
              </w:rPr>
              <w:t>Comprehensive Income</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103</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38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120</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42</w:t>
            </w:r>
          </w:p>
        </w:tc>
      </w:tr>
      <w:tr>
        <w:trPr>
          <w:trHeight w:val="171"/>
        </w:trPr>
        <w:tc>
          <w:tcPr>
            <w:tcW w:w="20" w:type="dxa"/>
            <w:vAlign w:val="bottom"/>
          </w:tcPr>
          <w:p>
            <w:pPr>
              <w:spacing w:after="0"/>
              <w:rPr>
                <w:sz w:val="14"/>
                <w:szCs w:val="14"/>
                <w:color w:val="auto"/>
              </w:rPr>
            </w:pPr>
          </w:p>
        </w:tc>
        <w:tc>
          <w:tcPr>
            <w:tcW w:w="5840" w:type="dxa"/>
            <w:vAlign w:val="bottom"/>
            <w:gridSpan w:val="2"/>
          </w:tcPr>
          <w:p>
            <w:pPr>
              <w:ind w:left="80"/>
              <w:spacing w:after="0"/>
              <w:rPr>
                <w:sz w:val="20"/>
                <w:szCs w:val="20"/>
                <w:color w:val="auto"/>
              </w:rPr>
            </w:pPr>
            <w:r>
              <w:rPr>
                <w:rFonts w:ascii="Arial" w:cs="Arial" w:eastAsia="Arial" w:hAnsi="Arial"/>
                <w:sz w:val="12"/>
                <w:szCs w:val="12"/>
                <w:color w:val="auto"/>
              </w:rPr>
              <w:t>Less: Pre-acquisition net income of Drop Down Assets</w:t>
            </w:r>
          </w:p>
        </w:tc>
        <w:tc>
          <w:tcPr>
            <w:tcW w:w="30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1000" w:type="dxa"/>
            <w:vAlign w:val="bottom"/>
          </w:tcPr>
          <w:p>
            <w:pPr>
              <w:jc w:val="right"/>
              <w:ind w:right="81"/>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ind w:right="43"/>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ind w:right="61"/>
              <w:spacing w:after="0"/>
              <w:rPr>
                <w:sz w:val="20"/>
                <w:szCs w:val="20"/>
                <w:color w:val="auto"/>
              </w:rPr>
            </w:pPr>
            <w:r>
              <w:rPr>
                <w:rFonts w:ascii="Arial" w:cs="Arial" w:eastAsia="Arial" w:hAnsi="Arial"/>
                <w:sz w:val="12"/>
                <w:szCs w:val="12"/>
                <w:color w:val="auto"/>
              </w:rPr>
              <w:t>15</w:t>
            </w:r>
          </w:p>
        </w:tc>
      </w:tr>
      <w:tr>
        <w:trPr>
          <w:trHeight w:val="180"/>
        </w:trPr>
        <w:tc>
          <w:tcPr>
            <w:tcW w:w="20" w:type="dxa"/>
            <w:vAlign w:val="bottom"/>
            <w:shd w:val="clear" w:color="auto" w:fill="CCEEFF"/>
          </w:tcPr>
          <w:p>
            <w:pPr>
              <w:spacing w:after="0"/>
              <w:rPr>
                <w:sz w:val="15"/>
                <w:szCs w:val="15"/>
                <w:color w:val="auto"/>
              </w:rPr>
            </w:pPr>
          </w:p>
        </w:tc>
        <w:tc>
          <w:tcPr>
            <w:tcW w:w="584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Less: Comprehensive income attributable to noncontrolling interests</w:t>
            </w: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21</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11</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color w:val="auto"/>
              </w:rPr>
              <w:t>10</w:t>
            </w:r>
          </w:p>
        </w:tc>
        <w:tc>
          <w:tcPr>
            <w:tcW w:w="12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w:t>
            </w:r>
          </w:p>
        </w:tc>
      </w:tr>
      <w:tr>
        <w:trPr>
          <w:trHeight w:val="185"/>
        </w:trPr>
        <w:tc>
          <w:tcPr>
            <w:tcW w:w="5860" w:type="dxa"/>
            <w:vAlign w:val="bottom"/>
            <w:gridSpan w:val="3"/>
          </w:tcPr>
          <w:p>
            <w:pPr>
              <w:ind w:left="20"/>
              <w:spacing w:after="0"/>
              <w:rPr>
                <w:sz w:val="20"/>
                <w:szCs w:val="20"/>
                <w:color w:val="auto"/>
              </w:rPr>
            </w:pPr>
            <w:r>
              <w:rPr>
                <w:rFonts w:ascii="Arial" w:cs="Arial" w:eastAsia="Arial" w:hAnsi="Arial"/>
                <w:sz w:val="12"/>
                <w:szCs w:val="12"/>
                <w:b w:val="1"/>
                <w:bCs w:val="1"/>
                <w:color w:val="auto"/>
              </w:rPr>
              <w:t>Comprehensive Income Attributable to NRG Yield, Inc.</w:t>
            </w: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82</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25</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106</w:t>
            </w:r>
          </w:p>
        </w:tc>
        <w:tc>
          <w:tcPr>
            <w:tcW w:w="120" w:type="dxa"/>
            <w:vAlign w:val="bottom"/>
          </w:tcPr>
          <w:p>
            <w:pPr>
              <w:spacing w:after="0"/>
              <w:rPr>
                <w:sz w:val="16"/>
                <w:szCs w:val="16"/>
                <w:color w:val="auto"/>
              </w:rPr>
            </w:pPr>
          </w:p>
        </w:tc>
        <w:tc>
          <w:tcPr>
            <w:tcW w:w="5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131445</wp:posOffset>
            </wp:positionV>
            <wp:extent cx="142430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4305" cy="5715"/>
                    </a:xfrm>
                    <a:prstGeom prst="rect">
                      <a:avLst/>
                    </a:prstGeom>
                    <a:noFill/>
                  </pic:spPr>
                </pic:pic>
              </a:graphicData>
            </a:graphic>
          </wp:anchor>
        </w:drawing>
      </w:r>
    </w:p>
    <w:p>
      <w:pPr>
        <w:spacing w:after="0" w:line="200" w:lineRule="exact"/>
        <w:rPr>
          <w:sz w:val="20"/>
          <w:szCs w:val="20"/>
          <w:color w:val="auto"/>
        </w:rPr>
      </w:pPr>
    </w:p>
    <w:p>
      <w:pPr>
        <w:ind w:left="128" w:hanging="128"/>
        <w:spacing w:after="0"/>
        <w:tabs>
          <w:tab w:leader="none" w:pos="128" w:val="left"/>
        </w:tabs>
        <w:numPr>
          <w:ilvl w:val="0"/>
          <w:numId w:val="5"/>
        </w:numPr>
        <w:rPr>
          <w:rFonts w:ascii="Arial" w:cs="Arial" w:eastAsia="Arial" w:hAnsi="Arial"/>
          <w:sz w:val="15"/>
          <w:szCs w:val="15"/>
          <w:color w:val="auto"/>
          <w:vertAlign w:val="superscript"/>
        </w:rPr>
      </w:pPr>
      <w:r>
        <w:rPr>
          <w:rFonts w:ascii="Arial" w:cs="Arial" w:eastAsia="Arial" w:hAnsi="Arial"/>
          <w:sz w:val="10"/>
          <w:szCs w:val="10"/>
          <w:color w:val="auto"/>
        </w:rPr>
        <w:t xml:space="preserve">Retrospectively adjusted as discussed in Note 1, </w:t>
      </w:r>
      <w:r>
        <w:rPr>
          <w:rFonts w:ascii="Arial" w:cs="Arial" w:eastAsia="Arial" w:hAnsi="Arial"/>
          <w:sz w:val="10"/>
          <w:szCs w:val="10"/>
          <w:i w:val="1"/>
          <w:iCs w:val="1"/>
          <w:color w:val="auto"/>
        </w:rPr>
        <w:t>Nature of Business</w:t>
      </w:r>
      <w:r>
        <w:rPr>
          <w:rFonts w:ascii="Arial" w:cs="Arial" w:eastAsia="Arial" w:hAnsi="Arial"/>
          <w:sz w:val="10"/>
          <w:szCs w:val="10"/>
          <w:color w:val="auto"/>
        </w:rPr>
        <w:t>.</w:t>
      </w:r>
    </w:p>
    <w:p>
      <w:pPr>
        <w:spacing w:after="0" w:line="10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20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488"/>
          </w:cols>
          <w:pgMar w:left="212" w:top="505" w:right="199" w:bottom="1440" w:gutter="0" w:footer="0" w:header="0"/>
        </w:sectPr>
      </w:pPr>
    </w:p>
    <w:bookmarkStart w:id="8" w:name="page9"/>
    <w:bookmarkEnd w:id="8"/>
    <w:p>
      <w:pPr>
        <w:jc w:val="center"/>
        <w:spacing w:after="0"/>
        <w:rPr>
          <w:sz w:val="20"/>
          <w:szCs w:val="20"/>
          <w:color w:val="auto"/>
        </w:rPr>
      </w:pPr>
      <w:r>
        <w:rPr>
          <w:rFonts w:ascii="Arial" w:cs="Arial" w:eastAsia="Arial" w:hAnsi="Arial"/>
          <w:sz w:val="12"/>
          <w:szCs w:val="12"/>
          <w:b w:val="1"/>
          <w:bCs w:val="1"/>
          <w:color w:val="auto"/>
        </w:rPr>
        <w:t>NRG YIELD, INC.</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BALANCE SHEETS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700" w:type="dxa"/>
            <w:vAlign w:val="bottom"/>
            <w:gridSpan w:val="3"/>
          </w:tcPr>
          <w:p>
            <w:pPr>
              <w:ind w:left="20"/>
              <w:spacing w:after="0"/>
              <w:rPr>
                <w:sz w:val="20"/>
                <w:szCs w:val="20"/>
                <w:color w:val="auto"/>
              </w:rPr>
            </w:pPr>
            <w:r>
              <w:rPr>
                <w:rFonts w:ascii="Arial" w:cs="Arial" w:eastAsia="Arial" w:hAnsi="Arial"/>
                <w:sz w:val="10"/>
                <w:szCs w:val="10"/>
                <w:b w:val="1"/>
                <w:bCs w:val="1"/>
                <w:color w:val="auto"/>
              </w:rPr>
              <w:t>(In millions, except shares)</w:t>
            </w:r>
          </w:p>
        </w:tc>
        <w:tc>
          <w:tcPr>
            <w:tcW w:w="360" w:type="dxa"/>
            <w:vAlign w:val="bottom"/>
          </w:tcPr>
          <w:p>
            <w:pPr>
              <w:spacing w:after="0"/>
              <w:rPr>
                <w:sz w:val="10"/>
                <w:szCs w:val="10"/>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6"/>
              </w:rPr>
              <w:t>June 30, 2018</w:t>
            </w:r>
          </w:p>
        </w:tc>
        <w:tc>
          <w:tcPr>
            <w:tcW w:w="280" w:type="dxa"/>
            <w:vAlign w:val="bottom"/>
          </w:tcPr>
          <w:p>
            <w:pPr>
              <w:spacing w:after="0"/>
              <w:rPr>
                <w:sz w:val="10"/>
                <w:szCs w:val="10"/>
                <w:color w:val="auto"/>
              </w:rPr>
            </w:pPr>
          </w:p>
        </w:tc>
        <w:tc>
          <w:tcPr>
            <w:tcW w:w="1540" w:type="dxa"/>
            <w:vAlign w:val="bottom"/>
          </w:tcPr>
          <w:p>
            <w:pPr>
              <w:jc w:val="right"/>
              <w:ind w:right="420"/>
              <w:spacing w:after="0"/>
              <w:rPr>
                <w:sz w:val="20"/>
                <w:szCs w:val="20"/>
                <w:color w:val="auto"/>
              </w:rPr>
            </w:pPr>
            <w:r>
              <w:rPr>
                <w:rFonts w:ascii="Arial" w:cs="Arial" w:eastAsia="Arial" w:hAnsi="Arial"/>
                <w:sz w:val="10"/>
                <w:szCs w:val="10"/>
                <w:b w:val="1"/>
                <w:bCs w:val="1"/>
                <w:color w:val="auto"/>
              </w:rPr>
              <w:t xml:space="preserve">December 31, 2017 </w:t>
            </w:r>
            <w:r>
              <w:rPr>
                <w:rFonts w:ascii="Arial" w:cs="Arial" w:eastAsia="Arial" w:hAnsi="Arial"/>
                <w:sz w:val="5"/>
                <w:szCs w:val="5"/>
                <w:b w:val="1"/>
                <w:bCs w:val="1"/>
                <w:color w:val="auto"/>
              </w:rPr>
              <w:t>(a)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6600" w:type="dxa"/>
            <w:vAlign w:val="bottom"/>
            <w:vMerge w:val="restart"/>
          </w:tcPr>
          <w:p>
            <w:pPr>
              <w:jc w:val="center"/>
              <w:ind w:right="1060"/>
              <w:spacing w:after="0"/>
              <w:rPr>
                <w:sz w:val="20"/>
                <w:szCs w:val="20"/>
                <w:color w:val="auto"/>
              </w:rPr>
            </w:pPr>
            <w:r>
              <w:rPr>
                <w:rFonts w:ascii="Arial" w:cs="Arial" w:eastAsia="Arial" w:hAnsi="Arial"/>
                <w:sz w:val="12"/>
                <w:szCs w:val="12"/>
                <w:b w:val="1"/>
                <w:bCs w:val="1"/>
                <w:color w:val="auto"/>
                <w:w w:val="91"/>
              </w:rPr>
              <w:t>ASSETS</w:t>
            </w: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6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8"/>
              </w:rPr>
              <w:t>(unaudited)</w:t>
            </w:r>
          </w:p>
        </w:tc>
        <w:tc>
          <w:tcPr>
            <w:tcW w:w="2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Current Assets</w:t>
            </w:r>
          </w:p>
        </w:tc>
        <w:tc>
          <w:tcPr>
            <w:tcW w:w="360" w:type="dxa"/>
            <w:vAlign w:val="bottom"/>
            <w:tcBorders>
              <w:top w:val="single" w:sz="8" w:color="auto"/>
              <w:bottom w:val="single" w:sz="8" w:color="CCEEFF"/>
            </w:tcBorders>
            <w:shd w:val="clear" w:color="auto" w:fill="CCEEFF"/>
          </w:tcPr>
          <w:p>
            <w:pPr>
              <w:spacing w:after="0"/>
              <w:rPr>
                <w:sz w:val="13"/>
                <w:szCs w:val="13"/>
                <w:color w:val="auto"/>
              </w:rPr>
            </w:pPr>
          </w:p>
        </w:tc>
        <w:tc>
          <w:tcPr>
            <w:tcW w:w="1480" w:type="dxa"/>
            <w:vAlign w:val="bottom"/>
            <w:tcBorders>
              <w:top w:val="single" w:sz="8" w:color="auto"/>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CCEEFF"/>
            </w:tcBorders>
            <w:shd w:val="clear" w:color="auto" w:fill="CCEEFF"/>
          </w:tcPr>
          <w:p>
            <w:pPr>
              <w:spacing w:after="0"/>
              <w:rPr>
                <w:sz w:val="13"/>
                <w:szCs w:val="13"/>
                <w:color w:val="auto"/>
              </w:rPr>
            </w:pPr>
          </w:p>
        </w:tc>
        <w:tc>
          <w:tcPr>
            <w:tcW w:w="1540" w:type="dxa"/>
            <w:vAlign w:val="bottom"/>
            <w:tcBorders>
              <w:top w:val="single" w:sz="8" w:color="auto"/>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80" w:type="dxa"/>
            <w:vAlign w:val="bottom"/>
            <w:gridSpan w:val="2"/>
          </w:tcPr>
          <w:p>
            <w:pPr>
              <w:ind w:left="80"/>
              <w:spacing w:after="0"/>
              <w:rPr>
                <w:sz w:val="20"/>
                <w:szCs w:val="20"/>
                <w:color w:val="auto"/>
              </w:rPr>
            </w:pPr>
            <w:r>
              <w:rPr>
                <w:rFonts w:ascii="Arial" w:cs="Arial" w:eastAsia="Arial" w:hAnsi="Arial"/>
                <w:sz w:val="11"/>
                <w:szCs w:val="11"/>
                <w:color w:val="auto"/>
              </w:rPr>
              <w:t>Cash and cash equivalents</w:t>
            </w: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480" w:type="dxa"/>
            <w:vAlign w:val="bottom"/>
          </w:tcPr>
          <w:p>
            <w:pPr>
              <w:jc w:val="right"/>
              <w:ind w:right="61"/>
              <w:spacing w:after="0"/>
              <w:rPr>
                <w:sz w:val="20"/>
                <w:szCs w:val="20"/>
                <w:color w:val="auto"/>
              </w:rPr>
            </w:pPr>
            <w:r>
              <w:rPr>
                <w:rFonts w:ascii="Arial" w:cs="Arial" w:eastAsia="Arial" w:hAnsi="Arial"/>
                <w:sz w:val="12"/>
                <w:szCs w:val="12"/>
                <w:color w:val="auto"/>
              </w:rPr>
              <w:t>130</w:t>
            </w:r>
          </w:p>
        </w:tc>
        <w:tc>
          <w:tcPr>
            <w:tcW w:w="12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540" w:type="dxa"/>
            <w:vAlign w:val="bottom"/>
          </w:tcPr>
          <w:p>
            <w:pPr>
              <w:jc w:val="right"/>
              <w:ind w:right="60"/>
              <w:spacing w:after="0"/>
              <w:rPr>
                <w:sz w:val="20"/>
                <w:szCs w:val="20"/>
                <w:color w:val="auto"/>
              </w:rPr>
            </w:pPr>
            <w:r>
              <w:rPr>
                <w:rFonts w:ascii="Arial" w:cs="Arial" w:eastAsia="Arial" w:hAnsi="Arial"/>
                <w:sz w:val="12"/>
                <w:szCs w:val="12"/>
                <w:color w:val="auto"/>
              </w:rPr>
              <w:t>148</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Restricted cash</w:t>
            </w:r>
          </w:p>
        </w:tc>
        <w:tc>
          <w:tcPr>
            <w:tcW w:w="36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139</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168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80" w:type="dxa"/>
            <w:vAlign w:val="bottom"/>
            <w:gridSpan w:val="2"/>
          </w:tcPr>
          <w:p>
            <w:pPr>
              <w:ind w:left="80"/>
              <w:spacing w:after="0"/>
              <w:rPr>
                <w:sz w:val="20"/>
                <w:szCs w:val="20"/>
                <w:color w:val="auto"/>
              </w:rPr>
            </w:pPr>
            <w:r>
              <w:rPr>
                <w:rFonts w:ascii="Arial" w:cs="Arial" w:eastAsia="Arial" w:hAnsi="Arial"/>
                <w:sz w:val="11"/>
                <w:szCs w:val="11"/>
                <w:color w:val="auto"/>
              </w:rPr>
              <w:t>Accounts receivable — trade</w:t>
            </w:r>
          </w:p>
        </w:tc>
        <w:tc>
          <w:tcPr>
            <w:tcW w:w="360" w:type="dxa"/>
            <w:vAlign w:val="bottom"/>
          </w:tcPr>
          <w:p>
            <w:pPr>
              <w:spacing w:after="0"/>
              <w:rPr>
                <w:sz w:val="14"/>
                <w:szCs w:val="14"/>
                <w:color w:val="auto"/>
              </w:rPr>
            </w:pPr>
          </w:p>
        </w:tc>
        <w:tc>
          <w:tcPr>
            <w:tcW w:w="1480" w:type="dxa"/>
            <w:vAlign w:val="bottom"/>
          </w:tcPr>
          <w:p>
            <w:pPr>
              <w:jc w:val="right"/>
              <w:ind w:right="61"/>
              <w:spacing w:after="0"/>
              <w:rPr>
                <w:sz w:val="20"/>
                <w:szCs w:val="20"/>
                <w:color w:val="auto"/>
              </w:rPr>
            </w:pPr>
            <w:r>
              <w:rPr>
                <w:rFonts w:ascii="Arial" w:cs="Arial" w:eastAsia="Arial" w:hAnsi="Arial"/>
                <w:sz w:val="12"/>
                <w:szCs w:val="12"/>
                <w:color w:val="auto"/>
              </w:rPr>
              <w:t>132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jc w:val="right"/>
              <w:ind w:right="60"/>
              <w:spacing w:after="0"/>
              <w:rPr>
                <w:sz w:val="20"/>
                <w:szCs w:val="20"/>
                <w:color w:val="auto"/>
              </w:rPr>
            </w:pPr>
            <w:r>
              <w:rPr>
                <w:rFonts w:ascii="Arial" w:cs="Arial" w:eastAsia="Arial" w:hAnsi="Arial"/>
                <w:sz w:val="12"/>
                <w:szCs w:val="12"/>
                <w:color w:val="auto"/>
              </w:rPr>
              <w:t>95</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Inventory</w:t>
            </w:r>
          </w:p>
        </w:tc>
        <w:tc>
          <w:tcPr>
            <w:tcW w:w="36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39</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80" w:type="dxa"/>
            <w:vAlign w:val="bottom"/>
            <w:gridSpan w:val="2"/>
          </w:tcPr>
          <w:p>
            <w:pPr>
              <w:ind w:left="80"/>
              <w:spacing w:after="0"/>
              <w:rPr>
                <w:sz w:val="20"/>
                <w:szCs w:val="20"/>
                <w:color w:val="auto"/>
              </w:rPr>
            </w:pPr>
            <w:r>
              <w:rPr>
                <w:rFonts w:ascii="Arial" w:cs="Arial" w:eastAsia="Arial" w:hAnsi="Arial"/>
                <w:sz w:val="11"/>
                <w:szCs w:val="11"/>
                <w:color w:val="auto"/>
              </w:rPr>
              <w:t>Notes receivable</w:t>
            </w:r>
          </w:p>
        </w:tc>
        <w:tc>
          <w:tcPr>
            <w:tcW w:w="360" w:type="dxa"/>
            <w:vAlign w:val="bottom"/>
          </w:tcPr>
          <w:p>
            <w:pPr>
              <w:spacing w:after="0"/>
              <w:rPr>
                <w:sz w:val="14"/>
                <w:szCs w:val="14"/>
                <w:color w:val="auto"/>
              </w:rPr>
            </w:pPr>
          </w:p>
        </w:tc>
        <w:tc>
          <w:tcPr>
            <w:tcW w:w="1480" w:type="dxa"/>
            <w:vAlign w:val="bottom"/>
          </w:tcPr>
          <w:p>
            <w:pPr>
              <w:jc w:val="right"/>
              <w:ind w:right="61"/>
              <w:spacing w:after="0"/>
              <w:rPr>
                <w:sz w:val="20"/>
                <w:szCs w:val="20"/>
                <w:color w:val="auto"/>
              </w:rPr>
            </w:pPr>
            <w:r>
              <w:rPr>
                <w:rFonts w:ascii="Arial" w:cs="Arial" w:eastAsia="Arial" w:hAnsi="Arial"/>
                <w:sz w:val="12"/>
                <w:szCs w:val="12"/>
                <w:color w:val="auto"/>
              </w:rPr>
              <w:t>6</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jc w:val="right"/>
              <w:ind w:right="60"/>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6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Prepayments and other current assets</w:t>
            </w:r>
          </w:p>
        </w:tc>
        <w:tc>
          <w:tcPr>
            <w:tcW w:w="36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26</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80" w:type="dxa"/>
            <w:vAlign w:val="bottom"/>
            <w:gridSpan w:val="2"/>
          </w:tcPr>
          <w:p>
            <w:pPr>
              <w:ind w:left="220"/>
              <w:spacing w:after="0"/>
              <w:rPr>
                <w:sz w:val="20"/>
                <w:szCs w:val="20"/>
                <w:color w:val="auto"/>
              </w:rPr>
            </w:pPr>
            <w:r>
              <w:rPr>
                <w:rFonts w:ascii="Arial" w:cs="Arial" w:eastAsia="Arial" w:hAnsi="Arial"/>
                <w:sz w:val="11"/>
                <w:szCs w:val="11"/>
                <w:color w:val="auto"/>
              </w:rPr>
              <w:t>Total current assets</w:t>
            </w:r>
          </w:p>
        </w:tc>
        <w:tc>
          <w:tcPr>
            <w:tcW w:w="360" w:type="dxa"/>
            <w:vAlign w:val="bottom"/>
          </w:tcPr>
          <w:p>
            <w:pPr>
              <w:spacing w:after="0"/>
              <w:rPr>
                <w:sz w:val="14"/>
                <w:szCs w:val="14"/>
                <w:color w:val="auto"/>
              </w:rPr>
            </w:pPr>
          </w:p>
        </w:tc>
        <w:tc>
          <w:tcPr>
            <w:tcW w:w="1480" w:type="dxa"/>
            <w:vAlign w:val="bottom"/>
          </w:tcPr>
          <w:p>
            <w:pPr>
              <w:jc w:val="right"/>
              <w:ind w:right="61"/>
              <w:spacing w:after="0"/>
              <w:rPr>
                <w:sz w:val="20"/>
                <w:szCs w:val="20"/>
                <w:color w:val="auto"/>
              </w:rPr>
            </w:pPr>
            <w:r>
              <w:rPr>
                <w:rFonts w:ascii="Arial" w:cs="Arial" w:eastAsia="Arial" w:hAnsi="Arial"/>
                <w:sz w:val="12"/>
                <w:szCs w:val="12"/>
                <w:color w:val="auto"/>
              </w:rPr>
              <w:t>472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jc w:val="right"/>
              <w:ind w:right="60"/>
              <w:spacing w:after="0"/>
              <w:rPr>
                <w:sz w:val="20"/>
                <w:szCs w:val="20"/>
                <w:color w:val="auto"/>
              </w:rPr>
            </w:pPr>
            <w:r>
              <w:rPr>
                <w:rFonts w:ascii="Arial" w:cs="Arial" w:eastAsia="Arial" w:hAnsi="Arial"/>
                <w:sz w:val="12"/>
                <w:szCs w:val="12"/>
                <w:color w:val="auto"/>
              </w:rPr>
              <w:t>482</w:t>
            </w:r>
          </w:p>
        </w:tc>
        <w:tc>
          <w:tcPr>
            <w:tcW w:w="0" w:type="dxa"/>
            <w:vAlign w:val="bottom"/>
          </w:tcPr>
          <w:p>
            <w:pPr>
              <w:spacing w:after="0"/>
              <w:rPr>
                <w:sz w:val="1"/>
                <w:szCs w:val="1"/>
                <w:color w:val="auto"/>
              </w:rPr>
            </w:pPr>
          </w:p>
        </w:tc>
      </w:tr>
      <w:tr>
        <w:trPr>
          <w:trHeight w:val="189"/>
        </w:trPr>
        <w:tc>
          <w:tcPr>
            <w:tcW w:w="7700" w:type="dxa"/>
            <w:vAlign w:val="bottom"/>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Property, plant and equipment, net</w:t>
            </w:r>
          </w:p>
        </w:tc>
        <w:tc>
          <w:tcPr>
            <w:tcW w:w="36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5,376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5,410</w:t>
            </w:r>
          </w:p>
        </w:tc>
        <w:tc>
          <w:tcPr>
            <w:tcW w:w="0" w:type="dxa"/>
            <w:vAlign w:val="bottom"/>
          </w:tcPr>
          <w:p>
            <w:pPr>
              <w:spacing w:after="0"/>
              <w:rPr>
                <w:sz w:val="1"/>
                <w:szCs w:val="1"/>
                <w:color w:val="auto"/>
              </w:rPr>
            </w:pPr>
          </w:p>
        </w:tc>
      </w:tr>
      <w:tr>
        <w:trPr>
          <w:trHeight w:val="158"/>
        </w:trPr>
        <w:tc>
          <w:tcPr>
            <w:tcW w:w="7700" w:type="dxa"/>
            <w:vAlign w:val="bottom"/>
            <w:gridSpan w:val="3"/>
          </w:tcPr>
          <w:p>
            <w:pPr>
              <w:ind w:left="20"/>
              <w:spacing w:after="0"/>
              <w:rPr>
                <w:sz w:val="20"/>
                <w:szCs w:val="20"/>
                <w:color w:val="auto"/>
              </w:rPr>
            </w:pPr>
            <w:r>
              <w:rPr>
                <w:rFonts w:ascii="Arial" w:cs="Arial" w:eastAsia="Arial" w:hAnsi="Arial"/>
                <w:sz w:val="11"/>
                <w:szCs w:val="11"/>
                <w:b w:val="1"/>
                <w:bCs w:val="1"/>
                <w:color w:val="auto"/>
              </w:rPr>
              <w:t>Other Assets</w:t>
            </w:r>
          </w:p>
        </w:tc>
        <w:tc>
          <w:tcPr>
            <w:tcW w:w="3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6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Equity investments in affiliates</w:t>
            </w:r>
          </w:p>
        </w:tc>
        <w:tc>
          <w:tcPr>
            <w:tcW w:w="36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1,183</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1,178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80" w:type="dxa"/>
            <w:vAlign w:val="bottom"/>
            <w:gridSpan w:val="2"/>
          </w:tcPr>
          <w:p>
            <w:pPr>
              <w:ind w:left="80"/>
              <w:spacing w:after="0"/>
              <w:rPr>
                <w:sz w:val="20"/>
                <w:szCs w:val="20"/>
                <w:color w:val="auto"/>
              </w:rPr>
            </w:pPr>
            <w:r>
              <w:rPr>
                <w:rFonts w:ascii="Arial" w:cs="Arial" w:eastAsia="Arial" w:hAnsi="Arial"/>
                <w:sz w:val="11"/>
                <w:szCs w:val="11"/>
                <w:color w:val="auto"/>
              </w:rPr>
              <w:t>Intangible assets, net</w:t>
            </w:r>
          </w:p>
        </w:tc>
        <w:tc>
          <w:tcPr>
            <w:tcW w:w="360" w:type="dxa"/>
            <w:vAlign w:val="bottom"/>
          </w:tcPr>
          <w:p>
            <w:pPr>
              <w:spacing w:after="0"/>
              <w:rPr>
                <w:sz w:val="14"/>
                <w:szCs w:val="14"/>
                <w:color w:val="auto"/>
              </w:rPr>
            </w:pPr>
          </w:p>
        </w:tc>
        <w:tc>
          <w:tcPr>
            <w:tcW w:w="1480" w:type="dxa"/>
            <w:vAlign w:val="bottom"/>
          </w:tcPr>
          <w:p>
            <w:pPr>
              <w:jc w:val="right"/>
              <w:ind w:right="61"/>
              <w:spacing w:after="0"/>
              <w:rPr>
                <w:sz w:val="20"/>
                <w:szCs w:val="20"/>
                <w:color w:val="auto"/>
              </w:rPr>
            </w:pPr>
            <w:r>
              <w:rPr>
                <w:rFonts w:ascii="Arial" w:cs="Arial" w:eastAsia="Arial" w:hAnsi="Arial"/>
                <w:sz w:val="12"/>
                <w:szCs w:val="12"/>
                <w:color w:val="auto"/>
              </w:rPr>
              <w:t>1,192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jc w:val="right"/>
              <w:ind w:right="60"/>
              <w:spacing w:after="0"/>
              <w:rPr>
                <w:sz w:val="20"/>
                <w:szCs w:val="20"/>
                <w:color w:val="auto"/>
              </w:rPr>
            </w:pPr>
            <w:r>
              <w:rPr>
                <w:rFonts w:ascii="Arial" w:cs="Arial" w:eastAsia="Arial" w:hAnsi="Arial"/>
                <w:sz w:val="12"/>
                <w:szCs w:val="12"/>
                <w:color w:val="auto"/>
              </w:rPr>
              <w:t>1,228</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Derivative instruments</w:t>
            </w:r>
          </w:p>
        </w:tc>
        <w:tc>
          <w:tcPr>
            <w:tcW w:w="36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80" w:type="dxa"/>
            <w:vAlign w:val="bottom"/>
            <w:gridSpan w:val="2"/>
          </w:tcPr>
          <w:p>
            <w:pPr>
              <w:ind w:left="80"/>
              <w:spacing w:after="0"/>
              <w:rPr>
                <w:sz w:val="20"/>
                <w:szCs w:val="20"/>
                <w:color w:val="auto"/>
              </w:rPr>
            </w:pPr>
            <w:r>
              <w:rPr>
                <w:rFonts w:ascii="Arial" w:cs="Arial" w:eastAsia="Arial" w:hAnsi="Arial"/>
                <w:sz w:val="11"/>
                <w:szCs w:val="11"/>
                <w:color w:val="auto"/>
              </w:rPr>
              <w:t>Deferred income taxes</w:t>
            </w:r>
          </w:p>
        </w:tc>
        <w:tc>
          <w:tcPr>
            <w:tcW w:w="360" w:type="dxa"/>
            <w:vAlign w:val="bottom"/>
          </w:tcPr>
          <w:p>
            <w:pPr>
              <w:spacing w:after="0"/>
              <w:rPr>
                <w:sz w:val="14"/>
                <w:szCs w:val="14"/>
                <w:color w:val="auto"/>
              </w:rPr>
            </w:pPr>
          </w:p>
        </w:tc>
        <w:tc>
          <w:tcPr>
            <w:tcW w:w="1480" w:type="dxa"/>
            <w:vAlign w:val="bottom"/>
          </w:tcPr>
          <w:p>
            <w:pPr>
              <w:jc w:val="right"/>
              <w:ind w:right="61"/>
              <w:spacing w:after="0"/>
              <w:rPr>
                <w:sz w:val="20"/>
                <w:szCs w:val="20"/>
                <w:color w:val="auto"/>
              </w:rPr>
            </w:pPr>
            <w:r>
              <w:rPr>
                <w:rFonts w:ascii="Arial" w:cs="Arial" w:eastAsia="Arial" w:hAnsi="Arial"/>
                <w:sz w:val="12"/>
                <w:szCs w:val="12"/>
                <w:color w:val="auto"/>
              </w:rPr>
              <w:t>120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jc w:val="right"/>
              <w:ind w:right="60"/>
              <w:spacing w:after="0"/>
              <w:rPr>
                <w:sz w:val="20"/>
                <w:szCs w:val="20"/>
                <w:color w:val="auto"/>
              </w:rPr>
            </w:pPr>
            <w:r>
              <w:rPr>
                <w:rFonts w:ascii="Arial" w:cs="Arial" w:eastAsia="Arial" w:hAnsi="Arial"/>
                <w:sz w:val="12"/>
                <w:szCs w:val="12"/>
                <w:color w:val="auto"/>
              </w:rPr>
              <w:t>128</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6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Other non-current assets</w:t>
            </w:r>
          </w:p>
        </w:tc>
        <w:tc>
          <w:tcPr>
            <w:tcW w:w="36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82</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62</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7680" w:type="dxa"/>
            <w:vAlign w:val="bottom"/>
            <w:tcBorders>
              <w:bottom w:val="single" w:sz="8" w:color="CCEEFF"/>
            </w:tcBorders>
            <w:gridSpan w:val="2"/>
          </w:tcPr>
          <w:p>
            <w:pPr>
              <w:ind w:left="220"/>
              <w:spacing w:after="0"/>
              <w:rPr>
                <w:sz w:val="20"/>
                <w:szCs w:val="20"/>
                <w:color w:val="auto"/>
              </w:rPr>
            </w:pPr>
            <w:r>
              <w:rPr>
                <w:rFonts w:ascii="Arial" w:cs="Arial" w:eastAsia="Arial" w:hAnsi="Arial"/>
                <w:sz w:val="11"/>
                <w:szCs w:val="11"/>
                <w:color w:val="auto"/>
              </w:rPr>
              <w:t>Total other assets</w:t>
            </w:r>
          </w:p>
        </w:tc>
        <w:tc>
          <w:tcPr>
            <w:tcW w:w="3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2,600</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2,597</w:t>
            </w:r>
          </w:p>
        </w:tc>
        <w:tc>
          <w:tcPr>
            <w:tcW w:w="0" w:type="dxa"/>
            <w:vAlign w:val="bottom"/>
          </w:tcPr>
          <w:p>
            <w:pPr>
              <w:spacing w:after="0"/>
              <w:rPr>
                <w:sz w:val="1"/>
                <w:szCs w:val="1"/>
                <w:color w:val="auto"/>
              </w:rPr>
            </w:pPr>
          </w:p>
        </w:tc>
      </w:tr>
      <w:tr>
        <w:trPr>
          <w:trHeight w:val="192"/>
        </w:trPr>
        <w:tc>
          <w:tcPr>
            <w:tcW w:w="77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Total Assets</w:t>
            </w: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4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8,448</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5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8,489</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0" w:type="dxa"/>
            <w:vAlign w:val="bottom"/>
          </w:tcPr>
          <w:p>
            <w:pPr>
              <w:jc w:val="center"/>
              <w:ind w:right="1060"/>
              <w:spacing w:after="0"/>
              <w:rPr>
                <w:sz w:val="20"/>
                <w:szCs w:val="20"/>
                <w:color w:val="auto"/>
              </w:rPr>
            </w:pPr>
            <w:r>
              <w:rPr>
                <w:rFonts w:ascii="Arial" w:cs="Arial" w:eastAsia="Arial" w:hAnsi="Arial"/>
                <w:sz w:val="12"/>
                <w:szCs w:val="12"/>
                <w:b w:val="1"/>
                <w:bCs w:val="1"/>
                <w:color w:val="auto"/>
              </w:rPr>
              <w:t>LIABILITIES AND STOCKHOLDERS’ EQUITY</w:t>
            </w:r>
          </w:p>
        </w:tc>
        <w:tc>
          <w:tcPr>
            <w:tcW w:w="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Current Liabilities</w:t>
            </w:r>
          </w:p>
        </w:tc>
        <w:tc>
          <w:tcPr>
            <w:tcW w:w="36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80" w:type="dxa"/>
            <w:vAlign w:val="bottom"/>
            <w:gridSpan w:val="2"/>
          </w:tcPr>
          <w:p>
            <w:pPr>
              <w:ind w:left="80"/>
              <w:spacing w:after="0"/>
              <w:rPr>
                <w:sz w:val="20"/>
                <w:szCs w:val="20"/>
                <w:color w:val="auto"/>
              </w:rPr>
            </w:pPr>
            <w:r>
              <w:rPr>
                <w:rFonts w:ascii="Arial" w:cs="Arial" w:eastAsia="Arial" w:hAnsi="Arial"/>
                <w:sz w:val="11"/>
                <w:szCs w:val="11"/>
                <w:color w:val="auto"/>
              </w:rPr>
              <w:t>Current portion of long-term debt</w:t>
            </w: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480" w:type="dxa"/>
            <w:vAlign w:val="bottom"/>
          </w:tcPr>
          <w:p>
            <w:pPr>
              <w:jc w:val="right"/>
              <w:ind w:right="61"/>
              <w:spacing w:after="0"/>
              <w:rPr>
                <w:sz w:val="20"/>
                <w:szCs w:val="20"/>
                <w:color w:val="auto"/>
              </w:rPr>
            </w:pPr>
            <w:r>
              <w:rPr>
                <w:rFonts w:ascii="Arial" w:cs="Arial" w:eastAsia="Arial" w:hAnsi="Arial"/>
                <w:sz w:val="12"/>
                <w:szCs w:val="12"/>
                <w:color w:val="auto"/>
              </w:rPr>
              <w:t>651</w:t>
            </w:r>
          </w:p>
        </w:tc>
        <w:tc>
          <w:tcPr>
            <w:tcW w:w="12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540" w:type="dxa"/>
            <w:vAlign w:val="bottom"/>
          </w:tcPr>
          <w:p>
            <w:pPr>
              <w:jc w:val="right"/>
              <w:ind w:right="60"/>
              <w:spacing w:after="0"/>
              <w:rPr>
                <w:sz w:val="20"/>
                <w:szCs w:val="20"/>
                <w:color w:val="auto"/>
              </w:rPr>
            </w:pPr>
            <w:r>
              <w:rPr>
                <w:rFonts w:ascii="Arial" w:cs="Arial" w:eastAsia="Arial" w:hAnsi="Arial"/>
                <w:sz w:val="12"/>
                <w:szCs w:val="12"/>
                <w:color w:val="auto"/>
              </w:rPr>
              <w:t>339</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Accounts payable — trade</w:t>
            </w:r>
          </w:p>
        </w:tc>
        <w:tc>
          <w:tcPr>
            <w:tcW w:w="36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80" w:type="dxa"/>
            <w:vAlign w:val="bottom"/>
            <w:gridSpan w:val="2"/>
          </w:tcPr>
          <w:p>
            <w:pPr>
              <w:ind w:left="80"/>
              <w:spacing w:after="0"/>
              <w:rPr>
                <w:sz w:val="20"/>
                <w:szCs w:val="20"/>
                <w:color w:val="auto"/>
              </w:rPr>
            </w:pPr>
            <w:r>
              <w:rPr>
                <w:rFonts w:ascii="Arial" w:cs="Arial" w:eastAsia="Arial" w:hAnsi="Arial"/>
                <w:sz w:val="11"/>
                <w:szCs w:val="11"/>
                <w:color w:val="auto"/>
              </w:rPr>
              <w:t>Accounts payable — affiliate</w:t>
            </w:r>
          </w:p>
        </w:tc>
        <w:tc>
          <w:tcPr>
            <w:tcW w:w="360" w:type="dxa"/>
            <w:vAlign w:val="bottom"/>
          </w:tcPr>
          <w:p>
            <w:pPr>
              <w:spacing w:after="0"/>
              <w:rPr>
                <w:sz w:val="14"/>
                <w:szCs w:val="14"/>
                <w:color w:val="auto"/>
              </w:rPr>
            </w:pPr>
          </w:p>
        </w:tc>
        <w:tc>
          <w:tcPr>
            <w:tcW w:w="1480" w:type="dxa"/>
            <w:vAlign w:val="bottom"/>
          </w:tcPr>
          <w:p>
            <w:pPr>
              <w:jc w:val="right"/>
              <w:ind w:right="61"/>
              <w:spacing w:after="0"/>
              <w:rPr>
                <w:sz w:val="20"/>
                <w:szCs w:val="20"/>
                <w:color w:val="auto"/>
              </w:rPr>
            </w:pPr>
            <w:r>
              <w:rPr>
                <w:rFonts w:ascii="Arial" w:cs="Arial" w:eastAsia="Arial" w:hAnsi="Arial"/>
                <w:sz w:val="12"/>
                <w:szCs w:val="12"/>
                <w:color w:val="auto"/>
              </w:rPr>
              <w:t>47</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jc w:val="right"/>
              <w:ind w:right="60"/>
              <w:spacing w:after="0"/>
              <w:rPr>
                <w:sz w:val="20"/>
                <w:szCs w:val="20"/>
                <w:color w:val="auto"/>
              </w:rPr>
            </w:pPr>
            <w:r>
              <w:rPr>
                <w:rFonts w:ascii="Arial" w:cs="Arial" w:eastAsia="Arial" w:hAnsi="Arial"/>
                <w:sz w:val="12"/>
                <w:szCs w:val="12"/>
                <w:color w:val="auto"/>
              </w:rPr>
              <w:t>49</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Derivative instruments</w:t>
            </w:r>
          </w:p>
        </w:tc>
        <w:tc>
          <w:tcPr>
            <w:tcW w:w="36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18</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7680" w:type="dxa"/>
            <w:vAlign w:val="bottom"/>
            <w:tcBorders>
              <w:bottom w:val="single" w:sz="8" w:color="CCEEFF"/>
            </w:tcBorders>
            <w:gridSpan w:val="2"/>
          </w:tcPr>
          <w:p>
            <w:pPr>
              <w:ind w:left="80"/>
              <w:spacing w:after="0"/>
              <w:rPr>
                <w:sz w:val="20"/>
                <w:szCs w:val="20"/>
                <w:color w:val="auto"/>
              </w:rPr>
            </w:pPr>
            <w:r>
              <w:rPr>
                <w:rFonts w:ascii="Arial" w:cs="Arial" w:eastAsia="Arial" w:hAnsi="Arial"/>
                <w:sz w:val="11"/>
                <w:szCs w:val="11"/>
                <w:color w:val="auto"/>
              </w:rPr>
              <w:t>Accrued expenses and other current liabilities</w:t>
            </w:r>
          </w:p>
        </w:tc>
        <w:tc>
          <w:tcPr>
            <w:tcW w:w="3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60</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88</w:t>
            </w:r>
          </w:p>
        </w:tc>
        <w:tc>
          <w:tcPr>
            <w:tcW w:w="0" w:type="dxa"/>
            <w:vAlign w:val="bottom"/>
          </w:tcPr>
          <w:p>
            <w:pPr>
              <w:spacing w:after="0"/>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7680" w:type="dxa"/>
            <w:vAlign w:val="bottom"/>
            <w:gridSpan w:val="2"/>
            <w:shd w:val="clear" w:color="auto" w:fill="CCEEFF"/>
          </w:tcPr>
          <w:p>
            <w:pPr>
              <w:ind w:left="220"/>
              <w:spacing w:after="0"/>
              <w:rPr>
                <w:sz w:val="20"/>
                <w:szCs w:val="20"/>
                <w:color w:val="auto"/>
              </w:rPr>
            </w:pPr>
            <w:r>
              <w:rPr>
                <w:rFonts w:ascii="Arial" w:cs="Arial" w:eastAsia="Arial" w:hAnsi="Arial"/>
                <w:sz w:val="11"/>
                <w:szCs w:val="11"/>
                <w:color w:val="auto"/>
              </w:rPr>
              <w:t>Total current liabilities</w:t>
            </w:r>
          </w:p>
        </w:tc>
        <w:tc>
          <w:tcPr>
            <w:tcW w:w="36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804</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540</w:t>
            </w:r>
          </w:p>
        </w:tc>
        <w:tc>
          <w:tcPr>
            <w:tcW w:w="0" w:type="dxa"/>
            <w:vAlign w:val="bottom"/>
          </w:tcPr>
          <w:p>
            <w:pPr>
              <w:spacing w:after="0"/>
              <w:rPr>
                <w:sz w:val="1"/>
                <w:szCs w:val="1"/>
                <w:color w:val="auto"/>
              </w:rPr>
            </w:pPr>
          </w:p>
        </w:tc>
      </w:tr>
      <w:tr>
        <w:trPr>
          <w:trHeight w:val="147"/>
        </w:trPr>
        <w:tc>
          <w:tcPr>
            <w:tcW w:w="7700" w:type="dxa"/>
            <w:vAlign w:val="bottom"/>
            <w:gridSpan w:val="3"/>
          </w:tcPr>
          <w:p>
            <w:pPr>
              <w:ind w:left="20"/>
              <w:spacing w:after="0"/>
              <w:rPr>
                <w:sz w:val="20"/>
                <w:szCs w:val="20"/>
                <w:color w:val="auto"/>
              </w:rPr>
            </w:pPr>
            <w:r>
              <w:rPr>
                <w:rFonts w:ascii="Arial" w:cs="Arial" w:eastAsia="Arial" w:hAnsi="Arial"/>
                <w:sz w:val="11"/>
                <w:szCs w:val="11"/>
                <w:b w:val="1"/>
                <w:bCs w:val="1"/>
                <w:color w:val="auto"/>
              </w:rPr>
              <w:t>Other Liabilities</w:t>
            </w: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6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Long-term debt</w:t>
            </w:r>
          </w:p>
        </w:tc>
        <w:tc>
          <w:tcPr>
            <w:tcW w:w="36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5,244</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5,659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80" w:type="dxa"/>
            <w:vAlign w:val="bottom"/>
            <w:gridSpan w:val="2"/>
          </w:tcPr>
          <w:p>
            <w:pPr>
              <w:ind w:left="80"/>
              <w:spacing w:after="0"/>
              <w:rPr>
                <w:sz w:val="20"/>
                <w:szCs w:val="20"/>
                <w:color w:val="auto"/>
              </w:rPr>
            </w:pPr>
            <w:r>
              <w:rPr>
                <w:rFonts w:ascii="Arial" w:cs="Arial" w:eastAsia="Arial" w:hAnsi="Arial"/>
                <w:sz w:val="11"/>
                <w:szCs w:val="11"/>
                <w:color w:val="auto"/>
              </w:rPr>
              <w:t>Derivative instruments</w:t>
            </w:r>
          </w:p>
        </w:tc>
        <w:tc>
          <w:tcPr>
            <w:tcW w:w="360" w:type="dxa"/>
            <w:vAlign w:val="bottom"/>
          </w:tcPr>
          <w:p>
            <w:pPr>
              <w:spacing w:after="0"/>
              <w:rPr>
                <w:sz w:val="14"/>
                <w:szCs w:val="14"/>
                <w:color w:val="auto"/>
              </w:rPr>
            </w:pPr>
          </w:p>
        </w:tc>
        <w:tc>
          <w:tcPr>
            <w:tcW w:w="1480" w:type="dxa"/>
            <w:vAlign w:val="bottom"/>
          </w:tcPr>
          <w:p>
            <w:pPr>
              <w:jc w:val="right"/>
              <w:ind w:right="61"/>
              <w:spacing w:after="0"/>
              <w:rPr>
                <w:sz w:val="20"/>
                <w:szCs w:val="20"/>
                <w:color w:val="auto"/>
              </w:rPr>
            </w:pPr>
            <w:r>
              <w:rPr>
                <w:rFonts w:ascii="Arial" w:cs="Arial" w:eastAsia="Arial" w:hAnsi="Arial"/>
                <w:sz w:val="12"/>
                <w:szCs w:val="12"/>
                <w:color w:val="auto"/>
              </w:rPr>
              <w:t>12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jc w:val="right"/>
              <w:ind w:right="60"/>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6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Other non-current liabilities</w:t>
            </w:r>
          </w:p>
        </w:tc>
        <w:tc>
          <w:tcPr>
            <w:tcW w:w="36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101</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7680" w:type="dxa"/>
            <w:vAlign w:val="bottom"/>
            <w:tcBorders>
              <w:bottom w:val="single" w:sz="8" w:color="CCEEFF"/>
            </w:tcBorders>
            <w:gridSpan w:val="2"/>
          </w:tcPr>
          <w:p>
            <w:pPr>
              <w:ind w:left="220"/>
              <w:spacing w:after="0"/>
              <w:rPr>
                <w:sz w:val="20"/>
                <w:szCs w:val="20"/>
                <w:color w:val="auto"/>
              </w:rPr>
            </w:pPr>
            <w:r>
              <w:rPr>
                <w:rFonts w:ascii="Arial" w:cs="Arial" w:eastAsia="Arial" w:hAnsi="Arial"/>
                <w:sz w:val="11"/>
                <w:szCs w:val="11"/>
                <w:color w:val="auto"/>
              </w:rPr>
              <w:t>Total non-current liabilities</w:t>
            </w:r>
          </w:p>
        </w:tc>
        <w:tc>
          <w:tcPr>
            <w:tcW w:w="3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5,357</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5,790</w:t>
            </w:r>
          </w:p>
        </w:tc>
        <w:tc>
          <w:tcPr>
            <w:tcW w:w="0" w:type="dxa"/>
            <w:vAlign w:val="bottom"/>
          </w:tcPr>
          <w:p>
            <w:pPr>
              <w:spacing w:after="0"/>
              <w:rPr>
                <w:sz w:val="1"/>
                <w:szCs w:val="1"/>
                <w:color w:val="auto"/>
              </w:rPr>
            </w:pPr>
          </w:p>
        </w:tc>
      </w:tr>
      <w:tr>
        <w:trPr>
          <w:trHeight w:val="178"/>
        </w:trPr>
        <w:tc>
          <w:tcPr>
            <w:tcW w:w="7700" w:type="dxa"/>
            <w:vAlign w:val="bottom"/>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Total Liabilities</w:t>
            </w:r>
          </w:p>
        </w:tc>
        <w:tc>
          <w:tcPr>
            <w:tcW w:w="36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6,161</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6,330</w:t>
            </w:r>
          </w:p>
        </w:tc>
        <w:tc>
          <w:tcPr>
            <w:tcW w:w="0" w:type="dxa"/>
            <w:vAlign w:val="bottom"/>
          </w:tcPr>
          <w:p>
            <w:pPr>
              <w:spacing w:after="0"/>
              <w:rPr>
                <w:sz w:val="1"/>
                <w:szCs w:val="1"/>
                <w:color w:val="auto"/>
              </w:rPr>
            </w:pPr>
          </w:p>
        </w:tc>
      </w:tr>
      <w:tr>
        <w:trPr>
          <w:trHeight w:val="147"/>
        </w:trPr>
        <w:tc>
          <w:tcPr>
            <w:tcW w:w="7700" w:type="dxa"/>
            <w:vAlign w:val="bottom"/>
            <w:gridSpan w:val="3"/>
          </w:tcPr>
          <w:p>
            <w:pPr>
              <w:ind w:left="20"/>
              <w:spacing w:after="0"/>
              <w:rPr>
                <w:sz w:val="20"/>
                <w:szCs w:val="20"/>
                <w:color w:val="auto"/>
              </w:rPr>
            </w:pPr>
            <w:r>
              <w:rPr>
                <w:rFonts w:ascii="Arial" w:cs="Arial" w:eastAsia="Arial" w:hAnsi="Arial"/>
                <w:sz w:val="11"/>
                <w:szCs w:val="11"/>
                <w:b w:val="1"/>
                <w:bCs w:val="1"/>
                <w:color w:val="auto"/>
              </w:rPr>
              <w:t>Commitments and Contingencies</w:t>
            </w: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7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Stockholders' Equity</w:t>
            </w:r>
          </w:p>
        </w:tc>
        <w:tc>
          <w:tcPr>
            <w:tcW w:w="36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5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gridSpan w:val="2"/>
          </w:tcPr>
          <w:p>
            <w:pPr>
              <w:ind w:left="80"/>
              <w:spacing w:after="0"/>
              <w:rPr>
                <w:sz w:val="20"/>
                <w:szCs w:val="20"/>
                <w:color w:val="auto"/>
              </w:rPr>
            </w:pPr>
            <w:r>
              <w:rPr>
                <w:rFonts w:ascii="Arial" w:cs="Arial" w:eastAsia="Arial" w:hAnsi="Arial"/>
                <w:sz w:val="11"/>
                <w:szCs w:val="11"/>
                <w:color w:val="auto"/>
              </w:rPr>
              <w:t>Preferred stock, $0.01 par value; 10,000,000 shares authorized; none issued</w:t>
            </w:r>
          </w:p>
        </w:tc>
        <w:tc>
          <w:tcPr>
            <w:tcW w:w="360" w:type="dxa"/>
            <w:vAlign w:val="bottom"/>
          </w:tcPr>
          <w:p>
            <w:pPr>
              <w:spacing w:after="0"/>
              <w:rPr>
                <w:sz w:val="17"/>
                <w:szCs w:val="17"/>
                <w:color w:val="auto"/>
              </w:rPr>
            </w:pPr>
          </w:p>
        </w:tc>
        <w:tc>
          <w:tcPr>
            <w:tcW w:w="160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7"/>
                <w:szCs w:val="17"/>
                <w:color w:val="auto"/>
              </w:rPr>
            </w:pPr>
          </w:p>
        </w:tc>
        <w:tc>
          <w:tcPr>
            <w:tcW w:w="1540" w:type="dxa"/>
            <w:vAlign w:val="bottom"/>
            <w:vMerge w:val="restart"/>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76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w w:val="89"/>
              </w:rPr>
              <w:t>Class A, Class B, Class C and Class D common stock, $0.01 par value; 3,000,000,000 shares authorized (Class A 500,000,000, Class B 500,000,000, Class C 1,000,000,000,</w:t>
            </w: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76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w w:val="88"/>
              </w:rPr>
              <w:t>Class D 1,000,000,000); 189,145,393 shares issued and outstanding (Class A 34,586,250, Class B 42,738,750, Class C 69,081,643, Class D 42,738,750) at June 30, 2018 and</w:t>
            </w:r>
          </w:p>
        </w:tc>
        <w:tc>
          <w:tcPr>
            <w:tcW w:w="36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76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184,780,837 shares issued and outstanding (Class A 34,586,250, Class B 42,738,750, Class C 64,717,087, Class D 42,738,750) at December 31, 2017</w:t>
            </w:r>
          </w:p>
        </w:tc>
        <w:tc>
          <w:tcPr>
            <w:tcW w:w="360" w:type="dxa"/>
            <w:vAlign w:val="bottom"/>
            <w:shd w:val="clear" w:color="auto" w:fill="CCEEFF"/>
          </w:tcPr>
          <w:p>
            <w:pPr>
              <w:spacing w:after="0"/>
              <w:rPr>
                <w:sz w:val="11"/>
                <w:szCs w:val="11"/>
                <w:color w:val="auto"/>
              </w:rPr>
            </w:pPr>
          </w:p>
        </w:tc>
        <w:tc>
          <w:tcPr>
            <w:tcW w:w="1480" w:type="dxa"/>
            <w:vAlign w:val="bottom"/>
            <w:vMerge w:val="restart"/>
            <w:shd w:val="clear" w:color="auto" w:fill="CCEEFF"/>
          </w:tcPr>
          <w:p>
            <w:pPr>
              <w:jc w:val="right"/>
              <w:ind w:right="61"/>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540" w:type="dxa"/>
            <w:vAlign w:val="bottom"/>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76"/>
        </w:trPr>
        <w:tc>
          <w:tcPr>
            <w:tcW w:w="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66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5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80" w:type="dxa"/>
            <w:vAlign w:val="bottom"/>
            <w:gridSpan w:val="2"/>
          </w:tcPr>
          <w:p>
            <w:pPr>
              <w:ind w:left="80"/>
              <w:spacing w:after="0"/>
              <w:rPr>
                <w:sz w:val="20"/>
                <w:szCs w:val="20"/>
                <w:color w:val="auto"/>
              </w:rPr>
            </w:pPr>
            <w:r>
              <w:rPr>
                <w:rFonts w:ascii="Arial" w:cs="Arial" w:eastAsia="Arial" w:hAnsi="Arial"/>
                <w:sz w:val="11"/>
                <w:szCs w:val="11"/>
                <w:color w:val="auto"/>
              </w:rPr>
              <w:t>Additional paid-in capital</w:t>
            </w:r>
          </w:p>
        </w:tc>
        <w:tc>
          <w:tcPr>
            <w:tcW w:w="360" w:type="dxa"/>
            <w:vAlign w:val="bottom"/>
          </w:tcPr>
          <w:p>
            <w:pPr>
              <w:spacing w:after="0"/>
              <w:rPr>
                <w:sz w:val="14"/>
                <w:szCs w:val="14"/>
                <w:color w:val="auto"/>
              </w:rPr>
            </w:pPr>
          </w:p>
        </w:tc>
        <w:tc>
          <w:tcPr>
            <w:tcW w:w="1480" w:type="dxa"/>
            <w:vAlign w:val="bottom"/>
          </w:tcPr>
          <w:p>
            <w:pPr>
              <w:jc w:val="right"/>
              <w:ind w:right="61"/>
              <w:spacing w:after="0"/>
              <w:rPr>
                <w:sz w:val="20"/>
                <w:szCs w:val="20"/>
                <w:color w:val="auto"/>
              </w:rPr>
            </w:pPr>
            <w:r>
              <w:rPr>
                <w:rFonts w:ascii="Arial" w:cs="Arial" w:eastAsia="Arial" w:hAnsi="Arial"/>
                <w:sz w:val="12"/>
                <w:szCs w:val="12"/>
                <w:color w:val="auto"/>
              </w:rPr>
              <w:t>1,859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jc w:val="right"/>
              <w:ind w:right="60"/>
              <w:spacing w:after="0"/>
              <w:rPr>
                <w:sz w:val="20"/>
                <w:szCs w:val="20"/>
                <w:color w:val="auto"/>
              </w:rPr>
            </w:pPr>
            <w:r>
              <w:rPr>
                <w:rFonts w:ascii="Arial" w:cs="Arial" w:eastAsia="Arial" w:hAnsi="Arial"/>
                <w:sz w:val="12"/>
                <w:szCs w:val="12"/>
                <w:color w:val="auto"/>
              </w:rPr>
              <w:t>1,843</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Retained earnings (accumulated deficit)</w:t>
            </w:r>
          </w:p>
        </w:tc>
        <w:tc>
          <w:tcPr>
            <w:tcW w:w="36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(69)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80" w:type="dxa"/>
            <w:vAlign w:val="bottom"/>
            <w:gridSpan w:val="2"/>
          </w:tcPr>
          <w:p>
            <w:pPr>
              <w:ind w:left="80"/>
              <w:spacing w:after="0"/>
              <w:rPr>
                <w:sz w:val="20"/>
                <w:szCs w:val="20"/>
                <w:color w:val="auto"/>
              </w:rPr>
            </w:pPr>
            <w:r>
              <w:rPr>
                <w:rFonts w:ascii="Arial" w:cs="Arial" w:eastAsia="Arial" w:hAnsi="Arial"/>
                <w:sz w:val="11"/>
                <w:szCs w:val="11"/>
                <w:color w:val="auto"/>
              </w:rPr>
              <w:t>Accumulated other comprehensive loss</w:t>
            </w:r>
          </w:p>
        </w:tc>
        <w:tc>
          <w:tcPr>
            <w:tcW w:w="360" w:type="dxa"/>
            <w:vAlign w:val="bottom"/>
          </w:tcPr>
          <w:p>
            <w:pPr>
              <w:spacing w:after="0"/>
              <w:rPr>
                <w:sz w:val="14"/>
                <w:szCs w:val="14"/>
                <w:color w:val="auto"/>
              </w:rPr>
            </w:pPr>
          </w:p>
        </w:tc>
        <w:tc>
          <w:tcPr>
            <w:tcW w:w="1480" w:type="dxa"/>
            <w:vAlign w:val="bottom"/>
          </w:tcPr>
          <w:p>
            <w:pPr>
              <w:jc w:val="right"/>
              <w:ind w:right="21"/>
              <w:spacing w:after="0"/>
              <w:rPr>
                <w:sz w:val="20"/>
                <w:szCs w:val="20"/>
                <w:color w:val="auto"/>
              </w:rPr>
            </w:pPr>
            <w:r>
              <w:rPr>
                <w:rFonts w:ascii="Arial" w:cs="Arial" w:eastAsia="Arial" w:hAnsi="Arial"/>
                <w:sz w:val="12"/>
                <w:szCs w:val="12"/>
                <w:color w:val="auto"/>
              </w:rPr>
              <w:t>(17)</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jc w:val="right"/>
              <w:ind w:right="20"/>
              <w:spacing w:after="0"/>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6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Noncontrolling interest</w:t>
            </w:r>
          </w:p>
        </w:tc>
        <w:tc>
          <w:tcPr>
            <w:tcW w:w="36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419</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412</w:t>
            </w:r>
          </w:p>
        </w:tc>
        <w:tc>
          <w:tcPr>
            <w:tcW w:w="0" w:type="dxa"/>
            <w:vAlign w:val="bottom"/>
          </w:tcPr>
          <w:p>
            <w:pPr>
              <w:spacing w:after="0"/>
              <w:rPr>
                <w:sz w:val="1"/>
                <w:szCs w:val="1"/>
                <w:color w:val="auto"/>
              </w:rPr>
            </w:pPr>
          </w:p>
        </w:tc>
      </w:tr>
      <w:tr>
        <w:trPr>
          <w:trHeight w:val="169"/>
        </w:trPr>
        <w:tc>
          <w:tcPr>
            <w:tcW w:w="7700" w:type="dxa"/>
            <w:vAlign w:val="bottom"/>
            <w:tcBorders>
              <w:bottom w:val="single" w:sz="8" w:color="CCEEFF"/>
            </w:tcBorders>
            <w:gridSpan w:val="3"/>
          </w:tcPr>
          <w:p>
            <w:pPr>
              <w:ind w:left="20"/>
              <w:spacing w:after="0"/>
              <w:rPr>
                <w:sz w:val="20"/>
                <w:szCs w:val="20"/>
                <w:color w:val="auto"/>
              </w:rPr>
            </w:pPr>
            <w:r>
              <w:rPr>
                <w:rFonts w:ascii="Arial" w:cs="Arial" w:eastAsia="Arial" w:hAnsi="Arial"/>
                <w:sz w:val="11"/>
                <w:szCs w:val="11"/>
                <w:b w:val="1"/>
                <w:bCs w:val="1"/>
                <w:color w:val="auto"/>
              </w:rPr>
              <w:t>Total Stockholders' Equity</w:t>
            </w:r>
          </w:p>
        </w:tc>
        <w:tc>
          <w:tcPr>
            <w:tcW w:w="3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2,287</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2,159</w:t>
            </w:r>
          </w:p>
        </w:tc>
        <w:tc>
          <w:tcPr>
            <w:tcW w:w="0" w:type="dxa"/>
            <w:vAlign w:val="bottom"/>
          </w:tcPr>
          <w:p>
            <w:pPr>
              <w:spacing w:after="0"/>
              <w:rPr>
                <w:sz w:val="1"/>
                <w:szCs w:val="1"/>
                <w:color w:val="auto"/>
              </w:rPr>
            </w:pPr>
          </w:p>
        </w:tc>
      </w:tr>
      <w:tr>
        <w:trPr>
          <w:trHeight w:val="185"/>
        </w:trPr>
        <w:tc>
          <w:tcPr>
            <w:tcW w:w="77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Total Liabilities and Stockholders' Equity</w:t>
            </w: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4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8,448</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5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8,489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131445</wp:posOffset>
            </wp:positionV>
            <wp:extent cx="142430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4305" cy="571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vertAlign w:val="superscript"/>
        </w:rPr>
        <w:t>(a)</w:t>
      </w:r>
      <w:r>
        <w:rPr>
          <w:rFonts w:ascii="Arial" w:cs="Arial" w:eastAsia="Arial" w:hAnsi="Arial"/>
          <w:sz w:val="11"/>
          <w:szCs w:val="11"/>
          <w:color w:val="auto"/>
        </w:rPr>
        <w:t xml:space="preserve"> Retrospectively adjusted as discussed in Note 1, </w:t>
      </w:r>
      <w:r>
        <w:rPr>
          <w:rFonts w:ascii="Arial" w:cs="Arial" w:eastAsia="Arial" w:hAnsi="Arial"/>
          <w:sz w:val="11"/>
          <w:szCs w:val="11"/>
          <w:i w:val="1"/>
          <w:iCs w:val="1"/>
          <w:color w:val="auto"/>
        </w:rPr>
        <w:t>Nature of Business</w:t>
      </w:r>
      <w:r>
        <w:rPr>
          <w:rFonts w:ascii="Arial" w:cs="Arial" w:eastAsia="Arial" w:hAnsi="Arial"/>
          <w:sz w:val="11"/>
          <w:szCs w:val="11"/>
          <w:color w:val="auto"/>
        </w:rPr>
        <w: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480"/>
          </w:cols>
          <w:pgMar w:left="220" w:top="505" w:right="199" w:bottom="1440" w:gutter="0" w:footer="0" w:header="0"/>
        </w:sectPr>
      </w:pPr>
    </w:p>
    <w:bookmarkStart w:id="9" w:name="page10"/>
    <w:bookmarkEnd w:id="9"/>
    <w:p>
      <w:pPr>
        <w:jc w:val="center"/>
        <w:spacing w:after="0"/>
        <w:rPr>
          <w:sz w:val="20"/>
          <w:szCs w:val="20"/>
          <w:color w:val="auto"/>
        </w:rPr>
      </w:pPr>
      <w:r>
        <w:rPr>
          <w:rFonts w:ascii="Arial" w:cs="Arial" w:eastAsia="Arial" w:hAnsi="Arial"/>
          <w:sz w:val="12"/>
          <w:szCs w:val="12"/>
          <w:b w:val="1"/>
          <w:bCs w:val="1"/>
          <w:color w:val="auto"/>
        </w:rPr>
        <w:t>NRG YIELD, INC.</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862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86"/>
              </w:rPr>
              <w:t>Six months ended June 30,</w:t>
            </w:r>
          </w:p>
        </w:tc>
        <w:tc>
          <w:tcPr>
            <w:tcW w:w="860" w:type="dxa"/>
            <w:vAlign w:val="bottom"/>
            <w:tcBorders>
              <w:bottom w:val="single" w:sz="8" w:color="auto"/>
            </w:tcBorders>
          </w:tcPr>
          <w:p>
            <w:pPr>
              <w:spacing w:after="0"/>
              <w:rPr>
                <w:sz w:val="11"/>
                <w:szCs w:val="11"/>
                <w:color w:val="auto"/>
              </w:rPr>
            </w:pPr>
          </w:p>
        </w:tc>
      </w:tr>
      <w:tr>
        <w:trPr>
          <w:trHeight w:val="169"/>
        </w:trPr>
        <w:tc>
          <w:tcPr>
            <w:tcW w:w="8620" w:type="dxa"/>
            <w:vAlign w:val="bottom"/>
          </w:tcPr>
          <w:p>
            <w:pPr>
              <w:spacing w:after="0"/>
              <w:rPr>
                <w:sz w:val="14"/>
                <w:szCs w:val="14"/>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2018</w:t>
            </w: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80"/>
              <w:spacing w:after="0"/>
              <w:rPr>
                <w:sz w:val="20"/>
                <w:szCs w:val="20"/>
                <w:color w:val="auto"/>
              </w:rPr>
            </w:pPr>
            <w:r>
              <w:rPr>
                <w:rFonts w:ascii="Arial" w:cs="Arial" w:eastAsia="Arial" w:hAnsi="Arial"/>
                <w:sz w:val="10"/>
                <w:szCs w:val="10"/>
                <w:b w:val="1"/>
                <w:bCs w:val="1"/>
                <w:color w:val="auto"/>
                <w:w w:val="96"/>
              </w:rPr>
              <w:t xml:space="preserve">2017 </w:t>
            </w:r>
            <w:r>
              <w:rPr>
                <w:rFonts w:ascii="Arial" w:cs="Arial" w:eastAsia="Arial" w:hAnsi="Arial"/>
                <w:sz w:val="5"/>
                <w:szCs w:val="5"/>
                <w:b w:val="1"/>
                <w:bCs w:val="1"/>
                <w:color w:val="auto"/>
                <w:w w:val="96"/>
              </w:rPr>
              <w:t>(a)</w:t>
            </w:r>
          </w:p>
        </w:tc>
      </w:tr>
      <w:tr>
        <w:trPr>
          <w:trHeight w:val="160"/>
        </w:trPr>
        <w:tc>
          <w:tcPr>
            <w:tcW w:w="8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0"/>
                <w:szCs w:val="10"/>
                <w:b w:val="1"/>
                <w:bCs w:val="1"/>
                <w:color w:val="auto"/>
              </w:rPr>
              <w:t>(In millions)</w:t>
            </w:r>
          </w:p>
        </w:tc>
        <w:tc>
          <w:tcPr>
            <w:tcW w:w="860" w:type="dxa"/>
            <w:vAlign w:val="bottom"/>
          </w:tcPr>
          <w:p>
            <w:pPr>
              <w:spacing w:after="0"/>
              <w:rPr>
                <w:sz w:val="13"/>
                <w:szCs w:val="13"/>
                <w:color w:val="auto"/>
              </w:rPr>
            </w:pPr>
          </w:p>
        </w:tc>
      </w:tr>
      <w:tr>
        <w:trPr>
          <w:trHeight w:val="184"/>
        </w:trPr>
        <w:tc>
          <w:tcPr>
            <w:tcW w:w="86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Cash Flows from Operating Activities</w:t>
            </w:r>
          </w:p>
        </w:tc>
        <w:tc>
          <w:tcPr>
            <w:tcW w:w="8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71"/>
        </w:trPr>
        <w:tc>
          <w:tcPr>
            <w:tcW w:w="8620" w:type="dxa"/>
            <w:vAlign w:val="bottom"/>
          </w:tcPr>
          <w:p>
            <w:pPr>
              <w:ind w:left="20"/>
              <w:spacing w:after="0"/>
              <w:rPr>
                <w:sz w:val="20"/>
                <w:szCs w:val="20"/>
                <w:color w:val="auto"/>
              </w:rPr>
            </w:pPr>
            <w:r>
              <w:rPr>
                <w:rFonts w:ascii="Arial" w:cs="Arial" w:eastAsia="Arial" w:hAnsi="Arial"/>
                <w:sz w:val="12"/>
                <w:szCs w:val="12"/>
                <w:color w:val="auto"/>
              </w:rPr>
              <w:t>Net income</w:t>
            </w:r>
          </w:p>
        </w:tc>
        <w:tc>
          <w:tcPr>
            <w:tcW w:w="840" w:type="dxa"/>
            <w:vAlign w:val="bottom"/>
          </w:tcPr>
          <w:p>
            <w:pPr>
              <w:jc w:val="right"/>
              <w:ind w:right="73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61"/>
              <w:spacing w:after="0"/>
              <w:rPr>
                <w:sz w:val="20"/>
                <w:szCs w:val="20"/>
                <w:color w:val="auto"/>
              </w:rPr>
            </w:pPr>
            <w:r>
              <w:rPr>
                <w:rFonts w:ascii="Arial" w:cs="Arial" w:eastAsia="Arial" w:hAnsi="Arial"/>
                <w:sz w:val="12"/>
                <w:szCs w:val="12"/>
                <w:color w:val="auto"/>
              </w:rPr>
              <w:t>96</w:t>
            </w:r>
          </w:p>
        </w:tc>
        <w:tc>
          <w:tcPr>
            <w:tcW w:w="120" w:type="dxa"/>
            <w:vAlign w:val="bottom"/>
          </w:tcPr>
          <w:p>
            <w:pPr>
              <w:spacing w:after="0"/>
              <w:rPr>
                <w:sz w:val="14"/>
                <w:szCs w:val="14"/>
                <w:color w:val="auto"/>
              </w:rPr>
            </w:pPr>
          </w:p>
        </w:tc>
        <w:tc>
          <w:tcPr>
            <w:tcW w:w="500" w:type="dxa"/>
            <w:vAlign w:val="bottom"/>
          </w:tcPr>
          <w:p>
            <w:pPr>
              <w:jc w:val="right"/>
              <w:ind w:right="360"/>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60"/>
              <w:spacing w:after="0"/>
              <w:rPr>
                <w:sz w:val="20"/>
                <w:szCs w:val="20"/>
                <w:color w:val="auto"/>
              </w:rPr>
            </w:pPr>
            <w:r>
              <w:rPr>
                <w:rFonts w:ascii="Arial" w:cs="Arial" w:eastAsia="Arial" w:hAnsi="Arial"/>
                <w:sz w:val="12"/>
                <w:szCs w:val="12"/>
                <w:color w:val="auto"/>
              </w:rPr>
              <w:t>42</w:t>
            </w:r>
          </w:p>
        </w:tc>
      </w:tr>
      <w:tr>
        <w:trPr>
          <w:trHeight w:val="189"/>
        </w:trPr>
        <w:tc>
          <w:tcPr>
            <w:tcW w:w="86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Adjustments to reconcile net income to net cash provided by operating activities:</w:t>
            </w:r>
          </w:p>
        </w:tc>
        <w:tc>
          <w:tcPr>
            <w:tcW w:w="8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71"/>
        </w:trPr>
        <w:tc>
          <w:tcPr>
            <w:tcW w:w="8620" w:type="dxa"/>
            <w:vAlign w:val="bottom"/>
          </w:tcPr>
          <w:p>
            <w:pPr>
              <w:ind w:left="240"/>
              <w:spacing w:after="0"/>
              <w:rPr>
                <w:sz w:val="20"/>
                <w:szCs w:val="20"/>
                <w:color w:val="auto"/>
              </w:rPr>
            </w:pPr>
            <w:r>
              <w:rPr>
                <w:rFonts w:ascii="Arial" w:cs="Arial" w:eastAsia="Arial" w:hAnsi="Arial"/>
                <w:sz w:val="12"/>
                <w:szCs w:val="12"/>
                <w:color w:val="auto"/>
              </w:rPr>
              <w:t>Equity in earnings of unconsolidated affiliates</w:t>
            </w:r>
          </w:p>
        </w:tc>
        <w:tc>
          <w:tcPr>
            <w:tcW w:w="840" w:type="dxa"/>
            <w:vAlign w:val="bottom"/>
          </w:tcPr>
          <w:p>
            <w:pPr>
              <w:spacing w:after="0"/>
              <w:rPr>
                <w:sz w:val="14"/>
                <w:szCs w:val="14"/>
                <w:color w:val="auto"/>
              </w:rPr>
            </w:pPr>
          </w:p>
        </w:tc>
        <w:tc>
          <w:tcPr>
            <w:tcW w:w="540" w:type="dxa"/>
            <w:vAlign w:val="bottom"/>
          </w:tcPr>
          <w:p>
            <w:pPr>
              <w:jc w:val="right"/>
              <w:ind w:right="21"/>
              <w:spacing w:after="0"/>
              <w:rPr>
                <w:sz w:val="20"/>
                <w:szCs w:val="20"/>
                <w:color w:val="auto"/>
              </w:rPr>
            </w:pPr>
            <w:r>
              <w:rPr>
                <w:rFonts w:ascii="Arial" w:cs="Arial" w:eastAsia="Arial" w:hAnsi="Arial"/>
                <w:sz w:val="12"/>
                <w:szCs w:val="12"/>
                <w:color w:val="auto"/>
              </w:rPr>
              <w:t>(33)</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jc w:val="right"/>
              <w:ind w:right="20"/>
              <w:spacing w:after="0"/>
              <w:rPr>
                <w:sz w:val="20"/>
                <w:szCs w:val="20"/>
                <w:color w:val="auto"/>
              </w:rPr>
            </w:pPr>
            <w:r>
              <w:rPr>
                <w:rFonts w:ascii="Arial" w:cs="Arial" w:eastAsia="Arial" w:hAnsi="Arial"/>
                <w:sz w:val="12"/>
                <w:szCs w:val="12"/>
                <w:color w:val="auto"/>
              </w:rPr>
              <w:t>(35)</w:t>
            </w:r>
          </w:p>
        </w:tc>
      </w:tr>
      <w:tr>
        <w:trPr>
          <w:trHeight w:val="189"/>
        </w:trPr>
        <w:tc>
          <w:tcPr>
            <w:tcW w:w="86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Distributions from unconsolidated affiliates</w:t>
            </w:r>
          </w:p>
        </w:tc>
        <w:tc>
          <w:tcPr>
            <w:tcW w:w="8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32</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29</w:t>
            </w:r>
          </w:p>
        </w:tc>
      </w:tr>
      <w:tr>
        <w:trPr>
          <w:trHeight w:val="171"/>
        </w:trPr>
        <w:tc>
          <w:tcPr>
            <w:tcW w:w="8620" w:type="dxa"/>
            <w:vAlign w:val="bottom"/>
          </w:tcPr>
          <w:p>
            <w:pPr>
              <w:ind w:left="240"/>
              <w:spacing w:after="0"/>
              <w:rPr>
                <w:sz w:val="20"/>
                <w:szCs w:val="20"/>
                <w:color w:val="auto"/>
              </w:rPr>
            </w:pPr>
            <w:r>
              <w:rPr>
                <w:rFonts w:ascii="Arial" w:cs="Arial" w:eastAsia="Arial" w:hAnsi="Arial"/>
                <w:sz w:val="12"/>
                <w:szCs w:val="12"/>
                <w:color w:val="auto"/>
              </w:rPr>
              <w:t>Depreciation and amortization</w:t>
            </w:r>
          </w:p>
        </w:tc>
        <w:tc>
          <w:tcPr>
            <w:tcW w:w="840" w:type="dxa"/>
            <w:vAlign w:val="bottom"/>
          </w:tcPr>
          <w:p>
            <w:pPr>
              <w:spacing w:after="0"/>
              <w:rPr>
                <w:sz w:val="14"/>
                <w:szCs w:val="14"/>
                <w:color w:val="auto"/>
              </w:rPr>
            </w:pPr>
          </w:p>
        </w:tc>
        <w:tc>
          <w:tcPr>
            <w:tcW w:w="540" w:type="dxa"/>
            <w:vAlign w:val="bottom"/>
          </w:tcPr>
          <w:p>
            <w:pPr>
              <w:jc w:val="right"/>
              <w:ind w:right="61"/>
              <w:spacing w:after="0"/>
              <w:rPr>
                <w:sz w:val="20"/>
                <w:szCs w:val="20"/>
                <w:color w:val="auto"/>
              </w:rPr>
            </w:pPr>
            <w:r>
              <w:rPr>
                <w:rFonts w:ascii="Arial" w:cs="Arial" w:eastAsia="Arial" w:hAnsi="Arial"/>
                <w:sz w:val="12"/>
                <w:szCs w:val="12"/>
                <w:color w:val="auto"/>
              </w:rPr>
              <w:t>163</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jc w:val="right"/>
              <w:ind w:right="60"/>
              <w:spacing w:after="0"/>
              <w:rPr>
                <w:sz w:val="20"/>
                <w:szCs w:val="20"/>
                <w:color w:val="auto"/>
              </w:rPr>
            </w:pPr>
            <w:r>
              <w:rPr>
                <w:rFonts w:ascii="Arial" w:cs="Arial" w:eastAsia="Arial" w:hAnsi="Arial"/>
                <w:sz w:val="12"/>
                <w:szCs w:val="12"/>
                <w:color w:val="auto"/>
              </w:rPr>
              <w:t>156</w:t>
            </w:r>
          </w:p>
        </w:tc>
      </w:tr>
      <w:tr>
        <w:trPr>
          <w:trHeight w:val="189"/>
        </w:trPr>
        <w:tc>
          <w:tcPr>
            <w:tcW w:w="86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Amortization of financing costs and debt discounts</w:t>
            </w:r>
          </w:p>
        </w:tc>
        <w:tc>
          <w:tcPr>
            <w:tcW w:w="8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13</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w:t>
            </w:r>
          </w:p>
        </w:tc>
      </w:tr>
      <w:tr>
        <w:trPr>
          <w:trHeight w:val="171"/>
        </w:trPr>
        <w:tc>
          <w:tcPr>
            <w:tcW w:w="8620" w:type="dxa"/>
            <w:vAlign w:val="bottom"/>
          </w:tcPr>
          <w:p>
            <w:pPr>
              <w:ind w:left="240"/>
              <w:spacing w:after="0"/>
              <w:rPr>
                <w:sz w:val="20"/>
                <w:szCs w:val="20"/>
                <w:color w:val="auto"/>
              </w:rPr>
            </w:pPr>
            <w:r>
              <w:rPr>
                <w:rFonts w:ascii="Arial" w:cs="Arial" w:eastAsia="Arial" w:hAnsi="Arial"/>
                <w:sz w:val="12"/>
                <w:szCs w:val="12"/>
                <w:color w:val="auto"/>
              </w:rPr>
              <w:t>Amortization of intangibles and out-of-market contracts</w:t>
            </w:r>
          </w:p>
        </w:tc>
        <w:tc>
          <w:tcPr>
            <w:tcW w:w="840" w:type="dxa"/>
            <w:vAlign w:val="bottom"/>
          </w:tcPr>
          <w:p>
            <w:pPr>
              <w:spacing w:after="0"/>
              <w:rPr>
                <w:sz w:val="14"/>
                <w:szCs w:val="14"/>
                <w:color w:val="auto"/>
              </w:rPr>
            </w:pPr>
          </w:p>
        </w:tc>
        <w:tc>
          <w:tcPr>
            <w:tcW w:w="540" w:type="dxa"/>
            <w:vAlign w:val="bottom"/>
          </w:tcPr>
          <w:p>
            <w:pPr>
              <w:jc w:val="right"/>
              <w:ind w:right="61"/>
              <w:spacing w:after="0"/>
              <w:rPr>
                <w:sz w:val="20"/>
                <w:szCs w:val="20"/>
                <w:color w:val="auto"/>
              </w:rPr>
            </w:pPr>
            <w:r>
              <w:rPr>
                <w:rFonts w:ascii="Arial" w:cs="Arial" w:eastAsia="Arial" w:hAnsi="Arial"/>
                <w:sz w:val="12"/>
                <w:szCs w:val="12"/>
                <w:color w:val="auto"/>
              </w:rPr>
              <w:t>35</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jc w:val="right"/>
              <w:ind w:right="60"/>
              <w:spacing w:after="0"/>
              <w:rPr>
                <w:sz w:val="20"/>
                <w:szCs w:val="20"/>
                <w:color w:val="auto"/>
              </w:rPr>
            </w:pPr>
            <w:r>
              <w:rPr>
                <w:rFonts w:ascii="Arial" w:cs="Arial" w:eastAsia="Arial" w:hAnsi="Arial"/>
                <w:sz w:val="12"/>
                <w:szCs w:val="12"/>
                <w:color w:val="auto"/>
              </w:rPr>
              <w:t>34</w:t>
            </w:r>
          </w:p>
        </w:tc>
      </w:tr>
      <w:tr>
        <w:trPr>
          <w:trHeight w:val="189"/>
        </w:trPr>
        <w:tc>
          <w:tcPr>
            <w:tcW w:w="86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Adjustment for debt extinguishment</w:t>
            </w:r>
          </w:p>
        </w:tc>
        <w:tc>
          <w:tcPr>
            <w:tcW w:w="8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w:t>
            </w:r>
          </w:p>
        </w:tc>
      </w:tr>
      <w:tr>
        <w:trPr>
          <w:trHeight w:val="171"/>
        </w:trPr>
        <w:tc>
          <w:tcPr>
            <w:tcW w:w="8620" w:type="dxa"/>
            <w:vAlign w:val="bottom"/>
          </w:tcPr>
          <w:p>
            <w:pPr>
              <w:ind w:left="240"/>
              <w:spacing w:after="0"/>
              <w:rPr>
                <w:sz w:val="20"/>
                <w:szCs w:val="20"/>
                <w:color w:val="auto"/>
              </w:rPr>
            </w:pPr>
            <w:r>
              <w:rPr>
                <w:rFonts w:ascii="Arial" w:cs="Arial" w:eastAsia="Arial" w:hAnsi="Arial"/>
                <w:sz w:val="12"/>
                <w:szCs w:val="12"/>
                <w:color w:val="auto"/>
              </w:rPr>
              <w:t>Changes in deferred income taxes</w:t>
            </w:r>
          </w:p>
        </w:tc>
        <w:tc>
          <w:tcPr>
            <w:tcW w:w="840" w:type="dxa"/>
            <w:vAlign w:val="bottom"/>
          </w:tcPr>
          <w:p>
            <w:pPr>
              <w:spacing w:after="0"/>
              <w:rPr>
                <w:sz w:val="14"/>
                <w:szCs w:val="14"/>
                <w:color w:val="auto"/>
              </w:rPr>
            </w:pPr>
          </w:p>
        </w:tc>
        <w:tc>
          <w:tcPr>
            <w:tcW w:w="540" w:type="dxa"/>
            <w:vAlign w:val="bottom"/>
          </w:tcPr>
          <w:p>
            <w:pPr>
              <w:jc w:val="right"/>
              <w:ind w:right="61"/>
              <w:spacing w:after="0"/>
              <w:rPr>
                <w:sz w:val="20"/>
                <w:szCs w:val="20"/>
                <w:color w:val="auto"/>
              </w:rPr>
            </w:pPr>
            <w:r>
              <w:rPr>
                <w:rFonts w:ascii="Arial" w:cs="Arial" w:eastAsia="Arial" w:hAnsi="Arial"/>
                <w:sz w:val="12"/>
                <w:szCs w:val="12"/>
                <w:color w:val="auto"/>
              </w:rPr>
              <w:t>6</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jc w:val="right"/>
              <w:ind w:right="60"/>
              <w:spacing w:after="0"/>
              <w:rPr>
                <w:sz w:val="20"/>
                <w:szCs w:val="20"/>
                <w:color w:val="auto"/>
              </w:rPr>
            </w:pPr>
            <w:r>
              <w:rPr>
                <w:rFonts w:ascii="Arial" w:cs="Arial" w:eastAsia="Arial" w:hAnsi="Arial"/>
                <w:sz w:val="12"/>
                <w:szCs w:val="12"/>
                <w:color w:val="auto"/>
              </w:rPr>
              <w:t>7</w:t>
            </w:r>
          </w:p>
        </w:tc>
      </w:tr>
      <w:tr>
        <w:trPr>
          <w:trHeight w:val="189"/>
        </w:trPr>
        <w:tc>
          <w:tcPr>
            <w:tcW w:w="86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Derivative interest (income) expense</w:t>
            </w:r>
          </w:p>
        </w:tc>
        <w:tc>
          <w:tcPr>
            <w:tcW w:w="8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(32)</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w:t>
            </w:r>
          </w:p>
        </w:tc>
      </w:tr>
      <w:tr>
        <w:trPr>
          <w:trHeight w:val="171"/>
        </w:trPr>
        <w:tc>
          <w:tcPr>
            <w:tcW w:w="8620" w:type="dxa"/>
            <w:vAlign w:val="bottom"/>
          </w:tcPr>
          <w:p>
            <w:pPr>
              <w:ind w:left="240"/>
              <w:spacing w:after="0"/>
              <w:rPr>
                <w:sz w:val="20"/>
                <w:szCs w:val="20"/>
                <w:color w:val="auto"/>
              </w:rPr>
            </w:pPr>
            <w:r>
              <w:rPr>
                <w:rFonts w:ascii="Arial" w:cs="Arial" w:eastAsia="Arial" w:hAnsi="Arial"/>
                <w:sz w:val="12"/>
                <w:szCs w:val="12"/>
                <w:color w:val="auto"/>
              </w:rPr>
              <w:t>(Gain) loss on disposal of asset components</w:t>
            </w:r>
          </w:p>
        </w:tc>
        <w:tc>
          <w:tcPr>
            <w:tcW w:w="840" w:type="dxa"/>
            <w:vAlign w:val="bottom"/>
          </w:tcPr>
          <w:p>
            <w:pPr>
              <w:spacing w:after="0"/>
              <w:rPr>
                <w:sz w:val="14"/>
                <w:szCs w:val="14"/>
                <w:color w:val="auto"/>
              </w:rPr>
            </w:pPr>
          </w:p>
        </w:tc>
        <w:tc>
          <w:tcPr>
            <w:tcW w:w="540" w:type="dxa"/>
            <w:vAlign w:val="bottom"/>
          </w:tcPr>
          <w:p>
            <w:pPr>
              <w:jc w:val="right"/>
              <w:ind w:right="21"/>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jc w:val="right"/>
              <w:ind w:right="60"/>
              <w:spacing w:after="0"/>
              <w:rPr>
                <w:sz w:val="20"/>
                <w:szCs w:val="20"/>
                <w:color w:val="auto"/>
              </w:rPr>
            </w:pPr>
            <w:r>
              <w:rPr>
                <w:rFonts w:ascii="Arial" w:cs="Arial" w:eastAsia="Arial" w:hAnsi="Arial"/>
                <w:sz w:val="12"/>
                <w:szCs w:val="12"/>
                <w:color w:val="auto"/>
              </w:rPr>
              <w:t>4</w:t>
            </w:r>
          </w:p>
        </w:tc>
      </w:tr>
      <w:tr>
        <w:trPr>
          <w:trHeight w:val="189"/>
        </w:trPr>
        <w:tc>
          <w:tcPr>
            <w:tcW w:w="86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Changes in prepaid and accrued liabilities for tolling agreements</w:t>
            </w:r>
          </w:p>
        </w:tc>
        <w:tc>
          <w:tcPr>
            <w:tcW w:w="8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(62)</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(64)</w:t>
            </w:r>
          </w:p>
        </w:tc>
      </w:tr>
      <w:tr>
        <w:trPr>
          <w:trHeight w:val="171"/>
        </w:trPr>
        <w:tc>
          <w:tcPr>
            <w:tcW w:w="862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Changes in other working capital</w:t>
            </w:r>
          </w:p>
        </w:tc>
        <w:tc>
          <w:tcPr>
            <w:tcW w:w="8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(36)</w:t>
            </w:r>
          </w:p>
        </w:tc>
        <w:tc>
          <w:tcPr>
            <w:tcW w:w="1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(19)</w:t>
            </w:r>
          </w:p>
        </w:tc>
      </w:tr>
      <w:tr>
        <w:trPr>
          <w:trHeight w:val="178"/>
        </w:trPr>
        <w:tc>
          <w:tcPr>
            <w:tcW w:w="86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Net Cash Provided by Operating Activities</w:t>
            </w:r>
          </w:p>
        </w:tc>
        <w:tc>
          <w:tcPr>
            <w:tcW w:w="8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181</w:t>
            </w:r>
          </w:p>
        </w:tc>
        <w:tc>
          <w:tcPr>
            <w:tcW w:w="12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169</w:t>
            </w:r>
          </w:p>
        </w:tc>
      </w:tr>
      <w:tr>
        <w:trPr>
          <w:trHeight w:val="160"/>
        </w:trPr>
        <w:tc>
          <w:tcPr>
            <w:tcW w:w="8620" w:type="dxa"/>
            <w:vAlign w:val="bottom"/>
          </w:tcPr>
          <w:p>
            <w:pPr>
              <w:ind w:left="20"/>
              <w:spacing w:after="0"/>
              <w:rPr>
                <w:sz w:val="20"/>
                <w:szCs w:val="20"/>
                <w:color w:val="auto"/>
              </w:rPr>
            </w:pPr>
            <w:r>
              <w:rPr>
                <w:rFonts w:ascii="Arial" w:cs="Arial" w:eastAsia="Arial" w:hAnsi="Arial"/>
                <w:sz w:val="12"/>
                <w:szCs w:val="12"/>
                <w:b w:val="1"/>
                <w:bCs w:val="1"/>
                <w:color w:val="auto"/>
              </w:rPr>
              <w:t>Cash Flows from Investing Activities</w:t>
            </w: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89"/>
        </w:trPr>
        <w:tc>
          <w:tcPr>
            <w:tcW w:w="86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Acquisition of businesses, net of cash acquired</w:t>
            </w:r>
          </w:p>
        </w:tc>
        <w:tc>
          <w:tcPr>
            <w:tcW w:w="8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(11)</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8620" w:type="dxa"/>
            <w:vAlign w:val="bottom"/>
          </w:tcPr>
          <w:p>
            <w:pPr>
              <w:ind w:left="240"/>
              <w:spacing w:after="0"/>
              <w:rPr>
                <w:sz w:val="20"/>
                <w:szCs w:val="20"/>
                <w:color w:val="auto"/>
              </w:rPr>
            </w:pPr>
            <w:r>
              <w:rPr>
                <w:rFonts w:ascii="Arial" w:cs="Arial" w:eastAsia="Arial" w:hAnsi="Arial"/>
                <w:sz w:val="12"/>
                <w:szCs w:val="12"/>
                <w:color w:val="auto"/>
              </w:rPr>
              <w:t>Payments for the Drop Down Assets</w:t>
            </w:r>
          </w:p>
        </w:tc>
        <w:tc>
          <w:tcPr>
            <w:tcW w:w="840" w:type="dxa"/>
            <w:vAlign w:val="bottom"/>
          </w:tcPr>
          <w:p>
            <w:pPr>
              <w:spacing w:after="0"/>
              <w:rPr>
                <w:sz w:val="14"/>
                <w:szCs w:val="14"/>
                <w:color w:val="auto"/>
              </w:rPr>
            </w:pPr>
          </w:p>
        </w:tc>
        <w:tc>
          <w:tcPr>
            <w:tcW w:w="540" w:type="dxa"/>
            <w:vAlign w:val="bottom"/>
          </w:tcPr>
          <w:p>
            <w:pPr>
              <w:jc w:val="right"/>
              <w:ind w:right="21"/>
              <w:spacing w:after="0"/>
              <w:rPr>
                <w:sz w:val="20"/>
                <w:szCs w:val="20"/>
                <w:color w:val="auto"/>
              </w:rPr>
            </w:pPr>
            <w:r>
              <w:rPr>
                <w:rFonts w:ascii="Arial" w:cs="Arial" w:eastAsia="Arial" w:hAnsi="Arial"/>
                <w:sz w:val="12"/>
                <w:szCs w:val="12"/>
                <w:color w:val="auto"/>
              </w:rPr>
              <w:t>(126)</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jc w:val="right"/>
              <w:ind w:right="20"/>
              <w:spacing w:after="0"/>
              <w:rPr>
                <w:sz w:val="20"/>
                <w:szCs w:val="20"/>
                <w:color w:val="auto"/>
              </w:rPr>
            </w:pPr>
            <w:r>
              <w:rPr>
                <w:rFonts w:ascii="Arial" w:cs="Arial" w:eastAsia="Arial" w:hAnsi="Arial"/>
                <w:sz w:val="12"/>
                <w:szCs w:val="12"/>
                <w:color w:val="auto"/>
              </w:rPr>
              <w:t>(131)</w:t>
            </w:r>
          </w:p>
        </w:tc>
      </w:tr>
      <w:tr>
        <w:trPr>
          <w:trHeight w:val="189"/>
        </w:trPr>
        <w:tc>
          <w:tcPr>
            <w:tcW w:w="86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Capital expenditures</w:t>
            </w:r>
          </w:p>
        </w:tc>
        <w:tc>
          <w:tcPr>
            <w:tcW w:w="8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(45)</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(60)</w:t>
            </w:r>
          </w:p>
        </w:tc>
      </w:tr>
      <w:tr>
        <w:trPr>
          <w:trHeight w:val="171"/>
        </w:trPr>
        <w:tc>
          <w:tcPr>
            <w:tcW w:w="8620" w:type="dxa"/>
            <w:vAlign w:val="bottom"/>
          </w:tcPr>
          <w:p>
            <w:pPr>
              <w:ind w:left="240"/>
              <w:spacing w:after="0"/>
              <w:rPr>
                <w:sz w:val="20"/>
                <w:szCs w:val="20"/>
                <w:color w:val="auto"/>
              </w:rPr>
            </w:pPr>
            <w:r>
              <w:rPr>
                <w:rFonts w:ascii="Arial" w:cs="Arial" w:eastAsia="Arial" w:hAnsi="Arial"/>
                <w:sz w:val="12"/>
                <w:szCs w:val="12"/>
                <w:color w:val="auto"/>
              </w:rPr>
              <w:t>Cash receipts from notes receivable</w:t>
            </w:r>
          </w:p>
        </w:tc>
        <w:tc>
          <w:tcPr>
            <w:tcW w:w="840" w:type="dxa"/>
            <w:vAlign w:val="bottom"/>
          </w:tcPr>
          <w:p>
            <w:pPr>
              <w:spacing w:after="0"/>
              <w:rPr>
                <w:sz w:val="14"/>
                <w:szCs w:val="14"/>
                <w:color w:val="auto"/>
              </w:rPr>
            </w:pPr>
          </w:p>
        </w:tc>
        <w:tc>
          <w:tcPr>
            <w:tcW w:w="540" w:type="dxa"/>
            <w:vAlign w:val="bottom"/>
          </w:tcPr>
          <w:p>
            <w:pPr>
              <w:jc w:val="right"/>
              <w:ind w:right="61"/>
              <w:spacing w:after="0"/>
              <w:rPr>
                <w:sz w:val="20"/>
                <w:szCs w:val="20"/>
                <w:color w:val="auto"/>
              </w:rPr>
            </w:pPr>
            <w:r>
              <w:rPr>
                <w:rFonts w:ascii="Arial" w:cs="Arial" w:eastAsia="Arial" w:hAnsi="Arial"/>
                <w:sz w:val="12"/>
                <w:szCs w:val="12"/>
                <w:color w:val="auto"/>
              </w:rPr>
              <w:t>7</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jc w:val="right"/>
              <w:ind w:right="60"/>
              <w:spacing w:after="0"/>
              <w:rPr>
                <w:sz w:val="20"/>
                <w:szCs w:val="20"/>
                <w:color w:val="auto"/>
              </w:rPr>
            </w:pPr>
            <w:r>
              <w:rPr>
                <w:rFonts w:ascii="Arial" w:cs="Arial" w:eastAsia="Arial" w:hAnsi="Arial"/>
                <w:sz w:val="12"/>
                <w:szCs w:val="12"/>
                <w:color w:val="auto"/>
              </w:rPr>
              <w:t>9</w:t>
            </w:r>
          </w:p>
        </w:tc>
      </w:tr>
      <w:tr>
        <w:trPr>
          <w:trHeight w:val="189"/>
        </w:trPr>
        <w:tc>
          <w:tcPr>
            <w:tcW w:w="86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Return of investment from unconsolidated affiliates</w:t>
            </w:r>
          </w:p>
        </w:tc>
        <w:tc>
          <w:tcPr>
            <w:tcW w:w="8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18</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25</w:t>
            </w:r>
          </w:p>
        </w:tc>
      </w:tr>
      <w:tr>
        <w:trPr>
          <w:trHeight w:val="171"/>
        </w:trPr>
        <w:tc>
          <w:tcPr>
            <w:tcW w:w="8620" w:type="dxa"/>
            <w:vAlign w:val="bottom"/>
          </w:tcPr>
          <w:p>
            <w:pPr>
              <w:ind w:left="240"/>
              <w:spacing w:after="0"/>
              <w:rPr>
                <w:sz w:val="20"/>
                <w:szCs w:val="20"/>
                <w:color w:val="auto"/>
              </w:rPr>
            </w:pPr>
            <w:r>
              <w:rPr>
                <w:rFonts w:ascii="Arial" w:cs="Arial" w:eastAsia="Arial" w:hAnsi="Arial"/>
                <w:sz w:val="12"/>
                <w:szCs w:val="12"/>
                <w:color w:val="auto"/>
              </w:rPr>
              <w:t>Investments in unconsolidated affiliates</w:t>
            </w:r>
          </w:p>
        </w:tc>
        <w:tc>
          <w:tcPr>
            <w:tcW w:w="840" w:type="dxa"/>
            <w:vAlign w:val="bottom"/>
          </w:tcPr>
          <w:p>
            <w:pPr>
              <w:spacing w:after="0"/>
              <w:rPr>
                <w:sz w:val="14"/>
                <w:szCs w:val="14"/>
                <w:color w:val="auto"/>
              </w:rPr>
            </w:pPr>
          </w:p>
        </w:tc>
        <w:tc>
          <w:tcPr>
            <w:tcW w:w="540" w:type="dxa"/>
            <w:vAlign w:val="bottom"/>
          </w:tcPr>
          <w:p>
            <w:pPr>
              <w:jc w:val="right"/>
              <w:ind w:right="21"/>
              <w:spacing w:after="0"/>
              <w:rPr>
                <w:sz w:val="20"/>
                <w:szCs w:val="20"/>
                <w:color w:val="auto"/>
              </w:rPr>
            </w:pPr>
            <w:r>
              <w:rPr>
                <w:rFonts w:ascii="Arial" w:cs="Arial" w:eastAsia="Arial" w:hAnsi="Arial"/>
                <w:sz w:val="12"/>
                <w:szCs w:val="12"/>
                <w:color w:val="auto"/>
              </w:rPr>
              <w:t>(16)</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jc w:val="right"/>
              <w:ind w:right="20"/>
              <w:spacing w:after="0"/>
              <w:rPr>
                <w:sz w:val="20"/>
                <w:szCs w:val="20"/>
                <w:color w:val="auto"/>
              </w:rPr>
            </w:pPr>
            <w:r>
              <w:rPr>
                <w:rFonts w:ascii="Arial" w:cs="Arial" w:eastAsia="Arial" w:hAnsi="Arial"/>
                <w:sz w:val="12"/>
                <w:szCs w:val="12"/>
                <w:color w:val="auto"/>
              </w:rPr>
              <w:t>(33)</w:t>
            </w:r>
          </w:p>
        </w:tc>
      </w:tr>
      <w:tr>
        <w:trPr>
          <w:trHeight w:val="189"/>
        </w:trPr>
        <w:tc>
          <w:tcPr>
            <w:tcW w:w="86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w:t>
            </w:r>
          </w:p>
        </w:tc>
        <w:tc>
          <w:tcPr>
            <w:tcW w:w="8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7</w:t>
            </w:r>
          </w:p>
        </w:tc>
        <w:tc>
          <w:tcPr>
            <w:tcW w:w="12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60"/>
        </w:trPr>
        <w:tc>
          <w:tcPr>
            <w:tcW w:w="862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Net Cash Used in Investing Activities</w:t>
            </w:r>
          </w:p>
        </w:tc>
        <w:tc>
          <w:tcPr>
            <w:tcW w:w="8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(166)</w:t>
            </w:r>
          </w:p>
        </w:tc>
        <w:tc>
          <w:tcPr>
            <w:tcW w:w="12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(190)</w:t>
            </w:r>
          </w:p>
        </w:tc>
      </w:tr>
      <w:tr>
        <w:trPr>
          <w:trHeight w:val="178"/>
        </w:trPr>
        <w:tc>
          <w:tcPr>
            <w:tcW w:w="86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Cash Flows from Financing Activities</w:t>
            </w: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71"/>
        </w:trPr>
        <w:tc>
          <w:tcPr>
            <w:tcW w:w="8620" w:type="dxa"/>
            <w:vAlign w:val="bottom"/>
          </w:tcPr>
          <w:p>
            <w:pPr>
              <w:ind w:left="240"/>
              <w:spacing w:after="0"/>
              <w:rPr>
                <w:sz w:val="20"/>
                <w:szCs w:val="20"/>
                <w:color w:val="auto"/>
              </w:rPr>
            </w:pPr>
            <w:r>
              <w:rPr>
                <w:rFonts w:ascii="Arial" w:cs="Arial" w:eastAsia="Arial" w:hAnsi="Arial"/>
                <w:sz w:val="12"/>
                <w:szCs w:val="12"/>
                <w:color w:val="auto"/>
              </w:rPr>
              <w:t>Net contributions from noncontrolling interests</w:t>
            </w:r>
          </w:p>
        </w:tc>
        <w:tc>
          <w:tcPr>
            <w:tcW w:w="840" w:type="dxa"/>
            <w:vAlign w:val="bottom"/>
          </w:tcPr>
          <w:p>
            <w:pPr>
              <w:spacing w:after="0"/>
              <w:rPr>
                <w:sz w:val="14"/>
                <w:szCs w:val="14"/>
                <w:color w:val="auto"/>
              </w:rPr>
            </w:pPr>
          </w:p>
        </w:tc>
        <w:tc>
          <w:tcPr>
            <w:tcW w:w="540" w:type="dxa"/>
            <w:vAlign w:val="bottom"/>
          </w:tcPr>
          <w:p>
            <w:pPr>
              <w:jc w:val="right"/>
              <w:ind w:right="61"/>
              <w:spacing w:after="0"/>
              <w:rPr>
                <w:sz w:val="20"/>
                <w:szCs w:val="20"/>
                <w:color w:val="auto"/>
              </w:rPr>
            </w:pPr>
            <w:r>
              <w:rPr>
                <w:rFonts w:ascii="Arial" w:cs="Arial" w:eastAsia="Arial" w:hAnsi="Arial"/>
                <w:sz w:val="12"/>
                <w:szCs w:val="12"/>
                <w:color w:val="auto"/>
              </w:rPr>
              <w:t>94</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jc w:val="right"/>
              <w:ind w:right="60"/>
              <w:spacing w:after="0"/>
              <w:rPr>
                <w:sz w:val="20"/>
                <w:szCs w:val="20"/>
                <w:color w:val="auto"/>
              </w:rPr>
            </w:pPr>
            <w:r>
              <w:rPr>
                <w:rFonts w:ascii="Arial" w:cs="Arial" w:eastAsia="Arial" w:hAnsi="Arial"/>
                <w:sz w:val="12"/>
                <w:szCs w:val="12"/>
                <w:color w:val="auto"/>
              </w:rPr>
              <w:t>15</w:t>
            </w:r>
          </w:p>
        </w:tc>
      </w:tr>
      <w:tr>
        <w:trPr>
          <w:trHeight w:val="189"/>
        </w:trPr>
        <w:tc>
          <w:tcPr>
            <w:tcW w:w="86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Net distributions and return of capital to NRG prior to the acquisition of Drop Down Assets</w:t>
            </w:r>
          </w:p>
        </w:tc>
        <w:tc>
          <w:tcPr>
            <w:tcW w:w="8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(26)</w:t>
            </w:r>
          </w:p>
        </w:tc>
      </w:tr>
      <w:tr>
        <w:trPr>
          <w:trHeight w:val="171"/>
        </w:trPr>
        <w:tc>
          <w:tcPr>
            <w:tcW w:w="8620" w:type="dxa"/>
            <w:vAlign w:val="bottom"/>
          </w:tcPr>
          <w:p>
            <w:pPr>
              <w:ind w:left="240"/>
              <w:spacing w:after="0"/>
              <w:rPr>
                <w:sz w:val="20"/>
                <w:szCs w:val="20"/>
                <w:color w:val="auto"/>
              </w:rPr>
            </w:pPr>
            <w:r>
              <w:rPr>
                <w:rFonts w:ascii="Arial" w:cs="Arial" w:eastAsia="Arial" w:hAnsi="Arial"/>
                <w:sz w:val="12"/>
                <w:szCs w:val="12"/>
                <w:color w:val="auto"/>
              </w:rPr>
              <w:t>Net proceeds from the issuance of common stock</w:t>
            </w:r>
          </w:p>
        </w:tc>
        <w:tc>
          <w:tcPr>
            <w:tcW w:w="840" w:type="dxa"/>
            <w:vAlign w:val="bottom"/>
          </w:tcPr>
          <w:p>
            <w:pPr>
              <w:spacing w:after="0"/>
              <w:rPr>
                <w:sz w:val="14"/>
                <w:szCs w:val="14"/>
                <w:color w:val="auto"/>
              </w:rPr>
            </w:pPr>
          </w:p>
        </w:tc>
        <w:tc>
          <w:tcPr>
            <w:tcW w:w="540" w:type="dxa"/>
            <w:vAlign w:val="bottom"/>
          </w:tcPr>
          <w:p>
            <w:pPr>
              <w:jc w:val="right"/>
              <w:ind w:right="61"/>
              <w:spacing w:after="0"/>
              <w:rPr>
                <w:sz w:val="20"/>
                <w:szCs w:val="20"/>
                <w:color w:val="auto"/>
              </w:rPr>
            </w:pPr>
            <w:r>
              <w:rPr>
                <w:rFonts w:ascii="Arial" w:cs="Arial" w:eastAsia="Arial" w:hAnsi="Arial"/>
                <w:sz w:val="12"/>
                <w:szCs w:val="12"/>
                <w:color w:val="auto"/>
              </w:rPr>
              <w:t>75</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jc w:val="right"/>
              <w:ind w:right="60"/>
              <w:spacing w:after="0"/>
              <w:rPr>
                <w:sz w:val="20"/>
                <w:szCs w:val="20"/>
                <w:color w:val="auto"/>
              </w:rPr>
            </w:pPr>
            <w:r>
              <w:rPr>
                <w:rFonts w:ascii="Arial" w:cs="Arial" w:eastAsia="Arial" w:hAnsi="Arial"/>
                <w:sz w:val="12"/>
                <w:szCs w:val="12"/>
                <w:color w:val="auto"/>
              </w:rPr>
              <w:t>16</w:t>
            </w:r>
          </w:p>
        </w:tc>
      </w:tr>
      <w:tr>
        <w:trPr>
          <w:trHeight w:val="189"/>
        </w:trPr>
        <w:tc>
          <w:tcPr>
            <w:tcW w:w="86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Payments of dividends and distributions</w:t>
            </w:r>
          </w:p>
        </w:tc>
        <w:tc>
          <w:tcPr>
            <w:tcW w:w="8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(113)</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(97)</w:t>
            </w:r>
          </w:p>
        </w:tc>
      </w:tr>
      <w:tr>
        <w:trPr>
          <w:trHeight w:val="171"/>
        </w:trPr>
        <w:tc>
          <w:tcPr>
            <w:tcW w:w="8620" w:type="dxa"/>
            <w:vAlign w:val="bottom"/>
          </w:tcPr>
          <w:p>
            <w:pPr>
              <w:ind w:left="240"/>
              <w:spacing w:after="0"/>
              <w:rPr>
                <w:sz w:val="20"/>
                <w:szCs w:val="20"/>
                <w:color w:val="auto"/>
              </w:rPr>
            </w:pPr>
            <w:r>
              <w:rPr>
                <w:rFonts w:ascii="Arial" w:cs="Arial" w:eastAsia="Arial" w:hAnsi="Arial"/>
                <w:sz w:val="12"/>
                <w:szCs w:val="12"/>
                <w:color w:val="auto"/>
              </w:rPr>
              <w:t>Payments of debt issuance costs</w:t>
            </w:r>
          </w:p>
        </w:tc>
        <w:tc>
          <w:tcPr>
            <w:tcW w:w="840" w:type="dxa"/>
            <w:vAlign w:val="bottom"/>
          </w:tcPr>
          <w:p>
            <w:pPr>
              <w:spacing w:after="0"/>
              <w:rPr>
                <w:sz w:val="14"/>
                <w:szCs w:val="14"/>
                <w:color w:val="auto"/>
              </w:rPr>
            </w:pPr>
          </w:p>
        </w:tc>
        <w:tc>
          <w:tcPr>
            <w:tcW w:w="540" w:type="dxa"/>
            <w:vAlign w:val="bottom"/>
          </w:tcPr>
          <w:p>
            <w:pPr>
              <w:jc w:val="right"/>
              <w:ind w:right="21"/>
              <w:spacing w:after="0"/>
              <w:rPr>
                <w:sz w:val="20"/>
                <w:szCs w:val="20"/>
                <w:color w:val="auto"/>
              </w:rPr>
            </w:pPr>
            <w:r>
              <w:rPr>
                <w:rFonts w:ascii="Arial" w:cs="Arial" w:eastAsia="Arial" w:hAnsi="Arial"/>
                <w:sz w:val="12"/>
                <w:szCs w:val="12"/>
                <w:color w:val="auto"/>
              </w:rPr>
              <w:t>(5)</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jc w:val="right"/>
              <w:ind w:right="20"/>
              <w:spacing w:after="0"/>
              <w:rPr>
                <w:sz w:val="20"/>
                <w:szCs w:val="20"/>
                <w:color w:val="auto"/>
              </w:rPr>
            </w:pPr>
            <w:r>
              <w:rPr>
                <w:rFonts w:ascii="Arial" w:cs="Arial" w:eastAsia="Arial" w:hAnsi="Arial"/>
                <w:sz w:val="12"/>
                <w:szCs w:val="12"/>
                <w:color w:val="auto"/>
              </w:rPr>
              <w:t>(12)</w:t>
            </w:r>
          </w:p>
        </w:tc>
      </w:tr>
      <w:tr>
        <w:trPr>
          <w:trHeight w:val="189"/>
        </w:trPr>
        <w:tc>
          <w:tcPr>
            <w:tcW w:w="86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Proceeds from the revolving credit facility</w:t>
            </w:r>
          </w:p>
        </w:tc>
        <w:tc>
          <w:tcPr>
            <w:tcW w:w="8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35</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8620" w:type="dxa"/>
            <w:vAlign w:val="bottom"/>
          </w:tcPr>
          <w:p>
            <w:pPr>
              <w:ind w:left="240"/>
              <w:spacing w:after="0"/>
              <w:rPr>
                <w:sz w:val="20"/>
                <w:szCs w:val="20"/>
                <w:color w:val="auto"/>
              </w:rPr>
            </w:pPr>
            <w:r>
              <w:rPr>
                <w:rFonts w:ascii="Arial" w:cs="Arial" w:eastAsia="Arial" w:hAnsi="Arial"/>
                <w:sz w:val="12"/>
                <w:szCs w:val="12"/>
                <w:color w:val="auto"/>
              </w:rPr>
              <w:t>Payments for the revolving credit facility</w:t>
            </w:r>
          </w:p>
        </w:tc>
        <w:tc>
          <w:tcPr>
            <w:tcW w:w="840" w:type="dxa"/>
            <w:vAlign w:val="bottom"/>
          </w:tcPr>
          <w:p>
            <w:pPr>
              <w:spacing w:after="0"/>
              <w:rPr>
                <w:sz w:val="14"/>
                <w:szCs w:val="14"/>
                <w:color w:val="auto"/>
              </w:rPr>
            </w:pPr>
          </w:p>
        </w:tc>
        <w:tc>
          <w:tcPr>
            <w:tcW w:w="540" w:type="dxa"/>
            <w:vAlign w:val="bottom"/>
          </w:tcPr>
          <w:p>
            <w:pPr>
              <w:jc w:val="right"/>
              <w:ind w:right="21"/>
              <w:spacing w:after="0"/>
              <w:rPr>
                <w:sz w:val="20"/>
                <w:szCs w:val="20"/>
                <w:color w:val="auto"/>
              </w:rPr>
            </w:pPr>
            <w:r>
              <w:rPr>
                <w:rFonts w:ascii="Arial" w:cs="Arial" w:eastAsia="Arial" w:hAnsi="Arial"/>
                <w:sz w:val="12"/>
                <w:szCs w:val="12"/>
                <w:color w:val="auto"/>
              </w:rPr>
              <w:t>(90)</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86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Proceeds from the issuance of long-term debt</w:t>
            </w:r>
          </w:p>
        </w:tc>
        <w:tc>
          <w:tcPr>
            <w:tcW w:w="8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227</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99</w:t>
            </w:r>
          </w:p>
        </w:tc>
      </w:tr>
      <w:tr>
        <w:trPr>
          <w:trHeight w:val="171"/>
        </w:trPr>
        <w:tc>
          <w:tcPr>
            <w:tcW w:w="862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Payments for long-term debt</w:t>
            </w:r>
          </w:p>
        </w:tc>
        <w:tc>
          <w:tcPr>
            <w:tcW w:w="8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(285)</w:t>
            </w:r>
          </w:p>
        </w:tc>
        <w:tc>
          <w:tcPr>
            <w:tcW w:w="1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(172)</w:t>
            </w:r>
          </w:p>
        </w:tc>
      </w:tr>
      <w:tr>
        <w:trPr>
          <w:trHeight w:val="178"/>
        </w:trPr>
        <w:tc>
          <w:tcPr>
            <w:tcW w:w="86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Net Cash Used in Financing Activities</w:t>
            </w:r>
          </w:p>
        </w:tc>
        <w:tc>
          <w:tcPr>
            <w:tcW w:w="8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(62)</w:t>
            </w:r>
          </w:p>
        </w:tc>
        <w:tc>
          <w:tcPr>
            <w:tcW w:w="12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(177)</w:t>
            </w:r>
          </w:p>
        </w:tc>
      </w:tr>
      <w:tr>
        <w:trPr>
          <w:trHeight w:val="160"/>
        </w:trPr>
        <w:tc>
          <w:tcPr>
            <w:tcW w:w="8620" w:type="dxa"/>
            <w:vAlign w:val="bottom"/>
          </w:tcPr>
          <w:p>
            <w:pPr>
              <w:ind w:left="20"/>
              <w:spacing w:after="0"/>
              <w:rPr>
                <w:sz w:val="20"/>
                <w:szCs w:val="20"/>
                <w:color w:val="auto"/>
              </w:rPr>
            </w:pPr>
            <w:r>
              <w:rPr>
                <w:rFonts w:ascii="Arial" w:cs="Arial" w:eastAsia="Arial" w:hAnsi="Arial"/>
                <w:sz w:val="12"/>
                <w:szCs w:val="12"/>
                <w:b w:val="1"/>
                <w:bCs w:val="1"/>
                <w:color w:val="auto"/>
              </w:rPr>
              <w:t>Net Decrease in Cash, Cash Equivalents and Restricted Cash</w:t>
            </w:r>
          </w:p>
        </w:tc>
        <w:tc>
          <w:tcPr>
            <w:tcW w:w="840" w:type="dxa"/>
            <w:vAlign w:val="bottom"/>
          </w:tcPr>
          <w:p>
            <w:pPr>
              <w:spacing w:after="0"/>
              <w:rPr>
                <w:sz w:val="13"/>
                <w:szCs w:val="13"/>
                <w:color w:val="auto"/>
              </w:rPr>
            </w:pPr>
          </w:p>
        </w:tc>
        <w:tc>
          <w:tcPr>
            <w:tcW w:w="540" w:type="dxa"/>
            <w:vAlign w:val="bottom"/>
          </w:tcPr>
          <w:p>
            <w:pPr>
              <w:jc w:val="right"/>
              <w:ind w:right="21"/>
              <w:spacing w:after="0"/>
              <w:rPr>
                <w:sz w:val="20"/>
                <w:szCs w:val="20"/>
                <w:color w:val="auto"/>
              </w:rPr>
            </w:pPr>
            <w:r>
              <w:rPr>
                <w:rFonts w:ascii="Arial" w:cs="Arial" w:eastAsia="Arial" w:hAnsi="Arial"/>
                <w:sz w:val="12"/>
                <w:szCs w:val="12"/>
                <w:color w:val="auto"/>
              </w:rPr>
              <w:t>(47)</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jc w:val="right"/>
              <w:ind w:right="20"/>
              <w:spacing w:after="0"/>
              <w:rPr>
                <w:sz w:val="20"/>
                <w:szCs w:val="20"/>
                <w:color w:val="auto"/>
              </w:rPr>
            </w:pPr>
            <w:r>
              <w:rPr>
                <w:rFonts w:ascii="Arial" w:cs="Arial" w:eastAsia="Arial" w:hAnsi="Arial"/>
                <w:sz w:val="12"/>
                <w:szCs w:val="12"/>
                <w:color w:val="auto"/>
              </w:rPr>
              <w:t>(198)</w:t>
            </w:r>
          </w:p>
        </w:tc>
      </w:tr>
      <w:tr>
        <w:trPr>
          <w:trHeight w:val="180"/>
        </w:trPr>
        <w:tc>
          <w:tcPr>
            <w:tcW w:w="86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Cash, Cash Equivalents and Restricted Cash at Beginning of Period</w:t>
            </w:r>
          </w:p>
        </w:tc>
        <w:tc>
          <w:tcPr>
            <w:tcW w:w="8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316</w:t>
            </w:r>
          </w:p>
        </w:tc>
        <w:tc>
          <w:tcPr>
            <w:tcW w:w="12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498</w:t>
            </w:r>
          </w:p>
        </w:tc>
      </w:tr>
      <w:tr>
        <w:trPr>
          <w:trHeight w:val="185"/>
        </w:trPr>
        <w:tc>
          <w:tcPr>
            <w:tcW w:w="8620" w:type="dxa"/>
            <w:vAlign w:val="bottom"/>
          </w:tcPr>
          <w:p>
            <w:pPr>
              <w:ind w:left="20"/>
              <w:spacing w:after="0"/>
              <w:rPr>
                <w:sz w:val="20"/>
                <w:szCs w:val="20"/>
                <w:color w:val="auto"/>
              </w:rPr>
            </w:pPr>
            <w:r>
              <w:rPr>
                <w:rFonts w:ascii="Arial" w:cs="Arial" w:eastAsia="Arial" w:hAnsi="Arial"/>
                <w:sz w:val="12"/>
                <w:szCs w:val="12"/>
                <w:b w:val="1"/>
                <w:bCs w:val="1"/>
                <w:color w:val="auto"/>
              </w:rPr>
              <w:t>Cash, Cash Equivalents and Restricted Cash at End of Period</w:t>
            </w:r>
          </w:p>
        </w:tc>
        <w:tc>
          <w:tcPr>
            <w:tcW w:w="840" w:type="dxa"/>
            <w:vAlign w:val="bottom"/>
            <w:tcBorders>
              <w:bottom w:val="single" w:sz="8" w:color="auto"/>
            </w:tcBorders>
          </w:tcPr>
          <w:p>
            <w:pPr>
              <w:jc w:val="right"/>
              <w:ind w:right="731"/>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269</w:t>
            </w:r>
          </w:p>
        </w:tc>
        <w:tc>
          <w:tcPr>
            <w:tcW w:w="120" w:type="dxa"/>
            <w:vAlign w:val="bottom"/>
          </w:tcPr>
          <w:p>
            <w:pPr>
              <w:spacing w:after="0"/>
              <w:rPr>
                <w:sz w:val="16"/>
                <w:szCs w:val="16"/>
                <w:color w:val="auto"/>
              </w:rPr>
            </w:pPr>
          </w:p>
        </w:tc>
        <w:tc>
          <w:tcPr>
            <w:tcW w:w="50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131445</wp:posOffset>
            </wp:positionV>
            <wp:extent cx="142430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4305" cy="571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vertAlign w:val="superscript"/>
        </w:rPr>
        <w:t>(a)</w:t>
      </w:r>
      <w:r>
        <w:rPr>
          <w:rFonts w:ascii="Arial" w:cs="Arial" w:eastAsia="Arial" w:hAnsi="Arial"/>
          <w:sz w:val="11"/>
          <w:szCs w:val="11"/>
          <w:color w:val="auto"/>
        </w:rPr>
        <w:t xml:space="preserve"> Retrospectively adjusted as discussed in Note 1, </w:t>
      </w:r>
      <w:r>
        <w:rPr>
          <w:rFonts w:ascii="Arial" w:cs="Arial" w:eastAsia="Arial" w:hAnsi="Arial"/>
          <w:sz w:val="11"/>
          <w:szCs w:val="11"/>
          <w:i w:val="1"/>
          <w:iCs w:val="1"/>
          <w:color w:val="auto"/>
        </w:rPr>
        <w:t>Nature of Business</w:t>
      </w:r>
      <w:r>
        <w:rPr>
          <w:rFonts w:ascii="Arial" w:cs="Arial" w:eastAsia="Arial" w:hAnsi="Arial"/>
          <w:sz w:val="11"/>
          <w:szCs w:val="11"/>
          <w:color w:val="auto"/>
        </w:rPr>
        <w: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480"/>
          </w:cols>
          <w:pgMar w:left="220" w:top="505" w:right="199" w:bottom="1440" w:gutter="0" w:footer="0" w:header="0"/>
        </w:sectPr>
      </w:pPr>
    </w:p>
    <w:bookmarkStart w:id="10" w:name="page11"/>
    <w:bookmarkEnd w:id="10"/>
    <w:p>
      <w:pPr>
        <w:jc w:val="center"/>
        <w:spacing w:after="0"/>
        <w:rPr>
          <w:sz w:val="20"/>
          <w:szCs w:val="20"/>
          <w:color w:val="auto"/>
        </w:rPr>
      </w:pPr>
      <w:r>
        <w:rPr>
          <w:rFonts w:ascii="Arial" w:cs="Arial" w:eastAsia="Arial" w:hAnsi="Arial"/>
          <w:sz w:val="12"/>
          <w:szCs w:val="12"/>
          <w:b w:val="1"/>
          <w:bCs w:val="1"/>
          <w:color w:val="auto"/>
        </w:rPr>
        <w:t>NRG YIELD, INC.</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Note 1 — </w:t>
      </w:r>
      <w:r>
        <w:rPr>
          <w:rFonts w:ascii="Arial" w:cs="Arial" w:eastAsia="Arial" w:hAnsi="Arial"/>
          <w:sz w:val="12"/>
          <w:szCs w:val="12"/>
          <w:b w:val="1"/>
          <w:bCs w:val="1"/>
          <w:i w:val="1"/>
          <w:iCs w:val="1"/>
          <w:color w:val="auto"/>
        </w:rPr>
        <w:t>Nature of Business</w:t>
      </w:r>
    </w:p>
    <w:p>
      <w:pPr>
        <w:spacing w:after="0" w:line="172"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NRG Yield, Inc., together with its consolidated subsidiaries, or the Company, is a dividend growth-oriented company that has historically served as the primary vehicle through which NRG owns, operates and acquires contracted renewable and conventional generation and thermal infrastructure assets.</w:t>
      </w:r>
    </w:p>
    <w:p>
      <w:pPr>
        <w:spacing w:after="0" w:line="79" w:lineRule="exact"/>
        <w:rPr>
          <w:sz w:val="20"/>
          <w:szCs w:val="20"/>
          <w:color w:val="auto"/>
        </w:rPr>
      </w:pPr>
    </w:p>
    <w:p>
      <w:pPr>
        <w:jc w:val="both"/>
        <w:ind w:firstLine="270"/>
        <w:spacing w:after="0" w:line="320" w:lineRule="auto"/>
        <w:rPr>
          <w:sz w:val="20"/>
          <w:szCs w:val="20"/>
          <w:color w:val="auto"/>
        </w:rPr>
      </w:pPr>
      <w:r>
        <w:rPr>
          <w:rFonts w:ascii="Arial" w:cs="Arial" w:eastAsia="Arial" w:hAnsi="Arial"/>
          <w:sz w:val="10"/>
          <w:szCs w:val="10"/>
          <w:color w:val="auto"/>
        </w:rPr>
        <w:t xml:space="preserve">The Company believes it is well positioned to be a premier company for investors seeking stable and growing dividend income from a diversified portfolio of lower-risk assets. The Company owns a diversified portfolio of contracted renewable and conventional generation and thermal infrastructure assets in the U.S. The Company’s contracted generation portfolio collectively represents </w:t>
      </w:r>
      <w:r>
        <w:rPr>
          <w:rFonts w:ascii="Arial" w:cs="Arial" w:eastAsia="Arial" w:hAnsi="Arial"/>
          <w:sz w:val="10"/>
          <w:szCs w:val="10"/>
          <w:color w:val="231F20"/>
        </w:rPr>
        <w:t>5,118 net MW</w:t>
      </w:r>
      <w:r>
        <w:rPr>
          <w:rFonts w:ascii="Arial" w:cs="Arial" w:eastAsia="Arial" w:hAnsi="Arial"/>
          <w:sz w:val="10"/>
          <w:szCs w:val="10"/>
          <w:color w:val="auto"/>
        </w:rPr>
        <w:t xml:space="preserve"> as of June 30, 2018</w:t>
      </w:r>
      <w:r>
        <w:rPr>
          <w:rFonts w:ascii="Arial" w:cs="Arial" w:eastAsia="Arial" w:hAnsi="Arial"/>
          <w:sz w:val="10"/>
          <w:szCs w:val="10"/>
          <w:color w:val="231F20"/>
        </w:rPr>
        <w:t>. Nearly all</w:t>
      </w:r>
      <w:r>
        <w:rPr>
          <w:rFonts w:ascii="Arial" w:cs="Arial" w:eastAsia="Arial" w:hAnsi="Arial"/>
          <w:sz w:val="10"/>
          <w:szCs w:val="10"/>
          <w:color w:val="auto"/>
        </w:rPr>
        <w:t xml:space="preserve"> of these assets sell substantially all of their output pursuant to long-term offtake agreements with creditworthy counterparties. The weighted average remaining contract duration of these offtake agreements was approximately </w:t>
      </w:r>
      <w:r>
        <w:rPr>
          <w:rFonts w:ascii="Arial" w:cs="Arial" w:eastAsia="Arial" w:hAnsi="Arial"/>
          <w:sz w:val="10"/>
          <w:szCs w:val="10"/>
          <w:color w:val="231F20"/>
        </w:rPr>
        <w:t>15 years as of</w:t>
      </w:r>
      <w:r>
        <w:rPr>
          <w:rFonts w:ascii="Arial" w:cs="Arial" w:eastAsia="Arial" w:hAnsi="Arial"/>
          <w:sz w:val="10"/>
          <w:szCs w:val="10"/>
          <w:color w:val="auto"/>
        </w:rPr>
        <w:t xml:space="preserve"> June 30, 2018 </w:t>
      </w:r>
      <w:r>
        <w:rPr>
          <w:rFonts w:ascii="Arial" w:cs="Arial" w:eastAsia="Arial" w:hAnsi="Arial"/>
          <w:sz w:val="10"/>
          <w:szCs w:val="10"/>
          <w:color w:val="231F20"/>
        </w:rPr>
        <w:t>based on CAFD. The</w:t>
      </w:r>
      <w:r>
        <w:rPr>
          <w:rFonts w:ascii="Arial" w:cs="Arial" w:eastAsia="Arial" w:hAnsi="Arial"/>
          <w:sz w:val="10"/>
          <w:szCs w:val="10"/>
          <w:color w:val="auto"/>
        </w:rPr>
        <w:t xml:space="preserve"> </w:t>
      </w:r>
      <w:r>
        <w:rPr>
          <w:rFonts w:ascii="Arial" w:cs="Arial" w:eastAsia="Arial" w:hAnsi="Arial"/>
          <w:sz w:val="10"/>
          <w:szCs w:val="10"/>
          <w:color w:val="231F20"/>
        </w:rPr>
        <w:t>Company also owns thermal infrastructure assets with an aggregate steam and chilled water capacity of 1,392 net MWt and electric generation capacity of 133 net MW. These thermal infrastructure assets provide steam, hot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8" w:lineRule="exact"/>
        <w:rPr>
          <w:sz w:val="20"/>
          <w:szCs w:val="20"/>
          <w:color w:val="auto"/>
        </w:rPr>
      </w:pPr>
    </w:p>
    <w:p>
      <w:pPr>
        <w:jc w:val="both"/>
        <w:ind w:right="20" w:firstLine="270"/>
        <w:spacing w:after="0" w:line="276" w:lineRule="auto"/>
        <w:rPr>
          <w:sz w:val="20"/>
          <w:szCs w:val="20"/>
          <w:color w:val="auto"/>
        </w:rPr>
      </w:pPr>
      <w:r>
        <w:rPr>
          <w:rFonts w:ascii="Arial" w:cs="Arial" w:eastAsia="Arial" w:hAnsi="Arial"/>
          <w:sz w:val="12"/>
          <w:szCs w:val="12"/>
          <w:color w:val="auto"/>
        </w:rPr>
        <w:t>NRG Yield, Inc. consolidates the results of NRG Yield LLC through its controlling interest, with NRG's interest shown as noncontrolling interest in the financial statements. The holders of NRG Yield, Inc.'s outstanding shares of Class A and Class C common stock are entitled to dividends as declared. NRG receives its distributions from NRG Yield LLC through its ownership of NRG Yield LLC Class B and Class D units.</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following table represents the structure of the Company as of 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2168525</wp:posOffset>
            </wp:positionH>
            <wp:positionV relativeFrom="paragraph">
              <wp:posOffset>55245</wp:posOffset>
            </wp:positionV>
            <wp:extent cx="3117215" cy="25222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17215" cy="252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480"/>
          </w:cols>
          <w:pgMar w:left="220" w:top="505" w:right="199" w:bottom="1440" w:gutter="0" w:footer="0" w:header="0"/>
        </w:sectPr>
      </w:pPr>
    </w:p>
    <w:bookmarkStart w:id="11" w:name="page12"/>
    <w:bookmarkEnd w:id="11"/>
    <w:p>
      <w:pPr>
        <w:jc w:val="both"/>
        <w:ind w:firstLine="261"/>
        <w:spacing w:after="0" w:line="257" w:lineRule="auto"/>
        <w:rPr>
          <w:sz w:val="20"/>
          <w:szCs w:val="20"/>
          <w:color w:val="auto"/>
        </w:rPr>
      </w:pPr>
      <w:r>
        <w:rPr>
          <w:rFonts w:ascii="Arial" w:cs="Arial" w:eastAsia="Arial" w:hAnsi="Arial"/>
          <w:sz w:val="12"/>
          <w:szCs w:val="12"/>
          <w:color w:val="auto"/>
        </w:rPr>
        <w:t>On February 6, 2018, Global Infrastructure Partners, or GIP, entered into a purchase and sale agreement with NRG, or the NRG Transaction, for the acquisition of NRG's full ownership interests in the Company and NRG's renewable development and operations platform. The NRG Transaction is subject to certain closing conditions, including customary legal and regulatory approvals. As of July 31, 2018, all regulatory approvals have been obtained and the Company expects the NRG Transaction to close in the third quarter of 2018. NRG is currently the Company's controlling stockholder and the Company has been highly dependent on NRG for, among other things, growth opportunities and management and administration services. In connection with the NRG Transaction, the Company entered into a Consent and Indemnity Agreement with NRG and GIP setting forth key terms and conditions of the Company's consent to the NRG Transaction.</w:t>
      </w:r>
    </w:p>
    <w:p>
      <w:pPr>
        <w:spacing w:after="0" w:line="90" w:lineRule="exact"/>
        <w:rPr>
          <w:sz w:val="20"/>
          <w:szCs w:val="20"/>
          <w:color w:val="auto"/>
        </w:rPr>
      </w:pPr>
    </w:p>
    <w:p>
      <w:pPr>
        <w:jc w:val="both"/>
        <w:ind w:right="20" w:firstLine="261"/>
        <w:spacing w:after="0" w:line="276" w:lineRule="auto"/>
        <w:rPr>
          <w:sz w:val="20"/>
          <w:szCs w:val="20"/>
          <w:color w:val="auto"/>
        </w:rPr>
      </w:pPr>
      <w:r>
        <w:rPr>
          <w:rFonts w:ascii="Arial" w:cs="Arial" w:eastAsia="Arial" w:hAnsi="Arial"/>
          <w:sz w:val="12"/>
          <w:szCs w:val="12"/>
          <w:color w:val="auto"/>
        </w:rPr>
        <w:t xml:space="preserve">For further discussion of the NRG Transaction, refer to Item 1 - </w:t>
      </w:r>
      <w:r>
        <w:rPr>
          <w:rFonts w:ascii="Arial" w:cs="Arial" w:eastAsia="Arial" w:hAnsi="Arial"/>
          <w:sz w:val="12"/>
          <w:szCs w:val="12"/>
          <w:i w:val="1"/>
          <w:iCs w:val="1"/>
          <w:color w:val="auto"/>
        </w:rPr>
        <w:t>Business</w:t>
      </w:r>
      <w:r>
        <w:rPr>
          <w:rFonts w:ascii="Arial" w:cs="Arial" w:eastAsia="Arial" w:hAnsi="Arial"/>
          <w:sz w:val="12"/>
          <w:szCs w:val="12"/>
          <w:color w:val="auto"/>
        </w:rPr>
        <w:t xml:space="preserve"> in the Company's 2017 Form 10-K. For risks related to the NRG Transaction and the Company's relationship with NRG see Part I, Item 1A, </w:t>
      </w:r>
      <w:r>
        <w:rPr>
          <w:rFonts w:ascii="Arial" w:cs="Arial" w:eastAsia="Arial" w:hAnsi="Arial"/>
          <w:sz w:val="12"/>
          <w:szCs w:val="12"/>
          <w:i w:val="1"/>
          <w:iCs w:val="1"/>
          <w:color w:val="auto"/>
        </w:rPr>
        <w:t>Risk Factors</w:t>
      </w:r>
      <w:r>
        <w:rPr>
          <w:rFonts w:ascii="Arial" w:cs="Arial" w:eastAsia="Arial" w:hAnsi="Arial"/>
          <w:sz w:val="12"/>
          <w:szCs w:val="12"/>
          <w:color w:val="auto"/>
        </w:rPr>
        <w:t xml:space="preserve"> in the Company's 2017 Form 10-K.</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2"/>
          <w:szCs w:val="12"/>
          <w:color w:val="auto"/>
        </w:rPr>
        <w:t>As of June 30, 2018, the Company's operating assets are comprised of the following projects: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Projects</w:t>
            </w:r>
          </w:p>
        </w:tc>
        <w:tc>
          <w:tcPr>
            <w:tcW w:w="120" w:type="dxa"/>
            <w:vAlign w:val="bottom"/>
            <w:tcBorders>
              <w:bottom w:val="single" w:sz="8" w:color="CCEEFF"/>
            </w:tcBorders>
          </w:tcPr>
          <w:p>
            <w:pPr>
              <w:spacing w:after="0"/>
              <w:rPr>
                <w:sz w:val="11"/>
                <w:szCs w:val="11"/>
                <w:color w:val="auto"/>
              </w:rPr>
            </w:pPr>
          </w:p>
        </w:tc>
        <w:tc>
          <w:tcPr>
            <w:tcW w:w="11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w w:val="94"/>
              </w:rPr>
              <w:t>Percentage Ownership</w:t>
            </w:r>
          </w:p>
        </w:tc>
        <w:tc>
          <w:tcPr>
            <w:tcW w:w="120" w:type="dxa"/>
            <w:vAlign w:val="bottom"/>
            <w:tcBorders>
              <w:bottom w:val="single" w:sz="8" w:color="CCEEFF"/>
            </w:tcBorders>
          </w:tcPr>
          <w:p>
            <w:pPr>
              <w:spacing w:after="0"/>
              <w:rPr>
                <w:sz w:val="11"/>
                <w:szCs w:val="11"/>
                <w:color w:val="auto"/>
              </w:rPr>
            </w:pP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Net Capacity (MW)</w:t>
            </w:r>
            <w:r>
              <w:rPr>
                <w:rFonts w:ascii="Arial" w:cs="Arial" w:eastAsia="Arial" w:hAnsi="Arial"/>
                <w:sz w:val="5"/>
                <w:szCs w:val="5"/>
                <w:b w:val="1"/>
                <w:bCs w:val="1"/>
                <w:color w:val="auto"/>
              </w:rPr>
              <w:t>(a)</w:t>
            </w:r>
          </w:p>
        </w:tc>
        <w:tc>
          <w:tcPr>
            <w:tcW w:w="120" w:type="dxa"/>
            <w:vAlign w:val="bottom"/>
            <w:tcBorders>
              <w:bottom w:val="single" w:sz="8" w:color="CCEEFF"/>
            </w:tcBorders>
          </w:tcPr>
          <w:p>
            <w:pPr>
              <w:spacing w:after="0"/>
              <w:rPr>
                <w:sz w:val="11"/>
                <w:szCs w:val="11"/>
                <w:color w:val="auto"/>
              </w:rPr>
            </w:pPr>
          </w:p>
        </w:tc>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Offtake Counterparty</w:t>
            </w:r>
          </w:p>
        </w:tc>
        <w:tc>
          <w:tcPr>
            <w:tcW w:w="120" w:type="dxa"/>
            <w:vAlign w:val="bottom"/>
            <w:tcBorders>
              <w:bottom w:val="single" w:sz="8" w:color="CCEEFF"/>
            </w:tcBorders>
          </w:tcPr>
          <w:p>
            <w:pPr>
              <w:spacing w:after="0"/>
              <w:rPr>
                <w:sz w:val="11"/>
                <w:szCs w:val="11"/>
                <w:color w:val="auto"/>
              </w:rPr>
            </w:pPr>
          </w:p>
        </w:tc>
        <w:tc>
          <w:tcPr>
            <w:tcW w:w="1140" w:type="dxa"/>
            <w:vAlign w:val="bottom"/>
            <w:tcBorders>
              <w:bottom w:val="single" w:sz="8" w:color="auto"/>
            </w:tcBorders>
          </w:tcPr>
          <w:p>
            <w:pPr>
              <w:ind w:left="340"/>
              <w:spacing w:after="0"/>
              <w:rPr>
                <w:sz w:val="20"/>
                <w:szCs w:val="20"/>
                <w:color w:val="auto"/>
              </w:rPr>
            </w:pPr>
            <w:r>
              <w:rPr>
                <w:rFonts w:ascii="Arial" w:cs="Arial" w:eastAsia="Arial" w:hAnsi="Arial"/>
                <w:sz w:val="10"/>
                <w:szCs w:val="10"/>
                <w:b w:val="1"/>
                <w:bCs w:val="1"/>
                <w:color w:val="auto"/>
              </w:rPr>
              <w:t>Expiration</w:t>
            </w:r>
          </w:p>
        </w:tc>
      </w:tr>
      <w:tr>
        <w:trPr>
          <w:trHeight w:val="173"/>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0"/>
                <w:szCs w:val="10"/>
                <w:i w:val="1"/>
                <w:iCs w:val="1"/>
                <w:color w:val="auto"/>
              </w:rPr>
              <w:t>Conventional</w:t>
            </w: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76"/>
        </w:trPr>
        <w:tc>
          <w:tcPr>
            <w:tcW w:w="4360" w:type="dxa"/>
            <w:vAlign w:val="bottom"/>
            <w:gridSpan w:val="2"/>
          </w:tcPr>
          <w:p>
            <w:pPr>
              <w:ind w:left="180"/>
              <w:spacing w:after="0"/>
              <w:rPr>
                <w:sz w:val="20"/>
                <w:szCs w:val="20"/>
                <w:color w:val="auto"/>
              </w:rPr>
            </w:pPr>
            <w:r>
              <w:rPr>
                <w:rFonts w:ascii="Arial" w:cs="Arial" w:eastAsia="Arial" w:hAnsi="Arial"/>
                <w:sz w:val="10"/>
                <w:szCs w:val="10"/>
                <w:color w:val="auto"/>
              </w:rPr>
              <w:t>El Segundo</w:t>
            </w:r>
          </w:p>
        </w:tc>
        <w:tc>
          <w:tcPr>
            <w:tcW w:w="1160" w:type="dxa"/>
            <w:vAlign w:val="bottom"/>
          </w:tcPr>
          <w:p>
            <w:pPr>
              <w:jc w:val="right"/>
              <w:spacing w:after="0"/>
              <w:rPr>
                <w:sz w:val="20"/>
                <w:szCs w:val="20"/>
                <w:color w:val="auto"/>
              </w:rPr>
            </w:pPr>
            <w:r>
              <w:rPr>
                <w:rFonts w:ascii="Arial" w:cs="Arial" w:eastAsia="Arial" w:hAnsi="Arial"/>
                <w:sz w:val="10"/>
                <w:szCs w:val="10"/>
                <w:color w:val="auto"/>
              </w:rPr>
              <w:t>100%</w:t>
            </w:r>
          </w:p>
        </w:tc>
        <w:tc>
          <w:tcPr>
            <w:tcW w:w="120" w:type="dxa"/>
            <w:vAlign w:val="bottom"/>
          </w:tcPr>
          <w:p>
            <w:pPr>
              <w:spacing w:after="0"/>
              <w:rPr>
                <w:sz w:val="15"/>
                <w:szCs w:val="15"/>
                <w:color w:val="auto"/>
              </w:rPr>
            </w:pPr>
          </w:p>
        </w:tc>
        <w:tc>
          <w:tcPr>
            <w:tcW w:w="1140" w:type="dxa"/>
            <w:vAlign w:val="bottom"/>
          </w:tcPr>
          <w:p>
            <w:pPr>
              <w:jc w:val="right"/>
              <w:ind w:right="72"/>
              <w:spacing w:after="0"/>
              <w:rPr>
                <w:sz w:val="20"/>
                <w:szCs w:val="20"/>
                <w:color w:val="auto"/>
              </w:rPr>
            </w:pPr>
            <w:r>
              <w:rPr>
                <w:rFonts w:ascii="Arial" w:cs="Arial" w:eastAsia="Arial" w:hAnsi="Arial"/>
                <w:sz w:val="10"/>
                <w:szCs w:val="10"/>
                <w:color w:val="auto"/>
              </w:rPr>
              <w:t>550</w:t>
            </w:r>
          </w:p>
        </w:tc>
        <w:tc>
          <w:tcPr>
            <w:tcW w:w="120" w:type="dxa"/>
            <w:vAlign w:val="bottom"/>
          </w:tcPr>
          <w:p>
            <w:pPr>
              <w:spacing w:after="0"/>
              <w:rPr>
                <w:sz w:val="15"/>
                <w:szCs w:val="15"/>
                <w:color w:val="auto"/>
              </w:rPr>
            </w:pPr>
          </w:p>
        </w:tc>
        <w:tc>
          <w:tcPr>
            <w:tcW w:w="3440" w:type="dxa"/>
            <w:vAlign w:val="bottom"/>
            <w:gridSpan w:val="2"/>
          </w:tcPr>
          <w:p>
            <w:pPr>
              <w:jc w:val="center"/>
              <w:ind w:right="120"/>
              <w:spacing w:after="0"/>
              <w:rPr>
                <w:sz w:val="20"/>
                <w:szCs w:val="20"/>
                <w:color w:val="auto"/>
              </w:rPr>
            </w:pPr>
            <w:r>
              <w:rPr>
                <w:rFonts w:ascii="Arial" w:cs="Arial" w:eastAsia="Arial" w:hAnsi="Arial"/>
                <w:sz w:val="10"/>
                <w:szCs w:val="10"/>
                <w:color w:val="auto"/>
                <w:w w:val="87"/>
              </w:rPr>
              <w:t>Southern California Edison</w:t>
            </w:r>
          </w:p>
        </w:tc>
        <w:tc>
          <w:tcPr>
            <w:tcW w:w="1140" w:type="dxa"/>
            <w:vAlign w:val="bottom"/>
          </w:tcPr>
          <w:p>
            <w:pPr>
              <w:jc w:val="center"/>
              <w:spacing w:after="0"/>
              <w:rPr>
                <w:sz w:val="20"/>
                <w:szCs w:val="20"/>
                <w:color w:val="auto"/>
              </w:rPr>
            </w:pPr>
            <w:r>
              <w:rPr>
                <w:rFonts w:ascii="Arial" w:cs="Arial" w:eastAsia="Arial" w:hAnsi="Arial"/>
                <w:sz w:val="10"/>
                <w:szCs w:val="10"/>
                <w:color w:val="auto"/>
                <w:w w:val="89"/>
              </w:rPr>
              <w:t>2023</w:t>
            </w:r>
          </w:p>
        </w:tc>
      </w:tr>
      <w:tr>
        <w:trPr>
          <w:trHeight w:val="184"/>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GenConn Devon</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95</w:t>
            </w:r>
          </w:p>
        </w:tc>
        <w:tc>
          <w:tcPr>
            <w:tcW w:w="120" w:type="dxa"/>
            <w:vAlign w:val="bottom"/>
            <w:shd w:val="clear" w:color="auto" w:fill="CCEEFF"/>
          </w:tcPr>
          <w:p>
            <w:pPr>
              <w:spacing w:after="0"/>
              <w:rPr>
                <w:sz w:val="16"/>
                <w:szCs w:val="16"/>
                <w:color w:val="auto"/>
              </w:rPr>
            </w:pPr>
          </w:p>
        </w:tc>
        <w:tc>
          <w:tcPr>
            <w:tcW w:w="344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89"/>
              </w:rPr>
              <w:t>Connecticut Light &amp; Power</w:t>
            </w:r>
          </w:p>
        </w:tc>
        <w:tc>
          <w:tcPr>
            <w:tcW w:w="11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2040</w:t>
            </w:r>
          </w:p>
        </w:tc>
      </w:tr>
      <w:tr>
        <w:trPr>
          <w:trHeight w:val="176"/>
        </w:trPr>
        <w:tc>
          <w:tcPr>
            <w:tcW w:w="4360" w:type="dxa"/>
            <w:vAlign w:val="bottom"/>
            <w:gridSpan w:val="2"/>
          </w:tcPr>
          <w:p>
            <w:pPr>
              <w:ind w:left="180"/>
              <w:spacing w:after="0"/>
              <w:rPr>
                <w:sz w:val="20"/>
                <w:szCs w:val="20"/>
                <w:color w:val="auto"/>
              </w:rPr>
            </w:pPr>
            <w:r>
              <w:rPr>
                <w:rFonts w:ascii="Arial" w:cs="Arial" w:eastAsia="Arial" w:hAnsi="Arial"/>
                <w:sz w:val="10"/>
                <w:szCs w:val="10"/>
                <w:color w:val="auto"/>
              </w:rPr>
              <w:t>GenConn Middletown</w:t>
            </w:r>
          </w:p>
        </w:tc>
        <w:tc>
          <w:tcPr>
            <w:tcW w:w="1160" w:type="dxa"/>
            <w:vAlign w:val="bottom"/>
          </w:tcPr>
          <w:p>
            <w:pPr>
              <w:jc w:val="right"/>
              <w:spacing w:after="0"/>
              <w:rPr>
                <w:sz w:val="20"/>
                <w:szCs w:val="20"/>
                <w:color w:val="auto"/>
              </w:rPr>
            </w:pPr>
            <w:r>
              <w:rPr>
                <w:rFonts w:ascii="Arial" w:cs="Arial" w:eastAsia="Arial" w:hAnsi="Arial"/>
                <w:sz w:val="10"/>
                <w:szCs w:val="10"/>
                <w:color w:val="auto"/>
              </w:rPr>
              <w:t>50%</w:t>
            </w:r>
          </w:p>
        </w:tc>
        <w:tc>
          <w:tcPr>
            <w:tcW w:w="120" w:type="dxa"/>
            <w:vAlign w:val="bottom"/>
          </w:tcPr>
          <w:p>
            <w:pPr>
              <w:spacing w:after="0"/>
              <w:rPr>
                <w:sz w:val="15"/>
                <w:szCs w:val="15"/>
                <w:color w:val="auto"/>
              </w:rPr>
            </w:pPr>
          </w:p>
        </w:tc>
        <w:tc>
          <w:tcPr>
            <w:tcW w:w="1140" w:type="dxa"/>
            <w:vAlign w:val="bottom"/>
          </w:tcPr>
          <w:p>
            <w:pPr>
              <w:jc w:val="right"/>
              <w:ind w:right="72"/>
              <w:spacing w:after="0"/>
              <w:rPr>
                <w:sz w:val="20"/>
                <w:szCs w:val="20"/>
                <w:color w:val="auto"/>
              </w:rPr>
            </w:pPr>
            <w:r>
              <w:rPr>
                <w:rFonts w:ascii="Arial" w:cs="Arial" w:eastAsia="Arial" w:hAnsi="Arial"/>
                <w:sz w:val="10"/>
                <w:szCs w:val="10"/>
                <w:color w:val="auto"/>
              </w:rPr>
              <w:t>95</w:t>
            </w:r>
          </w:p>
        </w:tc>
        <w:tc>
          <w:tcPr>
            <w:tcW w:w="120" w:type="dxa"/>
            <w:vAlign w:val="bottom"/>
          </w:tcPr>
          <w:p>
            <w:pPr>
              <w:spacing w:after="0"/>
              <w:rPr>
                <w:sz w:val="15"/>
                <w:szCs w:val="15"/>
                <w:color w:val="auto"/>
              </w:rPr>
            </w:pPr>
          </w:p>
        </w:tc>
        <w:tc>
          <w:tcPr>
            <w:tcW w:w="3440" w:type="dxa"/>
            <w:vAlign w:val="bottom"/>
            <w:gridSpan w:val="2"/>
          </w:tcPr>
          <w:p>
            <w:pPr>
              <w:jc w:val="center"/>
              <w:ind w:right="100"/>
              <w:spacing w:after="0"/>
              <w:rPr>
                <w:sz w:val="20"/>
                <w:szCs w:val="20"/>
                <w:color w:val="auto"/>
              </w:rPr>
            </w:pPr>
            <w:r>
              <w:rPr>
                <w:rFonts w:ascii="Arial" w:cs="Arial" w:eastAsia="Arial" w:hAnsi="Arial"/>
                <w:sz w:val="10"/>
                <w:szCs w:val="10"/>
                <w:color w:val="auto"/>
                <w:w w:val="89"/>
              </w:rPr>
              <w:t>Connecticut Light &amp; Power</w:t>
            </w:r>
          </w:p>
        </w:tc>
        <w:tc>
          <w:tcPr>
            <w:tcW w:w="1140" w:type="dxa"/>
            <w:vAlign w:val="bottom"/>
          </w:tcPr>
          <w:p>
            <w:pPr>
              <w:jc w:val="center"/>
              <w:spacing w:after="0"/>
              <w:rPr>
                <w:sz w:val="20"/>
                <w:szCs w:val="20"/>
                <w:color w:val="auto"/>
              </w:rPr>
            </w:pPr>
            <w:r>
              <w:rPr>
                <w:rFonts w:ascii="Arial" w:cs="Arial" w:eastAsia="Arial" w:hAnsi="Arial"/>
                <w:sz w:val="10"/>
                <w:szCs w:val="10"/>
                <w:color w:val="auto"/>
                <w:w w:val="89"/>
              </w:rPr>
              <w:t>2041</w:t>
            </w:r>
          </w:p>
        </w:tc>
      </w:tr>
      <w:tr>
        <w:trPr>
          <w:trHeight w:val="184"/>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Marsh Landing</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720</w:t>
            </w:r>
          </w:p>
        </w:tc>
        <w:tc>
          <w:tcPr>
            <w:tcW w:w="120" w:type="dxa"/>
            <w:vAlign w:val="bottom"/>
            <w:shd w:val="clear" w:color="auto" w:fill="CCEEFF"/>
          </w:tcPr>
          <w:p>
            <w:pPr>
              <w:spacing w:after="0"/>
              <w:rPr>
                <w:sz w:val="16"/>
                <w:szCs w:val="16"/>
                <w:color w:val="auto"/>
              </w:rPr>
            </w:pPr>
          </w:p>
        </w:tc>
        <w:tc>
          <w:tcPr>
            <w:tcW w:w="3440" w:type="dxa"/>
            <w:vAlign w:val="bottom"/>
            <w:gridSpan w:val="2"/>
            <w:shd w:val="clear" w:color="auto" w:fill="CCEEFF"/>
          </w:tcPr>
          <w:p>
            <w:pPr>
              <w:jc w:val="center"/>
              <w:ind w:right="120"/>
              <w:spacing w:after="0"/>
              <w:rPr>
                <w:sz w:val="20"/>
                <w:szCs w:val="20"/>
                <w:color w:val="auto"/>
              </w:rPr>
            </w:pPr>
            <w:r>
              <w:rPr>
                <w:rFonts w:ascii="Arial" w:cs="Arial" w:eastAsia="Arial" w:hAnsi="Arial"/>
                <w:sz w:val="10"/>
                <w:szCs w:val="10"/>
                <w:color w:val="auto"/>
                <w:w w:val="87"/>
              </w:rPr>
              <w:t>Pacific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2023</w:t>
            </w:r>
          </w:p>
        </w:tc>
      </w:tr>
      <w:tr>
        <w:trPr>
          <w:trHeight w:val="176"/>
        </w:trPr>
        <w:tc>
          <w:tcPr>
            <w:tcW w:w="4360" w:type="dxa"/>
            <w:vAlign w:val="bottom"/>
            <w:tcBorders>
              <w:bottom w:val="single" w:sz="8" w:color="CCEEFF"/>
            </w:tcBorders>
            <w:gridSpan w:val="2"/>
          </w:tcPr>
          <w:p>
            <w:pPr>
              <w:ind w:left="180"/>
              <w:spacing w:after="0"/>
              <w:rPr>
                <w:sz w:val="20"/>
                <w:szCs w:val="20"/>
                <w:color w:val="auto"/>
              </w:rPr>
            </w:pPr>
            <w:r>
              <w:rPr>
                <w:rFonts w:ascii="Arial" w:cs="Arial" w:eastAsia="Arial" w:hAnsi="Arial"/>
                <w:sz w:val="10"/>
                <w:szCs w:val="10"/>
                <w:color w:val="auto"/>
              </w:rPr>
              <w:t>Walnut Creek</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0"/>
                <w:szCs w:val="10"/>
                <w:color w:val="auto"/>
              </w:rPr>
              <w:t>100%</w:t>
            </w:r>
          </w:p>
        </w:tc>
        <w:tc>
          <w:tcPr>
            <w:tcW w:w="12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485</w:t>
            </w:r>
          </w:p>
        </w:tc>
        <w:tc>
          <w:tcPr>
            <w:tcW w:w="120" w:type="dxa"/>
            <w:vAlign w:val="bottom"/>
            <w:tcBorders>
              <w:bottom w:val="single" w:sz="8" w:color="CCEEFF"/>
            </w:tcBorders>
          </w:tcPr>
          <w:p>
            <w:pPr>
              <w:spacing w:after="0"/>
              <w:rPr>
                <w:sz w:val="15"/>
                <w:szCs w:val="15"/>
                <w:color w:val="auto"/>
              </w:rPr>
            </w:pPr>
          </w:p>
        </w:tc>
        <w:tc>
          <w:tcPr>
            <w:tcW w:w="344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0"/>
                <w:szCs w:val="10"/>
                <w:color w:val="auto"/>
                <w:w w:val="87"/>
              </w:rPr>
              <w:t>Southern California Edison</w:t>
            </w: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0"/>
                <w:szCs w:val="10"/>
                <w:color w:val="auto"/>
                <w:w w:val="89"/>
              </w:rPr>
              <w:t>2023</w:t>
            </w:r>
          </w:p>
        </w:tc>
      </w:tr>
      <w:tr>
        <w:trPr>
          <w:trHeight w:val="164"/>
        </w:trPr>
        <w:tc>
          <w:tcPr>
            <w:tcW w:w="4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1,945</w:t>
            </w:r>
          </w:p>
        </w:tc>
        <w:tc>
          <w:tcPr>
            <w:tcW w:w="120" w:type="dxa"/>
            <w:vAlign w:val="bottom"/>
            <w:shd w:val="clear" w:color="auto" w:fill="CCEEFF"/>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65"/>
        </w:trPr>
        <w:tc>
          <w:tcPr>
            <w:tcW w:w="4360" w:type="dxa"/>
            <w:vAlign w:val="bottom"/>
            <w:gridSpan w:val="2"/>
          </w:tcPr>
          <w:p>
            <w:pPr>
              <w:ind w:left="20"/>
              <w:spacing w:after="0"/>
              <w:rPr>
                <w:sz w:val="20"/>
                <w:szCs w:val="20"/>
                <w:color w:val="auto"/>
              </w:rPr>
            </w:pPr>
            <w:r>
              <w:rPr>
                <w:rFonts w:ascii="Arial" w:cs="Arial" w:eastAsia="Arial" w:hAnsi="Arial"/>
                <w:sz w:val="10"/>
                <w:szCs w:val="10"/>
                <w:i w:val="1"/>
                <w:iCs w:val="1"/>
                <w:color w:val="auto"/>
              </w:rPr>
              <w:t>Utility Scale Solar</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4"/>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Agua Caliente</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46</w:t>
            </w:r>
          </w:p>
        </w:tc>
        <w:tc>
          <w:tcPr>
            <w:tcW w:w="120" w:type="dxa"/>
            <w:vAlign w:val="bottom"/>
            <w:shd w:val="clear" w:color="auto" w:fill="CCEEFF"/>
          </w:tcPr>
          <w:p>
            <w:pPr>
              <w:spacing w:after="0"/>
              <w:rPr>
                <w:sz w:val="16"/>
                <w:szCs w:val="16"/>
                <w:color w:val="auto"/>
              </w:rPr>
            </w:pPr>
          </w:p>
        </w:tc>
        <w:tc>
          <w:tcPr>
            <w:tcW w:w="3440" w:type="dxa"/>
            <w:vAlign w:val="bottom"/>
            <w:gridSpan w:val="2"/>
            <w:shd w:val="clear" w:color="auto" w:fill="CCEEFF"/>
          </w:tcPr>
          <w:p>
            <w:pPr>
              <w:jc w:val="center"/>
              <w:ind w:right="120"/>
              <w:spacing w:after="0"/>
              <w:rPr>
                <w:sz w:val="20"/>
                <w:szCs w:val="20"/>
                <w:color w:val="auto"/>
              </w:rPr>
            </w:pPr>
            <w:r>
              <w:rPr>
                <w:rFonts w:ascii="Arial" w:cs="Arial" w:eastAsia="Arial" w:hAnsi="Arial"/>
                <w:sz w:val="10"/>
                <w:szCs w:val="10"/>
                <w:color w:val="auto"/>
                <w:w w:val="87"/>
              </w:rPr>
              <w:t>Pacific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2039</w:t>
            </w:r>
          </w:p>
        </w:tc>
      </w:tr>
      <w:tr>
        <w:trPr>
          <w:trHeight w:val="176"/>
        </w:trPr>
        <w:tc>
          <w:tcPr>
            <w:tcW w:w="4360" w:type="dxa"/>
            <w:vAlign w:val="bottom"/>
            <w:gridSpan w:val="2"/>
          </w:tcPr>
          <w:p>
            <w:pPr>
              <w:ind w:left="180"/>
              <w:spacing w:after="0"/>
              <w:rPr>
                <w:sz w:val="20"/>
                <w:szCs w:val="20"/>
                <w:color w:val="auto"/>
              </w:rPr>
            </w:pPr>
            <w:r>
              <w:rPr>
                <w:rFonts w:ascii="Arial" w:cs="Arial" w:eastAsia="Arial" w:hAnsi="Arial"/>
                <w:sz w:val="10"/>
                <w:szCs w:val="10"/>
                <w:color w:val="auto"/>
              </w:rPr>
              <w:t>Alpine</w:t>
            </w:r>
          </w:p>
        </w:tc>
        <w:tc>
          <w:tcPr>
            <w:tcW w:w="1160" w:type="dxa"/>
            <w:vAlign w:val="bottom"/>
          </w:tcPr>
          <w:p>
            <w:pPr>
              <w:jc w:val="right"/>
              <w:spacing w:after="0"/>
              <w:rPr>
                <w:sz w:val="20"/>
                <w:szCs w:val="20"/>
                <w:color w:val="auto"/>
              </w:rPr>
            </w:pPr>
            <w:r>
              <w:rPr>
                <w:rFonts w:ascii="Arial" w:cs="Arial" w:eastAsia="Arial" w:hAnsi="Arial"/>
                <w:sz w:val="10"/>
                <w:szCs w:val="10"/>
                <w:color w:val="auto"/>
              </w:rPr>
              <w:t>100%</w:t>
            </w:r>
          </w:p>
        </w:tc>
        <w:tc>
          <w:tcPr>
            <w:tcW w:w="120" w:type="dxa"/>
            <w:vAlign w:val="bottom"/>
          </w:tcPr>
          <w:p>
            <w:pPr>
              <w:spacing w:after="0"/>
              <w:rPr>
                <w:sz w:val="15"/>
                <w:szCs w:val="15"/>
                <w:color w:val="auto"/>
              </w:rPr>
            </w:pPr>
          </w:p>
        </w:tc>
        <w:tc>
          <w:tcPr>
            <w:tcW w:w="1140" w:type="dxa"/>
            <w:vAlign w:val="bottom"/>
          </w:tcPr>
          <w:p>
            <w:pPr>
              <w:jc w:val="right"/>
              <w:ind w:right="72"/>
              <w:spacing w:after="0"/>
              <w:rPr>
                <w:sz w:val="20"/>
                <w:szCs w:val="20"/>
                <w:color w:val="auto"/>
              </w:rPr>
            </w:pPr>
            <w:r>
              <w:rPr>
                <w:rFonts w:ascii="Arial" w:cs="Arial" w:eastAsia="Arial" w:hAnsi="Arial"/>
                <w:sz w:val="10"/>
                <w:szCs w:val="10"/>
                <w:color w:val="auto"/>
              </w:rPr>
              <w:t>66</w:t>
            </w:r>
          </w:p>
        </w:tc>
        <w:tc>
          <w:tcPr>
            <w:tcW w:w="120" w:type="dxa"/>
            <w:vAlign w:val="bottom"/>
          </w:tcPr>
          <w:p>
            <w:pPr>
              <w:spacing w:after="0"/>
              <w:rPr>
                <w:sz w:val="15"/>
                <w:szCs w:val="15"/>
                <w:color w:val="auto"/>
              </w:rPr>
            </w:pPr>
          </w:p>
        </w:tc>
        <w:tc>
          <w:tcPr>
            <w:tcW w:w="3440" w:type="dxa"/>
            <w:vAlign w:val="bottom"/>
            <w:gridSpan w:val="2"/>
          </w:tcPr>
          <w:p>
            <w:pPr>
              <w:jc w:val="center"/>
              <w:ind w:right="120"/>
              <w:spacing w:after="0"/>
              <w:rPr>
                <w:sz w:val="20"/>
                <w:szCs w:val="20"/>
                <w:color w:val="auto"/>
              </w:rPr>
            </w:pPr>
            <w:r>
              <w:rPr>
                <w:rFonts w:ascii="Arial" w:cs="Arial" w:eastAsia="Arial" w:hAnsi="Arial"/>
                <w:sz w:val="10"/>
                <w:szCs w:val="10"/>
                <w:color w:val="auto"/>
                <w:w w:val="87"/>
              </w:rPr>
              <w:t>Pacific Gas and Electric</w:t>
            </w:r>
          </w:p>
        </w:tc>
        <w:tc>
          <w:tcPr>
            <w:tcW w:w="1140" w:type="dxa"/>
            <w:vAlign w:val="bottom"/>
          </w:tcPr>
          <w:p>
            <w:pPr>
              <w:jc w:val="center"/>
              <w:spacing w:after="0"/>
              <w:rPr>
                <w:sz w:val="20"/>
                <w:szCs w:val="20"/>
                <w:color w:val="auto"/>
              </w:rPr>
            </w:pPr>
            <w:r>
              <w:rPr>
                <w:rFonts w:ascii="Arial" w:cs="Arial" w:eastAsia="Arial" w:hAnsi="Arial"/>
                <w:sz w:val="10"/>
                <w:szCs w:val="10"/>
                <w:color w:val="auto"/>
                <w:w w:val="89"/>
              </w:rPr>
              <w:t>2033</w:t>
            </w:r>
          </w:p>
        </w:tc>
      </w:tr>
      <w:tr>
        <w:trPr>
          <w:trHeight w:val="184"/>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Avenal</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23</w:t>
            </w:r>
          </w:p>
        </w:tc>
        <w:tc>
          <w:tcPr>
            <w:tcW w:w="120" w:type="dxa"/>
            <w:vAlign w:val="bottom"/>
            <w:shd w:val="clear" w:color="auto" w:fill="CCEEFF"/>
          </w:tcPr>
          <w:p>
            <w:pPr>
              <w:spacing w:after="0"/>
              <w:rPr>
                <w:sz w:val="16"/>
                <w:szCs w:val="16"/>
                <w:color w:val="auto"/>
              </w:rPr>
            </w:pPr>
          </w:p>
        </w:tc>
        <w:tc>
          <w:tcPr>
            <w:tcW w:w="3440" w:type="dxa"/>
            <w:vAlign w:val="bottom"/>
            <w:gridSpan w:val="2"/>
            <w:shd w:val="clear" w:color="auto" w:fill="CCEEFF"/>
          </w:tcPr>
          <w:p>
            <w:pPr>
              <w:jc w:val="center"/>
              <w:ind w:right="120"/>
              <w:spacing w:after="0"/>
              <w:rPr>
                <w:sz w:val="20"/>
                <w:szCs w:val="20"/>
                <w:color w:val="auto"/>
              </w:rPr>
            </w:pPr>
            <w:r>
              <w:rPr>
                <w:rFonts w:ascii="Arial" w:cs="Arial" w:eastAsia="Arial" w:hAnsi="Arial"/>
                <w:sz w:val="10"/>
                <w:szCs w:val="10"/>
                <w:color w:val="auto"/>
                <w:w w:val="87"/>
              </w:rPr>
              <w:t>Pacific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2031</w:t>
            </w:r>
          </w:p>
        </w:tc>
      </w:tr>
      <w:tr>
        <w:trPr>
          <w:trHeight w:val="176"/>
        </w:trPr>
        <w:tc>
          <w:tcPr>
            <w:tcW w:w="4360" w:type="dxa"/>
            <w:vAlign w:val="bottom"/>
            <w:gridSpan w:val="2"/>
          </w:tcPr>
          <w:p>
            <w:pPr>
              <w:ind w:left="180"/>
              <w:spacing w:after="0"/>
              <w:rPr>
                <w:sz w:val="20"/>
                <w:szCs w:val="20"/>
                <w:color w:val="auto"/>
              </w:rPr>
            </w:pPr>
            <w:r>
              <w:rPr>
                <w:rFonts w:ascii="Arial" w:cs="Arial" w:eastAsia="Arial" w:hAnsi="Arial"/>
                <w:sz w:val="10"/>
                <w:szCs w:val="10"/>
                <w:color w:val="auto"/>
              </w:rPr>
              <w:t>Avra Valley</w:t>
            </w:r>
          </w:p>
        </w:tc>
        <w:tc>
          <w:tcPr>
            <w:tcW w:w="1160" w:type="dxa"/>
            <w:vAlign w:val="bottom"/>
          </w:tcPr>
          <w:p>
            <w:pPr>
              <w:jc w:val="right"/>
              <w:spacing w:after="0"/>
              <w:rPr>
                <w:sz w:val="20"/>
                <w:szCs w:val="20"/>
                <w:color w:val="auto"/>
              </w:rPr>
            </w:pPr>
            <w:r>
              <w:rPr>
                <w:rFonts w:ascii="Arial" w:cs="Arial" w:eastAsia="Arial" w:hAnsi="Arial"/>
                <w:sz w:val="10"/>
                <w:szCs w:val="10"/>
                <w:color w:val="auto"/>
              </w:rPr>
              <w:t>100%</w:t>
            </w:r>
          </w:p>
        </w:tc>
        <w:tc>
          <w:tcPr>
            <w:tcW w:w="120" w:type="dxa"/>
            <w:vAlign w:val="bottom"/>
          </w:tcPr>
          <w:p>
            <w:pPr>
              <w:spacing w:after="0"/>
              <w:rPr>
                <w:sz w:val="15"/>
                <w:szCs w:val="15"/>
                <w:color w:val="auto"/>
              </w:rPr>
            </w:pPr>
          </w:p>
        </w:tc>
        <w:tc>
          <w:tcPr>
            <w:tcW w:w="1140" w:type="dxa"/>
            <w:vAlign w:val="bottom"/>
          </w:tcPr>
          <w:p>
            <w:pPr>
              <w:jc w:val="right"/>
              <w:ind w:right="72"/>
              <w:spacing w:after="0"/>
              <w:rPr>
                <w:sz w:val="20"/>
                <w:szCs w:val="20"/>
                <w:color w:val="auto"/>
              </w:rPr>
            </w:pPr>
            <w:r>
              <w:rPr>
                <w:rFonts w:ascii="Arial" w:cs="Arial" w:eastAsia="Arial" w:hAnsi="Arial"/>
                <w:sz w:val="10"/>
                <w:szCs w:val="10"/>
                <w:color w:val="auto"/>
              </w:rPr>
              <w:t>26</w:t>
            </w:r>
          </w:p>
        </w:tc>
        <w:tc>
          <w:tcPr>
            <w:tcW w:w="120" w:type="dxa"/>
            <w:vAlign w:val="bottom"/>
          </w:tcPr>
          <w:p>
            <w:pPr>
              <w:spacing w:after="0"/>
              <w:rPr>
                <w:sz w:val="15"/>
                <w:szCs w:val="15"/>
                <w:color w:val="auto"/>
              </w:rPr>
            </w:pPr>
          </w:p>
        </w:tc>
        <w:tc>
          <w:tcPr>
            <w:tcW w:w="3440" w:type="dxa"/>
            <w:vAlign w:val="bottom"/>
            <w:gridSpan w:val="2"/>
          </w:tcPr>
          <w:p>
            <w:pPr>
              <w:jc w:val="center"/>
              <w:ind w:right="120"/>
              <w:spacing w:after="0"/>
              <w:rPr>
                <w:sz w:val="20"/>
                <w:szCs w:val="20"/>
                <w:color w:val="auto"/>
              </w:rPr>
            </w:pPr>
            <w:r>
              <w:rPr>
                <w:rFonts w:ascii="Arial" w:cs="Arial" w:eastAsia="Arial" w:hAnsi="Arial"/>
                <w:sz w:val="10"/>
                <w:szCs w:val="10"/>
                <w:color w:val="auto"/>
                <w:w w:val="88"/>
              </w:rPr>
              <w:t>Tucson Electric Power</w:t>
            </w:r>
          </w:p>
        </w:tc>
        <w:tc>
          <w:tcPr>
            <w:tcW w:w="1140" w:type="dxa"/>
            <w:vAlign w:val="bottom"/>
          </w:tcPr>
          <w:p>
            <w:pPr>
              <w:jc w:val="center"/>
              <w:spacing w:after="0"/>
              <w:rPr>
                <w:sz w:val="20"/>
                <w:szCs w:val="20"/>
                <w:color w:val="auto"/>
              </w:rPr>
            </w:pPr>
            <w:r>
              <w:rPr>
                <w:rFonts w:ascii="Arial" w:cs="Arial" w:eastAsia="Arial" w:hAnsi="Arial"/>
                <w:sz w:val="10"/>
                <w:szCs w:val="10"/>
                <w:color w:val="auto"/>
                <w:w w:val="89"/>
              </w:rPr>
              <w:t>2032</w:t>
            </w:r>
          </w:p>
        </w:tc>
      </w:tr>
      <w:tr>
        <w:trPr>
          <w:trHeight w:val="184"/>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Blythe</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21</w:t>
            </w:r>
          </w:p>
        </w:tc>
        <w:tc>
          <w:tcPr>
            <w:tcW w:w="120" w:type="dxa"/>
            <w:vAlign w:val="bottom"/>
            <w:shd w:val="clear" w:color="auto" w:fill="CCEEFF"/>
          </w:tcPr>
          <w:p>
            <w:pPr>
              <w:spacing w:after="0"/>
              <w:rPr>
                <w:sz w:val="16"/>
                <w:szCs w:val="16"/>
                <w:color w:val="auto"/>
              </w:rPr>
            </w:pPr>
          </w:p>
        </w:tc>
        <w:tc>
          <w:tcPr>
            <w:tcW w:w="3440" w:type="dxa"/>
            <w:vAlign w:val="bottom"/>
            <w:gridSpan w:val="2"/>
            <w:shd w:val="clear" w:color="auto" w:fill="CCEEFF"/>
          </w:tcPr>
          <w:p>
            <w:pPr>
              <w:jc w:val="center"/>
              <w:ind w:right="120"/>
              <w:spacing w:after="0"/>
              <w:rPr>
                <w:sz w:val="20"/>
                <w:szCs w:val="20"/>
                <w:color w:val="auto"/>
              </w:rPr>
            </w:pPr>
            <w:r>
              <w:rPr>
                <w:rFonts w:ascii="Arial" w:cs="Arial" w:eastAsia="Arial" w:hAnsi="Arial"/>
                <w:sz w:val="10"/>
                <w:szCs w:val="10"/>
                <w:color w:val="auto"/>
                <w:w w:val="87"/>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2029</w:t>
            </w:r>
          </w:p>
        </w:tc>
      </w:tr>
      <w:tr>
        <w:trPr>
          <w:trHeight w:val="176"/>
        </w:trPr>
        <w:tc>
          <w:tcPr>
            <w:tcW w:w="4360" w:type="dxa"/>
            <w:vAlign w:val="bottom"/>
            <w:gridSpan w:val="2"/>
          </w:tcPr>
          <w:p>
            <w:pPr>
              <w:ind w:left="180"/>
              <w:spacing w:after="0"/>
              <w:rPr>
                <w:sz w:val="20"/>
                <w:szCs w:val="20"/>
                <w:color w:val="auto"/>
              </w:rPr>
            </w:pPr>
            <w:r>
              <w:rPr>
                <w:rFonts w:ascii="Arial" w:cs="Arial" w:eastAsia="Arial" w:hAnsi="Arial"/>
                <w:sz w:val="10"/>
                <w:szCs w:val="10"/>
                <w:color w:val="auto"/>
              </w:rPr>
              <w:t>Borrego</w:t>
            </w:r>
          </w:p>
        </w:tc>
        <w:tc>
          <w:tcPr>
            <w:tcW w:w="1160" w:type="dxa"/>
            <w:vAlign w:val="bottom"/>
          </w:tcPr>
          <w:p>
            <w:pPr>
              <w:jc w:val="right"/>
              <w:spacing w:after="0"/>
              <w:rPr>
                <w:sz w:val="20"/>
                <w:szCs w:val="20"/>
                <w:color w:val="auto"/>
              </w:rPr>
            </w:pPr>
            <w:r>
              <w:rPr>
                <w:rFonts w:ascii="Arial" w:cs="Arial" w:eastAsia="Arial" w:hAnsi="Arial"/>
                <w:sz w:val="10"/>
                <w:szCs w:val="10"/>
                <w:color w:val="auto"/>
              </w:rPr>
              <w:t>100%</w:t>
            </w:r>
          </w:p>
        </w:tc>
        <w:tc>
          <w:tcPr>
            <w:tcW w:w="120" w:type="dxa"/>
            <w:vAlign w:val="bottom"/>
          </w:tcPr>
          <w:p>
            <w:pPr>
              <w:spacing w:after="0"/>
              <w:rPr>
                <w:sz w:val="15"/>
                <w:szCs w:val="15"/>
                <w:color w:val="auto"/>
              </w:rPr>
            </w:pPr>
          </w:p>
        </w:tc>
        <w:tc>
          <w:tcPr>
            <w:tcW w:w="1140" w:type="dxa"/>
            <w:vAlign w:val="bottom"/>
          </w:tcPr>
          <w:p>
            <w:pPr>
              <w:jc w:val="right"/>
              <w:ind w:right="72"/>
              <w:spacing w:after="0"/>
              <w:rPr>
                <w:sz w:val="20"/>
                <w:szCs w:val="20"/>
                <w:color w:val="auto"/>
              </w:rPr>
            </w:pPr>
            <w:r>
              <w:rPr>
                <w:rFonts w:ascii="Arial" w:cs="Arial" w:eastAsia="Arial" w:hAnsi="Arial"/>
                <w:sz w:val="10"/>
                <w:szCs w:val="10"/>
                <w:color w:val="auto"/>
              </w:rPr>
              <w:t>26</w:t>
            </w:r>
          </w:p>
        </w:tc>
        <w:tc>
          <w:tcPr>
            <w:tcW w:w="120" w:type="dxa"/>
            <w:vAlign w:val="bottom"/>
          </w:tcPr>
          <w:p>
            <w:pPr>
              <w:spacing w:after="0"/>
              <w:rPr>
                <w:sz w:val="15"/>
                <w:szCs w:val="15"/>
                <w:color w:val="auto"/>
              </w:rPr>
            </w:pPr>
          </w:p>
        </w:tc>
        <w:tc>
          <w:tcPr>
            <w:tcW w:w="3440" w:type="dxa"/>
            <w:vAlign w:val="bottom"/>
            <w:gridSpan w:val="2"/>
          </w:tcPr>
          <w:p>
            <w:pPr>
              <w:jc w:val="center"/>
              <w:ind w:right="100"/>
              <w:spacing w:after="0"/>
              <w:rPr>
                <w:sz w:val="20"/>
                <w:szCs w:val="20"/>
                <w:color w:val="auto"/>
              </w:rPr>
            </w:pPr>
            <w:r>
              <w:rPr>
                <w:rFonts w:ascii="Arial" w:cs="Arial" w:eastAsia="Arial" w:hAnsi="Arial"/>
                <w:sz w:val="10"/>
                <w:szCs w:val="10"/>
                <w:color w:val="auto"/>
                <w:w w:val="86"/>
              </w:rPr>
              <w:t>San Diego Gas and Electric</w:t>
            </w:r>
          </w:p>
        </w:tc>
        <w:tc>
          <w:tcPr>
            <w:tcW w:w="1140" w:type="dxa"/>
            <w:vAlign w:val="bottom"/>
          </w:tcPr>
          <w:p>
            <w:pPr>
              <w:jc w:val="center"/>
              <w:spacing w:after="0"/>
              <w:rPr>
                <w:sz w:val="20"/>
                <w:szCs w:val="20"/>
                <w:color w:val="auto"/>
              </w:rPr>
            </w:pPr>
            <w:r>
              <w:rPr>
                <w:rFonts w:ascii="Arial" w:cs="Arial" w:eastAsia="Arial" w:hAnsi="Arial"/>
                <w:sz w:val="10"/>
                <w:szCs w:val="10"/>
                <w:color w:val="auto"/>
                <w:w w:val="89"/>
              </w:rPr>
              <w:t>2038</w:t>
            </w:r>
          </w:p>
        </w:tc>
      </w:tr>
      <w:tr>
        <w:trPr>
          <w:trHeight w:val="184"/>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CVSR</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250</w:t>
            </w:r>
          </w:p>
        </w:tc>
        <w:tc>
          <w:tcPr>
            <w:tcW w:w="120" w:type="dxa"/>
            <w:vAlign w:val="bottom"/>
            <w:shd w:val="clear" w:color="auto" w:fill="CCEEFF"/>
          </w:tcPr>
          <w:p>
            <w:pPr>
              <w:spacing w:after="0"/>
              <w:rPr>
                <w:sz w:val="16"/>
                <w:szCs w:val="16"/>
                <w:color w:val="auto"/>
              </w:rPr>
            </w:pPr>
          </w:p>
        </w:tc>
        <w:tc>
          <w:tcPr>
            <w:tcW w:w="3440" w:type="dxa"/>
            <w:vAlign w:val="bottom"/>
            <w:gridSpan w:val="2"/>
            <w:shd w:val="clear" w:color="auto" w:fill="CCEEFF"/>
          </w:tcPr>
          <w:p>
            <w:pPr>
              <w:jc w:val="center"/>
              <w:ind w:right="120"/>
              <w:spacing w:after="0"/>
              <w:rPr>
                <w:sz w:val="20"/>
                <w:szCs w:val="20"/>
                <w:color w:val="auto"/>
              </w:rPr>
            </w:pPr>
            <w:r>
              <w:rPr>
                <w:rFonts w:ascii="Arial" w:cs="Arial" w:eastAsia="Arial" w:hAnsi="Arial"/>
                <w:sz w:val="10"/>
                <w:szCs w:val="10"/>
                <w:color w:val="auto"/>
                <w:w w:val="87"/>
              </w:rPr>
              <w:t>Pacific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2038</w:t>
            </w:r>
          </w:p>
        </w:tc>
      </w:tr>
      <w:tr>
        <w:trPr>
          <w:trHeight w:val="176"/>
        </w:trPr>
        <w:tc>
          <w:tcPr>
            <w:tcW w:w="4360" w:type="dxa"/>
            <w:vAlign w:val="bottom"/>
            <w:gridSpan w:val="2"/>
          </w:tcPr>
          <w:p>
            <w:pPr>
              <w:ind w:left="180"/>
              <w:spacing w:after="0"/>
              <w:rPr>
                <w:sz w:val="20"/>
                <w:szCs w:val="20"/>
                <w:color w:val="auto"/>
              </w:rPr>
            </w:pPr>
            <w:r>
              <w:rPr>
                <w:rFonts w:ascii="Arial" w:cs="Arial" w:eastAsia="Arial" w:hAnsi="Arial"/>
                <w:sz w:val="10"/>
                <w:szCs w:val="10"/>
                <w:color w:val="auto"/>
              </w:rPr>
              <w:t>Desert Sunlight 250</w:t>
            </w:r>
          </w:p>
        </w:tc>
        <w:tc>
          <w:tcPr>
            <w:tcW w:w="1160" w:type="dxa"/>
            <w:vAlign w:val="bottom"/>
          </w:tcPr>
          <w:p>
            <w:pPr>
              <w:jc w:val="right"/>
              <w:spacing w:after="0"/>
              <w:rPr>
                <w:sz w:val="20"/>
                <w:szCs w:val="20"/>
                <w:color w:val="auto"/>
              </w:rPr>
            </w:pPr>
            <w:r>
              <w:rPr>
                <w:rFonts w:ascii="Arial" w:cs="Arial" w:eastAsia="Arial" w:hAnsi="Arial"/>
                <w:sz w:val="10"/>
                <w:szCs w:val="10"/>
                <w:color w:val="auto"/>
              </w:rPr>
              <w:t>25%</w:t>
            </w:r>
          </w:p>
        </w:tc>
        <w:tc>
          <w:tcPr>
            <w:tcW w:w="120" w:type="dxa"/>
            <w:vAlign w:val="bottom"/>
          </w:tcPr>
          <w:p>
            <w:pPr>
              <w:spacing w:after="0"/>
              <w:rPr>
                <w:sz w:val="15"/>
                <w:szCs w:val="15"/>
                <w:color w:val="auto"/>
              </w:rPr>
            </w:pPr>
          </w:p>
        </w:tc>
        <w:tc>
          <w:tcPr>
            <w:tcW w:w="1140" w:type="dxa"/>
            <w:vAlign w:val="bottom"/>
          </w:tcPr>
          <w:p>
            <w:pPr>
              <w:jc w:val="right"/>
              <w:ind w:right="72"/>
              <w:spacing w:after="0"/>
              <w:rPr>
                <w:sz w:val="20"/>
                <w:szCs w:val="20"/>
                <w:color w:val="auto"/>
              </w:rPr>
            </w:pPr>
            <w:r>
              <w:rPr>
                <w:rFonts w:ascii="Arial" w:cs="Arial" w:eastAsia="Arial" w:hAnsi="Arial"/>
                <w:sz w:val="10"/>
                <w:szCs w:val="10"/>
                <w:color w:val="auto"/>
              </w:rPr>
              <w:t>63</w:t>
            </w:r>
          </w:p>
        </w:tc>
        <w:tc>
          <w:tcPr>
            <w:tcW w:w="120" w:type="dxa"/>
            <w:vAlign w:val="bottom"/>
          </w:tcPr>
          <w:p>
            <w:pPr>
              <w:spacing w:after="0"/>
              <w:rPr>
                <w:sz w:val="15"/>
                <w:szCs w:val="15"/>
                <w:color w:val="auto"/>
              </w:rPr>
            </w:pPr>
          </w:p>
        </w:tc>
        <w:tc>
          <w:tcPr>
            <w:tcW w:w="3440" w:type="dxa"/>
            <w:vAlign w:val="bottom"/>
            <w:gridSpan w:val="2"/>
          </w:tcPr>
          <w:p>
            <w:pPr>
              <w:jc w:val="center"/>
              <w:ind w:right="120"/>
              <w:spacing w:after="0"/>
              <w:rPr>
                <w:sz w:val="20"/>
                <w:szCs w:val="20"/>
                <w:color w:val="auto"/>
              </w:rPr>
            </w:pPr>
            <w:r>
              <w:rPr>
                <w:rFonts w:ascii="Arial" w:cs="Arial" w:eastAsia="Arial" w:hAnsi="Arial"/>
                <w:sz w:val="10"/>
                <w:szCs w:val="10"/>
                <w:color w:val="auto"/>
                <w:w w:val="87"/>
              </w:rPr>
              <w:t>Southern California Edison</w:t>
            </w:r>
          </w:p>
        </w:tc>
        <w:tc>
          <w:tcPr>
            <w:tcW w:w="1140" w:type="dxa"/>
            <w:vAlign w:val="bottom"/>
          </w:tcPr>
          <w:p>
            <w:pPr>
              <w:jc w:val="center"/>
              <w:spacing w:after="0"/>
              <w:rPr>
                <w:sz w:val="20"/>
                <w:szCs w:val="20"/>
                <w:color w:val="auto"/>
              </w:rPr>
            </w:pPr>
            <w:r>
              <w:rPr>
                <w:rFonts w:ascii="Arial" w:cs="Arial" w:eastAsia="Arial" w:hAnsi="Arial"/>
                <w:sz w:val="10"/>
                <w:szCs w:val="10"/>
                <w:color w:val="auto"/>
                <w:w w:val="89"/>
              </w:rPr>
              <w:t>2034</w:t>
            </w:r>
          </w:p>
        </w:tc>
      </w:tr>
      <w:tr>
        <w:trPr>
          <w:trHeight w:val="184"/>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Desert Sunlight 300</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75</w:t>
            </w:r>
          </w:p>
        </w:tc>
        <w:tc>
          <w:tcPr>
            <w:tcW w:w="120" w:type="dxa"/>
            <w:vAlign w:val="bottom"/>
            <w:shd w:val="clear" w:color="auto" w:fill="CCEEFF"/>
          </w:tcPr>
          <w:p>
            <w:pPr>
              <w:spacing w:after="0"/>
              <w:rPr>
                <w:sz w:val="16"/>
                <w:szCs w:val="16"/>
                <w:color w:val="auto"/>
              </w:rPr>
            </w:pPr>
          </w:p>
        </w:tc>
        <w:tc>
          <w:tcPr>
            <w:tcW w:w="3440" w:type="dxa"/>
            <w:vAlign w:val="bottom"/>
            <w:gridSpan w:val="2"/>
            <w:shd w:val="clear" w:color="auto" w:fill="CCEEFF"/>
          </w:tcPr>
          <w:p>
            <w:pPr>
              <w:jc w:val="center"/>
              <w:ind w:right="120"/>
              <w:spacing w:after="0"/>
              <w:rPr>
                <w:sz w:val="20"/>
                <w:szCs w:val="20"/>
                <w:color w:val="auto"/>
              </w:rPr>
            </w:pPr>
            <w:r>
              <w:rPr>
                <w:rFonts w:ascii="Arial" w:cs="Arial" w:eastAsia="Arial" w:hAnsi="Arial"/>
                <w:sz w:val="10"/>
                <w:szCs w:val="10"/>
                <w:color w:val="auto"/>
                <w:w w:val="87"/>
              </w:rPr>
              <w:t>Pacific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2039</w:t>
            </w:r>
          </w:p>
        </w:tc>
      </w:tr>
      <w:tr>
        <w:trPr>
          <w:trHeight w:val="176"/>
        </w:trPr>
        <w:tc>
          <w:tcPr>
            <w:tcW w:w="4360" w:type="dxa"/>
            <w:vAlign w:val="bottom"/>
            <w:gridSpan w:val="2"/>
          </w:tcPr>
          <w:p>
            <w:pPr>
              <w:ind w:left="180"/>
              <w:spacing w:after="0"/>
              <w:rPr>
                <w:sz w:val="20"/>
                <w:szCs w:val="20"/>
                <w:color w:val="auto"/>
              </w:rPr>
            </w:pPr>
            <w:r>
              <w:rPr>
                <w:rFonts w:ascii="Arial" w:cs="Arial" w:eastAsia="Arial" w:hAnsi="Arial"/>
                <w:sz w:val="10"/>
                <w:szCs w:val="10"/>
                <w:color w:val="auto"/>
              </w:rPr>
              <w:t>Kansas South</w:t>
            </w:r>
          </w:p>
        </w:tc>
        <w:tc>
          <w:tcPr>
            <w:tcW w:w="1160" w:type="dxa"/>
            <w:vAlign w:val="bottom"/>
          </w:tcPr>
          <w:p>
            <w:pPr>
              <w:jc w:val="right"/>
              <w:spacing w:after="0"/>
              <w:rPr>
                <w:sz w:val="20"/>
                <w:szCs w:val="20"/>
                <w:color w:val="auto"/>
              </w:rPr>
            </w:pPr>
            <w:r>
              <w:rPr>
                <w:rFonts w:ascii="Arial" w:cs="Arial" w:eastAsia="Arial" w:hAnsi="Arial"/>
                <w:sz w:val="10"/>
                <w:szCs w:val="10"/>
                <w:color w:val="auto"/>
              </w:rPr>
              <w:t>100%</w:t>
            </w:r>
          </w:p>
        </w:tc>
        <w:tc>
          <w:tcPr>
            <w:tcW w:w="120" w:type="dxa"/>
            <w:vAlign w:val="bottom"/>
          </w:tcPr>
          <w:p>
            <w:pPr>
              <w:spacing w:after="0"/>
              <w:rPr>
                <w:sz w:val="15"/>
                <w:szCs w:val="15"/>
                <w:color w:val="auto"/>
              </w:rPr>
            </w:pPr>
          </w:p>
        </w:tc>
        <w:tc>
          <w:tcPr>
            <w:tcW w:w="1140" w:type="dxa"/>
            <w:vAlign w:val="bottom"/>
          </w:tcPr>
          <w:p>
            <w:pPr>
              <w:jc w:val="right"/>
              <w:ind w:right="72"/>
              <w:spacing w:after="0"/>
              <w:rPr>
                <w:sz w:val="20"/>
                <w:szCs w:val="20"/>
                <w:color w:val="auto"/>
              </w:rPr>
            </w:pPr>
            <w:r>
              <w:rPr>
                <w:rFonts w:ascii="Arial" w:cs="Arial" w:eastAsia="Arial" w:hAnsi="Arial"/>
                <w:sz w:val="10"/>
                <w:szCs w:val="10"/>
                <w:color w:val="auto"/>
              </w:rPr>
              <w:t>20</w:t>
            </w:r>
          </w:p>
        </w:tc>
        <w:tc>
          <w:tcPr>
            <w:tcW w:w="120" w:type="dxa"/>
            <w:vAlign w:val="bottom"/>
          </w:tcPr>
          <w:p>
            <w:pPr>
              <w:spacing w:after="0"/>
              <w:rPr>
                <w:sz w:val="15"/>
                <w:szCs w:val="15"/>
                <w:color w:val="auto"/>
              </w:rPr>
            </w:pPr>
          </w:p>
        </w:tc>
        <w:tc>
          <w:tcPr>
            <w:tcW w:w="3440" w:type="dxa"/>
            <w:vAlign w:val="bottom"/>
            <w:gridSpan w:val="2"/>
          </w:tcPr>
          <w:p>
            <w:pPr>
              <w:jc w:val="center"/>
              <w:ind w:right="120"/>
              <w:spacing w:after="0"/>
              <w:rPr>
                <w:sz w:val="20"/>
                <w:szCs w:val="20"/>
                <w:color w:val="auto"/>
              </w:rPr>
            </w:pPr>
            <w:r>
              <w:rPr>
                <w:rFonts w:ascii="Arial" w:cs="Arial" w:eastAsia="Arial" w:hAnsi="Arial"/>
                <w:sz w:val="10"/>
                <w:szCs w:val="10"/>
                <w:color w:val="auto"/>
                <w:w w:val="87"/>
              </w:rPr>
              <w:t>Pacific Gas and Electric</w:t>
            </w:r>
          </w:p>
        </w:tc>
        <w:tc>
          <w:tcPr>
            <w:tcW w:w="1140" w:type="dxa"/>
            <w:vAlign w:val="bottom"/>
          </w:tcPr>
          <w:p>
            <w:pPr>
              <w:jc w:val="center"/>
              <w:spacing w:after="0"/>
              <w:rPr>
                <w:sz w:val="20"/>
                <w:szCs w:val="20"/>
                <w:color w:val="auto"/>
              </w:rPr>
            </w:pPr>
            <w:r>
              <w:rPr>
                <w:rFonts w:ascii="Arial" w:cs="Arial" w:eastAsia="Arial" w:hAnsi="Arial"/>
                <w:sz w:val="10"/>
                <w:szCs w:val="10"/>
                <w:color w:val="auto"/>
                <w:w w:val="89"/>
              </w:rPr>
              <w:t>2033</w:t>
            </w:r>
          </w:p>
        </w:tc>
      </w:tr>
      <w:tr>
        <w:trPr>
          <w:trHeight w:val="184"/>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Roadrunner</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20</w:t>
            </w:r>
          </w:p>
        </w:tc>
        <w:tc>
          <w:tcPr>
            <w:tcW w:w="120" w:type="dxa"/>
            <w:vAlign w:val="bottom"/>
            <w:shd w:val="clear" w:color="auto" w:fill="CCEEFF"/>
          </w:tcPr>
          <w:p>
            <w:pPr>
              <w:spacing w:after="0"/>
              <w:rPr>
                <w:sz w:val="16"/>
                <w:szCs w:val="16"/>
                <w:color w:val="auto"/>
              </w:rPr>
            </w:pPr>
          </w:p>
        </w:tc>
        <w:tc>
          <w:tcPr>
            <w:tcW w:w="3440" w:type="dxa"/>
            <w:vAlign w:val="bottom"/>
            <w:gridSpan w:val="2"/>
            <w:shd w:val="clear" w:color="auto" w:fill="CCEEFF"/>
          </w:tcPr>
          <w:p>
            <w:pPr>
              <w:jc w:val="center"/>
              <w:ind w:right="120"/>
              <w:spacing w:after="0"/>
              <w:rPr>
                <w:sz w:val="20"/>
                <w:szCs w:val="20"/>
                <w:color w:val="auto"/>
              </w:rPr>
            </w:pPr>
            <w:r>
              <w:rPr>
                <w:rFonts w:ascii="Arial" w:cs="Arial" w:eastAsia="Arial" w:hAnsi="Arial"/>
                <w:sz w:val="10"/>
                <w:szCs w:val="10"/>
                <w:color w:val="auto"/>
                <w:w w:val="85"/>
              </w:rPr>
              <w:t>El Paso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2031</w:t>
            </w:r>
          </w:p>
        </w:tc>
      </w:tr>
      <w:tr>
        <w:trPr>
          <w:trHeight w:val="176"/>
        </w:trPr>
        <w:tc>
          <w:tcPr>
            <w:tcW w:w="4360" w:type="dxa"/>
            <w:vAlign w:val="bottom"/>
            <w:gridSpan w:val="2"/>
          </w:tcPr>
          <w:p>
            <w:pPr>
              <w:ind w:left="180"/>
              <w:spacing w:after="0"/>
              <w:rPr>
                <w:sz w:val="20"/>
                <w:szCs w:val="20"/>
                <w:color w:val="auto"/>
              </w:rPr>
            </w:pPr>
            <w:r>
              <w:rPr>
                <w:rFonts w:ascii="Arial" w:cs="Arial" w:eastAsia="Arial" w:hAnsi="Arial"/>
                <w:sz w:val="10"/>
                <w:szCs w:val="10"/>
                <w:color w:val="auto"/>
              </w:rPr>
              <w:t>TA High Desert</w:t>
            </w:r>
          </w:p>
        </w:tc>
        <w:tc>
          <w:tcPr>
            <w:tcW w:w="1160" w:type="dxa"/>
            <w:vAlign w:val="bottom"/>
          </w:tcPr>
          <w:p>
            <w:pPr>
              <w:jc w:val="right"/>
              <w:spacing w:after="0"/>
              <w:rPr>
                <w:sz w:val="20"/>
                <w:szCs w:val="20"/>
                <w:color w:val="auto"/>
              </w:rPr>
            </w:pPr>
            <w:r>
              <w:rPr>
                <w:rFonts w:ascii="Arial" w:cs="Arial" w:eastAsia="Arial" w:hAnsi="Arial"/>
                <w:sz w:val="10"/>
                <w:szCs w:val="10"/>
                <w:color w:val="auto"/>
              </w:rPr>
              <w:t>100%</w:t>
            </w:r>
          </w:p>
        </w:tc>
        <w:tc>
          <w:tcPr>
            <w:tcW w:w="120" w:type="dxa"/>
            <w:vAlign w:val="bottom"/>
          </w:tcPr>
          <w:p>
            <w:pPr>
              <w:spacing w:after="0"/>
              <w:rPr>
                <w:sz w:val="15"/>
                <w:szCs w:val="15"/>
                <w:color w:val="auto"/>
              </w:rPr>
            </w:pPr>
          </w:p>
        </w:tc>
        <w:tc>
          <w:tcPr>
            <w:tcW w:w="1140" w:type="dxa"/>
            <w:vAlign w:val="bottom"/>
          </w:tcPr>
          <w:p>
            <w:pPr>
              <w:jc w:val="right"/>
              <w:ind w:right="72"/>
              <w:spacing w:after="0"/>
              <w:rPr>
                <w:sz w:val="20"/>
                <w:szCs w:val="20"/>
                <w:color w:val="auto"/>
              </w:rPr>
            </w:pPr>
            <w:r>
              <w:rPr>
                <w:rFonts w:ascii="Arial" w:cs="Arial" w:eastAsia="Arial" w:hAnsi="Arial"/>
                <w:sz w:val="10"/>
                <w:szCs w:val="10"/>
                <w:color w:val="auto"/>
              </w:rPr>
              <w:t>20</w:t>
            </w:r>
          </w:p>
        </w:tc>
        <w:tc>
          <w:tcPr>
            <w:tcW w:w="120" w:type="dxa"/>
            <w:vAlign w:val="bottom"/>
          </w:tcPr>
          <w:p>
            <w:pPr>
              <w:spacing w:after="0"/>
              <w:rPr>
                <w:sz w:val="15"/>
                <w:szCs w:val="15"/>
                <w:color w:val="auto"/>
              </w:rPr>
            </w:pPr>
          </w:p>
        </w:tc>
        <w:tc>
          <w:tcPr>
            <w:tcW w:w="3440" w:type="dxa"/>
            <w:vAlign w:val="bottom"/>
            <w:gridSpan w:val="2"/>
          </w:tcPr>
          <w:p>
            <w:pPr>
              <w:jc w:val="center"/>
              <w:ind w:right="120"/>
              <w:spacing w:after="0"/>
              <w:rPr>
                <w:sz w:val="20"/>
                <w:szCs w:val="20"/>
                <w:color w:val="auto"/>
              </w:rPr>
            </w:pPr>
            <w:r>
              <w:rPr>
                <w:rFonts w:ascii="Arial" w:cs="Arial" w:eastAsia="Arial" w:hAnsi="Arial"/>
                <w:sz w:val="10"/>
                <w:szCs w:val="10"/>
                <w:color w:val="auto"/>
                <w:w w:val="87"/>
              </w:rPr>
              <w:t>Southern California Edison</w:t>
            </w:r>
          </w:p>
        </w:tc>
        <w:tc>
          <w:tcPr>
            <w:tcW w:w="1140" w:type="dxa"/>
            <w:vAlign w:val="bottom"/>
          </w:tcPr>
          <w:p>
            <w:pPr>
              <w:jc w:val="center"/>
              <w:spacing w:after="0"/>
              <w:rPr>
                <w:sz w:val="20"/>
                <w:szCs w:val="20"/>
                <w:color w:val="auto"/>
              </w:rPr>
            </w:pPr>
            <w:r>
              <w:rPr>
                <w:rFonts w:ascii="Arial" w:cs="Arial" w:eastAsia="Arial" w:hAnsi="Arial"/>
                <w:sz w:val="10"/>
                <w:szCs w:val="10"/>
                <w:color w:val="auto"/>
                <w:w w:val="89"/>
              </w:rPr>
              <w:t>2033</w:t>
            </w:r>
          </w:p>
        </w:tc>
      </w:tr>
      <w:tr>
        <w:trPr>
          <w:trHeight w:val="180"/>
        </w:trPr>
        <w:tc>
          <w:tcPr>
            <w:tcW w:w="436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 xml:space="preserve">Utah Solar Portfolio </w:t>
            </w:r>
            <w:r>
              <w:rPr>
                <w:rFonts w:ascii="Arial" w:cs="Arial" w:eastAsia="Arial" w:hAnsi="Arial"/>
                <w:sz w:val="5"/>
                <w:szCs w:val="5"/>
                <w:color w:val="auto"/>
              </w:rPr>
              <w:t>(b) (e)</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w:t>
            </w:r>
          </w:p>
        </w:tc>
        <w:tc>
          <w:tcPr>
            <w:tcW w:w="120" w:type="dxa"/>
            <w:vAlign w:val="bottom"/>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265</w:t>
            </w:r>
          </w:p>
        </w:tc>
        <w:tc>
          <w:tcPr>
            <w:tcW w:w="120" w:type="dxa"/>
            <w:vAlign w:val="bottom"/>
            <w:shd w:val="clear" w:color="auto" w:fill="CCEEFF"/>
          </w:tcPr>
          <w:p>
            <w:pPr>
              <w:spacing w:after="0"/>
              <w:rPr>
                <w:sz w:val="15"/>
                <w:szCs w:val="15"/>
                <w:color w:val="auto"/>
              </w:rPr>
            </w:pPr>
          </w:p>
        </w:tc>
        <w:tc>
          <w:tcPr>
            <w:tcW w:w="344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0"/>
              </w:rPr>
              <w:t>PacifiCorp</w:t>
            </w:r>
          </w:p>
        </w:tc>
        <w:tc>
          <w:tcPr>
            <w:tcW w:w="11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2036</w:t>
            </w:r>
          </w:p>
        </w:tc>
      </w:tr>
      <w:tr>
        <w:trPr>
          <w:trHeight w:val="160"/>
        </w:trPr>
        <w:tc>
          <w:tcPr>
            <w:tcW w:w="42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1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921</w:t>
            </w:r>
          </w:p>
        </w:tc>
        <w:tc>
          <w:tcPr>
            <w:tcW w:w="120" w:type="dxa"/>
            <w:vAlign w:val="bottom"/>
            <w:tcBorders>
              <w:bottom w:val="single" w:sz="8" w:color="CCEEFF"/>
            </w:tcBorders>
          </w:tcPr>
          <w:p>
            <w:pPr>
              <w:spacing w:after="0"/>
              <w:rPr>
                <w:sz w:val="13"/>
                <w:szCs w:val="13"/>
                <w:color w:val="auto"/>
              </w:rPr>
            </w:pPr>
          </w:p>
        </w:tc>
        <w:tc>
          <w:tcPr>
            <w:tcW w:w="33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140" w:type="dxa"/>
            <w:vAlign w:val="bottom"/>
            <w:tcBorders>
              <w:bottom w:val="single" w:sz="8" w:color="CCEEFF"/>
            </w:tcBorders>
          </w:tcPr>
          <w:p>
            <w:pPr>
              <w:spacing w:after="0"/>
              <w:rPr>
                <w:sz w:val="13"/>
                <w:szCs w:val="13"/>
                <w:color w:val="auto"/>
              </w:rPr>
            </w:pPr>
          </w:p>
        </w:tc>
      </w:tr>
      <w:tr>
        <w:trPr>
          <w:trHeight w:val="173"/>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0"/>
                <w:szCs w:val="10"/>
                <w:i w:val="1"/>
                <w:iCs w:val="1"/>
                <w:color w:val="auto"/>
              </w:rPr>
              <w:t>Distributed Solar</w:t>
            </w: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76"/>
        </w:trPr>
        <w:tc>
          <w:tcPr>
            <w:tcW w:w="4360" w:type="dxa"/>
            <w:vAlign w:val="bottom"/>
            <w:gridSpan w:val="2"/>
          </w:tcPr>
          <w:p>
            <w:pPr>
              <w:ind w:left="180"/>
              <w:spacing w:after="0"/>
              <w:rPr>
                <w:sz w:val="20"/>
                <w:szCs w:val="20"/>
                <w:color w:val="auto"/>
              </w:rPr>
            </w:pPr>
            <w:r>
              <w:rPr>
                <w:rFonts w:ascii="Arial" w:cs="Arial" w:eastAsia="Arial" w:hAnsi="Arial"/>
                <w:sz w:val="10"/>
                <w:szCs w:val="10"/>
                <w:color w:val="auto"/>
              </w:rPr>
              <w:t>Apple I LLC Projects</w:t>
            </w:r>
          </w:p>
        </w:tc>
        <w:tc>
          <w:tcPr>
            <w:tcW w:w="1160" w:type="dxa"/>
            <w:vAlign w:val="bottom"/>
          </w:tcPr>
          <w:p>
            <w:pPr>
              <w:jc w:val="right"/>
              <w:spacing w:after="0"/>
              <w:rPr>
                <w:sz w:val="20"/>
                <w:szCs w:val="20"/>
                <w:color w:val="auto"/>
              </w:rPr>
            </w:pPr>
            <w:r>
              <w:rPr>
                <w:rFonts w:ascii="Arial" w:cs="Arial" w:eastAsia="Arial" w:hAnsi="Arial"/>
                <w:sz w:val="10"/>
                <w:szCs w:val="10"/>
                <w:color w:val="auto"/>
              </w:rPr>
              <w:t>100%</w:t>
            </w:r>
          </w:p>
        </w:tc>
        <w:tc>
          <w:tcPr>
            <w:tcW w:w="120" w:type="dxa"/>
            <w:vAlign w:val="bottom"/>
          </w:tcPr>
          <w:p>
            <w:pPr>
              <w:spacing w:after="0"/>
              <w:rPr>
                <w:sz w:val="15"/>
                <w:szCs w:val="15"/>
                <w:color w:val="auto"/>
              </w:rPr>
            </w:pPr>
          </w:p>
        </w:tc>
        <w:tc>
          <w:tcPr>
            <w:tcW w:w="1140" w:type="dxa"/>
            <w:vAlign w:val="bottom"/>
          </w:tcPr>
          <w:p>
            <w:pPr>
              <w:jc w:val="right"/>
              <w:ind w:right="72"/>
              <w:spacing w:after="0"/>
              <w:rPr>
                <w:sz w:val="20"/>
                <w:szCs w:val="20"/>
                <w:color w:val="auto"/>
              </w:rPr>
            </w:pPr>
            <w:r>
              <w:rPr>
                <w:rFonts w:ascii="Arial" w:cs="Arial" w:eastAsia="Arial" w:hAnsi="Arial"/>
                <w:sz w:val="10"/>
                <w:szCs w:val="10"/>
                <w:color w:val="auto"/>
              </w:rPr>
              <w:t>9</w:t>
            </w:r>
          </w:p>
        </w:tc>
        <w:tc>
          <w:tcPr>
            <w:tcW w:w="120" w:type="dxa"/>
            <w:vAlign w:val="bottom"/>
          </w:tcPr>
          <w:p>
            <w:pPr>
              <w:spacing w:after="0"/>
              <w:rPr>
                <w:sz w:val="15"/>
                <w:szCs w:val="15"/>
                <w:color w:val="auto"/>
              </w:rPr>
            </w:pPr>
          </w:p>
        </w:tc>
        <w:tc>
          <w:tcPr>
            <w:tcW w:w="3440" w:type="dxa"/>
            <w:vAlign w:val="bottom"/>
            <w:gridSpan w:val="2"/>
          </w:tcPr>
          <w:p>
            <w:pPr>
              <w:jc w:val="center"/>
              <w:ind w:right="120"/>
              <w:spacing w:after="0"/>
              <w:rPr>
                <w:sz w:val="20"/>
                <w:szCs w:val="20"/>
                <w:color w:val="auto"/>
              </w:rPr>
            </w:pPr>
            <w:r>
              <w:rPr>
                <w:rFonts w:ascii="Arial" w:cs="Arial" w:eastAsia="Arial" w:hAnsi="Arial"/>
                <w:sz w:val="10"/>
                <w:szCs w:val="10"/>
                <w:color w:val="auto"/>
                <w:w w:val="82"/>
              </w:rPr>
              <w:t>Various</w:t>
            </w:r>
          </w:p>
        </w:tc>
        <w:tc>
          <w:tcPr>
            <w:tcW w:w="1140" w:type="dxa"/>
            <w:vAlign w:val="bottom"/>
          </w:tcPr>
          <w:p>
            <w:pPr>
              <w:jc w:val="center"/>
              <w:spacing w:after="0"/>
              <w:rPr>
                <w:sz w:val="20"/>
                <w:szCs w:val="20"/>
                <w:color w:val="auto"/>
              </w:rPr>
            </w:pPr>
            <w:r>
              <w:rPr>
                <w:rFonts w:ascii="Arial" w:cs="Arial" w:eastAsia="Arial" w:hAnsi="Arial"/>
                <w:sz w:val="10"/>
                <w:szCs w:val="10"/>
                <w:color w:val="auto"/>
                <w:w w:val="89"/>
              </w:rPr>
              <w:t>2032</w:t>
            </w:r>
          </w:p>
        </w:tc>
      </w:tr>
      <w:tr>
        <w:trPr>
          <w:trHeight w:val="184"/>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AZ DG Solar Projects</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w:t>
            </w:r>
          </w:p>
        </w:tc>
        <w:tc>
          <w:tcPr>
            <w:tcW w:w="120" w:type="dxa"/>
            <w:vAlign w:val="bottom"/>
            <w:shd w:val="clear" w:color="auto" w:fill="CCEEFF"/>
          </w:tcPr>
          <w:p>
            <w:pPr>
              <w:spacing w:after="0"/>
              <w:rPr>
                <w:sz w:val="16"/>
                <w:szCs w:val="16"/>
                <w:color w:val="auto"/>
              </w:rPr>
            </w:pPr>
          </w:p>
        </w:tc>
        <w:tc>
          <w:tcPr>
            <w:tcW w:w="3440" w:type="dxa"/>
            <w:vAlign w:val="bottom"/>
            <w:gridSpan w:val="2"/>
            <w:shd w:val="clear" w:color="auto" w:fill="CCEEFF"/>
          </w:tcPr>
          <w:p>
            <w:pPr>
              <w:jc w:val="center"/>
              <w:ind w:right="120"/>
              <w:spacing w:after="0"/>
              <w:rPr>
                <w:sz w:val="20"/>
                <w:szCs w:val="20"/>
                <w:color w:val="auto"/>
              </w:rPr>
            </w:pPr>
            <w:r>
              <w:rPr>
                <w:rFonts w:ascii="Arial" w:cs="Arial" w:eastAsia="Arial" w:hAnsi="Arial"/>
                <w:sz w:val="10"/>
                <w:szCs w:val="10"/>
                <w:color w:val="auto"/>
                <w:w w:val="82"/>
              </w:rPr>
              <w:t>Various</w:t>
            </w:r>
          </w:p>
        </w:tc>
        <w:tc>
          <w:tcPr>
            <w:tcW w:w="11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6"/>
              </w:rPr>
              <w:t>2025 - 2033</w:t>
            </w:r>
          </w:p>
        </w:tc>
      </w:tr>
      <w:tr>
        <w:trPr>
          <w:trHeight w:val="176"/>
        </w:trPr>
        <w:tc>
          <w:tcPr>
            <w:tcW w:w="4360" w:type="dxa"/>
            <w:vAlign w:val="bottom"/>
            <w:gridSpan w:val="2"/>
          </w:tcPr>
          <w:p>
            <w:pPr>
              <w:ind w:left="180"/>
              <w:spacing w:after="0"/>
              <w:rPr>
                <w:sz w:val="20"/>
                <w:szCs w:val="20"/>
                <w:color w:val="auto"/>
              </w:rPr>
            </w:pPr>
            <w:r>
              <w:rPr>
                <w:rFonts w:ascii="Arial" w:cs="Arial" w:eastAsia="Arial" w:hAnsi="Arial"/>
                <w:sz w:val="10"/>
                <w:szCs w:val="10"/>
                <w:color w:val="auto"/>
              </w:rPr>
              <w:t>SPP Projects</w:t>
            </w:r>
          </w:p>
        </w:tc>
        <w:tc>
          <w:tcPr>
            <w:tcW w:w="1160" w:type="dxa"/>
            <w:vAlign w:val="bottom"/>
          </w:tcPr>
          <w:p>
            <w:pPr>
              <w:jc w:val="right"/>
              <w:spacing w:after="0"/>
              <w:rPr>
                <w:sz w:val="20"/>
                <w:szCs w:val="20"/>
                <w:color w:val="auto"/>
              </w:rPr>
            </w:pPr>
            <w:r>
              <w:rPr>
                <w:rFonts w:ascii="Arial" w:cs="Arial" w:eastAsia="Arial" w:hAnsi="Arial"/>
                <w:sz w:val="10"/>
                <w:szCs w:val="10"/>
                <w:color w:val="auto"/>
              </w:rPr>
              <w:t>100%</w:t>
            </w:r>
          </w:p>
        </w:tc>
        <w:tc>
          <w:tcPr>
            <w:tcW w:w="120" w:type="dxa"/>
            <w:vAlign w:val="bottom"/>
          </w:tcPr>
          <w:p>
            <w:pPr>
              <w:spacing w:after="0"/>
              <w:rPr>
                <w:sz w:val="15"/>
                <w:szCs w:val="15"/>
                <w:color w:val="auto"/>
              </w:rPr>
            </w:pPr>
          </w:p>
        </w:tc>
        <w:tc>
          <w:tcPr>
            <w:tcW w:w="1140" w:type="dxa"/>
            <w:vAlign w:val="bottom"/>
          </w:tcPr>
          <w:p>
            <w:pPr>
              <w:jc w:val="right"/>
              <w:ind w:right="72"/>
              <w:spacing w:after="0"/>
              <w:rPr>
                <w:sz w:val="20"/>
                <w:szCs w:val="20"/>
                <w:color w:val="auto"/>
              </w:rPr>
            </w:pPr>
            <w:r>
              <w:rPr>
                <w:rFonts w:ascii="Arial" w:cs="Arial" w:eastAsia="Arial" w:hAnsi="Arial"/>
                <w:sz w:val="10"/>
                <w:szCs w:val="10"/>
                <w:color w:val="auto"/>
              </w:rPr>
              <w:t>25</w:t>
            </w:r>
          </w:p>
        </w:tc>
        <w:tc>
          <w:tcPr>
            <w:tcW w:w="120" w:type="dxa"/>
            <w:vAlign w:val="bottom"/>
          </w:tcPr>
          <w:p>
            <w:pPr>
              <w:spacing w:after="0"/>
              <w:rPr>
                <w:sz w:val="15"/>
                <w:szCs w:val="15"/>
                <w:color w:val="auto"/>
              </w:rPr>
            </w:pPr>
          </w:p>
        </w:tc>
        <w:tc>
          <w:tcPr>
            <w:tcW w:w="3440" w:type="dxa"/>
            <w:vAlign w:val="bottom"/>
            <w:gridSpan w:val="2"/>
          </w:tcPr>
          <w:p>
            <w:pPr>
              <w:jc w:val="center"/>
              <w:ind w:right="120"/>
              <w:spacing w:after="0"/>
              <w:rPr>
                <w:sz w:val="20"/>
                <w:szCs w:val="20"/>
                <w:color w:val="auto"/>
              </w:rPr>
            </w:pPr>
            <w:r>
              <w:rPr>
                <w:rFonts w:ascii="Arial" w:cs="Arial" w:eastAsia="Arial" w:hAnsi="Arial"/>
                <w:sz w:val="10"/>
                <w:szCs w:val="10"/>
                <w:color w:val="auto"/>
                <w:w w:val="82"/>
              </w:rPr>
              <w:t>Various</w:t>
            </w:r>
          </w:p>
        </w:tc>
        <w:tc>
          <w:tcPr>
            <w:tcW w:w="1140" w:type="dxa"/>
            <w:vAlign w:val="bottom"/>
          </w:tcPr>
          <w:p>
            <w:pPr>
              <w:jc w:val="center"/>
              <w:spacing w:after="0"/>
              <w:rPr>
                <w:sz w:val="20"/>
                <w:szCs w:val="20"/>
                <w:color w:val="auto"/>
              </w:rPr>
            </w:pPr>
            <w:r>
              <w:rPr>
                <w:rFonts w:ascii="Arial" w:cs="Arial" w:eastAsia="Arial" w:hAnsi="Arial"/>
                <w:sz w:val="10"/>
                <w:szCs w:val="10"/>
                <w:color w:val="auto"/>
                <w:w w:val="86"/>
              </w:rPr>
              <w:t>2026 - 2037</w:t>
            </w:r>
          </w:p>
        </w:tc>
      </w:tr>
      <w:tr>
        <w:trPr>
          <w:trHeight w:val="180"/>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Other DG Projects</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20" w:type="dxa"/>
            <w:vAlign w:val="bottom"/>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13</w:t>
            </w:r>
          </w:p>
        </w:tc>
        <w:tc>
          <w:tcPr>
            <w:tcW w:w="120" w:type="dxa"/>
            <w:vAlign w:val="bottom"/>
            <w:shd w:val="clear" w:color="auto" w:fill="CCEEFF"/>
          </w:tcPr>
          <w:p>
            <w:pPr>
              <w:spacing w:after="0"/>
              <w:rPr>
                <w:sz w:val="15"/>
                <w:szCs w:val="15"/>
                <w:color w:val="auto"/>
              </w:rPr>
            </w:pPr>
          </w:p>
        </w:tc>
        <w:tc>
          <w:tcPr>
            <w:tcW w:w="3440" w:type="dxa"/>
            <w:vAlign w:val="bottom"/>
            <w:gridSpan w:val="2"/>
            <w:shd w:val="clear" w:color="auto" w:fill="CCEEFF"/>
          </w:tcPr>
          <w:p>
            <w:pPr>
              <w:jc w:val="center"/>
              <w:ind w:right="120"/>
              <w:spacing w:after="0"/>
              <w:rPr>
                <w:sz w:val="20"/>
                <w:szCs w:val="20"/>
                <w:color w:val="auto"/>
              </w:rPr>
            </w:pPr>
            <w:r>
              <w:rPr>
                <w:rFonts w:ascii="Arial" w:cs="Arial" w:eastAsia="Arial" w:hAnsi="Arial"/>
                <w:sz w:val="10"/>
                <w:szCs w:val="10"/>
                <w:color w:val="auto"/>
                <w:w w:val="82"/>
              </w:rPr>
              <w:t>Various</w:t>
            </w:r>
          </w:p>
        </w:tc>
        <w:tc>
          <w:tcPr>
            <w:tcW w:w="11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6"/>
              </w:rPr>
              <w:t>2023 - 2039</w:t>
            </w:r>
          </w:p>
        </w:tc>
      </w:tr>
      <w:tr>
        <w:trPr>
          <w:trHeight w:val="160"/>
        </w:trPr>
        <w:tc>
          <w:tcPr>
            <w:tcW w:w="42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1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52</w:t>
            </w:r>
          </w:p>
        </w:tc>
        <w:tc>
          <w:tcPr>
            <w:tcW w:w="120" w:type="dxa"/>
            <w:vAlign w:val="bottom"/>
            <w:tcBorders>
              <w:bottom w:val="single" w:sz="8" w:color="CCEEFF"/>
            </w:tcBorders>
          </w:tcPr>
          <w:p>
            <w:pPr>
              <w:spacing w:after="0"/>
              <w:rPr>
                <w:sz w:val="13"/>
                <w:szCs w:val="13"/>
                <w:color w:val="auto"/>
              </w:rPr>
            </w:pPr>
          </w:p>
        </w:tc>
        <w:tc>
          <w:tcPr>
            <w:tcW w:w="33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140" w:type="dxa"/>
            <w:vAlign w:val="bottom"/>
            <w:tcBorders>
              <w:bottom w:val="single" w:sz="8" w:color="CCEEFF"/>
            </w:tcBorders>
          </w:tcPr>
          <w:p>
            <w:pPr>
              <w:spacing w:after="0"/>
              <w:rPr>
                <w:sz w:val="13"/>
                <w:szCs w:val="13"/>
                <w:color w:val="auto"/>
              </w:rPr>
            </w:pPr>
          </w:p>
        </w:tc>
      </w:tr>
      <w:tr>
        <w:trPr>
          <w:trHeight w:val="173"/>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0"/>
                <w:szCs w:val="10"/>
                <w:i w:val="1"/>
                <w:iCs w:val="1"/>
                <w:color w:val="auto"/>
              </w:rPr>
              <w:t>Wind</w:t>
            </w: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76"/>
        </w:trPr>
        <w:tc>
          <w:tcPr>
            <w:tcW w:w="4360" w:type="dxa"/>
            <w:vAlign w:val="bottom"/>
            <w:gridSpan w:val="2"/>
          </w:tcPr>
          <w:p>
            <w:pPr>
              <w:ind w:left="180"/>
              <w:spacing w:after="0"/>
              <w:rPr>
                <w:sz w:val="20"/>
                <w:szCs w:val="20"/>
                <w:color w:val="auto"/>
              </w:rPr>
            </w:pPr>
            <w:r>
              <w:rPr>
                <w:rFonts w:ascii="Arial" w:cs="Arial" w:eastAsia="Arial" w:hAnsi="Arial"/>
                <w:sz w:val="10"/>
                <w:szCs w:val="10"/>
                <w:color w:val="auto"/>
              </w:rPr>
              <w:t>Alta I</w:t>
            </w:r>
          </w:p>
        </w:tc>
        <w:tc>
          <w:tcPr>
            <w:tcW w:w="1160" w:type="dxa"/>
            <w:vAlign w:val="bottom"/>
          </w:tcPr>
          <w:p>
            <w:pPr>
              <w:jc w:val="right"/>
              <w:spacing w:after="0"/>
              <w:rPr>
                <w:sz w:val="20"/>
                <w:szCs w:val="20"/>
                <w:color w:val="auto"/>
              </w:rPr>
            </w:pPr>
            <w:r>
              <w:rPr>
                <w:rFonts w:ascii="Arial" w:cs="Arial" w:eastAsia="Arial" w:hAnsi="Arial"/>
                <w:sz w:val="10"/>
                <w:szCs w:val="10"/>
                <w:color w:val="auto"/>
              </w:rPr>
              <w:t>100%</w:t>
            </w:r>
          </w:p>
        </w:tc>
        <w:tc>
          <w:tcPr>
            <w:tcW w:w="120" w:type="dxa"/>
            <w:vAlign w:val="bottom"/>
          </w:tcPr>
          <w:p>
            <w:pPr>
              <w:spacing w:after="0"/>
              <w:rPr>
                <w:sz w:val="15"/>
                <w:szCs w:val="15"/>
                <w:color w:val="auto"/>
              </w:rPr>
            </w:pPr>
          </w:p>
        </w:tc>
        <w:tc>
          <w:tcPr>
            <w:tcW w:w="1140" w:type="dxa"/>
            <w:vAlign w:val="bottom"/>
          </w:tcPr>
          <w:p>
            <w:pPr>
              <w:jc w:val="right"/>
              <w:ind w:right="72"/>
              <w:spacing w:after="0"/>
              <w:rPr>
                <w:sz w:val="20"/>
                <w:szCs w:val="20"/>
                <w:color w:val="auto"/>
              </w:rPr>
            </w:pPr>
            <w:r>
              <w:rPr>
                <w:rFonts w:ascii="Arial" w:cs="Arial" w:eastAsia="Arial" w:hAnsi="Arial"/>
                <w:sz w:val="10"/>
                <w:szCs w:val="10"/>
                <w:color w:val="auto"/>
              </w:rPr>
              <w:t>150</w:t>
            </w:r>
          </w:p>
        </w:tc>
        <w:tc>
          <w:tcPr>
            <w:tcW w:w="120" w:type="dxa"/>
            <w:vAlign w:val="bottom"/>
          </w:tcPr>
          <w:p>
            <w:pPr>
              <w:spacing w:after="0"/>
              <w:rPr>
                <w:sz w:val="15"/>
                <w:szCs w:val="15"/>
                <w:color w:val="auto"/>
              </w:rPr>
            </w:pPr>
          </w:p>
        </w:tc>
        <w:tc>
          <w:tcPr>
            <w:tcW w:w="3440" w:type="dxa"/>
            <w:vAlign w:val="bottom"/>
            <w:gridSpan w:val="2"/>
          </w:tcPr>
          <w:p>
            <w:pPr>
              <w:jc w:val="center"/>
              <w:ind w:right="120"/>
              <w:spacing w:after="0"/>
              <w:rPr>
                <w:sz w:val="20"/>
                <w:szCs w:val="20"/>
                <w:color w:val="auto"/>
              </w:rPr>
            </w:pPr>
            <w:r>
              <w:rPr>
                <w:rFonts w:ascii="Arial" w:cs="Arial" w:eastAsia="Arial" w:hAnsi="Arial"/>
                <w:sz w:val="10"/>
                <w:szCs w:val="10"/>
                <w:color w:val="auto"/>
                <w:w w:val="87"/>
              </w:rPr>
              <w:t>Southern California Edison</w:t>
            </w:r>
          </w:p>
        </w:tc>
        <w:tc>
          <w:tcPr>
            <w:tcW w:w="1140" w:type="dxa"/>
            <w:vAlign w:val="bottom"/>
          </w:tcPr>
          <w:p>
            <w:pPr>
              <w:jc w:val="center"/>
              <w:spacing w:after="0"/>
              <w:rPr>
                <w:sz w:val="20"/>
                <w:szCs w:val="20"/>
                <w:color w:val="auto"/>
              </w:rPr>
            </w:pPr>
            <w:r>
              <w:rPr>
                <w:rFonts w:ascii="Arial" w:cs="Arial" w:eastAsia="Arial" w:hAnsi="Arial"/>
                <w:sz w:val="10"/>
                <w:szCs w:val="10"/>
                <w:color w:val="auto"/>
                <w:w w:val="89"/>
              </w:rPr>
              <w:t>2035</w:t>
            </w:r>
          </w:p>
        </w:tc>
      </w:tr>
      <w:tr>
        <w:trPr>
          <w:trHeight w:val="184"/>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Alta II</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150</w:t>
            </w:r>
          </w:p>
        </w:tc>
        <w:tc>
          <w:tcPr>
            <w:tcW w:w="120" w:type="dxa"/>
            <w:vAlign w:val="bottom"/>
            <w:shd w:val="clear" w:color="auto" w:fill="CCEEFF"/>
          </w:tcPr>
          <w:p>
            <w:pPr>
              <w:spacing w:after="0"/>
              <w:rPr>
                <w:sz w:val="16"/>
                <w:szCs w:val="16"/>
                <w:color w:val="auto"/>
              </w:rPr>
            </w:pPr>
          </w:p>
        </w:tc>
        <w:tc>
          <w:tcPr>
            <w:tcW w:w="3440" w:type="dxa"/>
            <w:vAlign w:val="bottom"/>
            <w:gridSpan w:val="2"/>
            <w:shd w:val="clear" w:color="auto" w:fill="CCEEFF"/>
          </w:tcPr>
          <w:p>
            <w:pPr>
              <w:jc w:val="center"/>
              <w:ind w:right="120"/>
              <w:spacing w:after="0"/>
              <w:rPr>
                <w:sz w:val="20"/>
                <w:szCs w:val="20"/>
                <w:color w:val="auto"/>
              </w:rPr>
            </w:pPr>
            <w:r>
              <w:rPr>
                <w:rFonts w:ascii="Arial" w:cs="Arial" w:eastAsia="Arial" w:hAnsi="Arial"/>
                <w:sz w:val="10"/>
                <w:szCs w:val="10"/>
                <w:color w:val="auto"/>
                <w:w w:val="87"/>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2035</w:t>
            </w:r>
          </w:p>
        </w:tc>
      </w:tr>
      <w:tr>
        <w:trPr>
          <w:trHeight w:val="176"/>
        </w:trPr>
        <w:tc>
          <w:tcPr>
            <w:tcW w:w="4360" w:type="dxa"/>
            <w:vAlign w:val="bottom"/>
            <w:gridSpan w:val="2"/>
          </w:tcPr>
          <w:p>
            <w:pPr>
              <w:ind w:left="180"/>
              <w:spacing w:after="0"/>
              <w:rPr>
                <w:sz w:val="20"/>
                <w:szCs w:val="20"/>
                <w:color w:val="auto"/>
              </w:rPr>
            </w:pPr>
            <w:r>
              <w:rPr>
                <w:rFonts w:ascii="Arial" w:cs="Arial" w:eastAsia="Arial" w:hAnsi="Arial"/>
                <w:sz w:val="10"/>
                <w:szCs w:val="10"/>
                <w:color w:val="auto"/>
              </w:rPr>
              <w:t>Alta III</w:t>
            </w:r>
          </w:p>
        </w:tc>
        <w:tc>
          <w:tcPr>
            <w:tcW w:w="1160" w:type="dxa"/>
            <w:vAlign w:val="bottom"/>
          </w:tcPr>
          <w:p>
            <w:pPr>
              <w:jc w:val="right"/>
              <w:spacing w:after="0"/>
              <w:rPr>
                <w:sz w:val="20"/>
                <w:szCs w:val="20"/>
                <w:color w:val="auto"/>
              </w:rPr>
            </w:pPr>
            <w:r>
              <w:rPr>
                <w:rFonts w:ascii="Arial" w:cs="Arial" w:eastAsia="Arial" w:hAnsi="Arial"/>
                <w:sz w:val="10"/>
                <w:szCs w:val="10"/>
                <w:color w:val="auto"/>
              </w:rPr>
              <w:t>100%</w:t>
            </w:r>
          </w:p>
        </w:tc>
        <w:tc>
          <w:tcPr>
            <w:tcW w:w="120" w:type="dxa"/>
            <w:vAlign w:val="bottom"/>
          </w:tcPr>
          <w:p>
            <w:pPr>
              <w:spacing w:after="0"/>
              <w:rPr>
                <w:sz w:val="15"/>
                <w:szCs w:val="15"/>
                <w:color w:val="auto"/>
              </w:rPr>
            </w:pPr>
          </w:p>
        </w:tc>
        <w:tc>
          <w:tcPr>
            <w:tcW w:w="1140" w:type="dxa"/>
            <w:vAlign w:val="bottom"/>
          </w:tcPr>
          <w:p>
            <w:pPr>
              <w:jc w:val="right"/>
              <w:ind w:right="72"/>
              <w:spacing w:after="0"/>
              <w:rPr>
                <w:sz w:val="20"/>
                <w:szCs w:val="20"/>
                <w:color w:val="auto"/>
              </w:rPr>
            </w:pPr>
            <w:r>
              <w:rPr>
                <w:rFonts w:ascii="Arial" w:cs="Arial" w:eastAsia="Arial" w:hAnsi="Arial"/>
                <w:sz w:val="10"/>
                <w:szCs w:val="10"/>
                <w:color w:val="auto"/>
              </w:rPr>
              <w:t>150</w:t>
            </w:r>
          </w:p>
        </w:tc>
        <w:tc>
          <w:tcPr>
            <w:tcW w:w="120" w:type="dxa"/>
            <w:vAlign w:val="bottom"/>
          </w:tcPr>
          <w:p>
            <w:pPr>
              <w:spacing w:after="0"/>
              <w:rPr>
                <w:sz w:val="15"/>
                <w:szCs w:val="15"/>
                <w:color w:val="auto"/>
              </w:rPr>
            </w:pPr>
          </w:p>
        </w:tc>
        <w:tc>
          <w:tcPr>
            <w:tcW w:w="3440" w:type="dxa"/>
            <w:vAlign w:val="bottom"/>
            <w:gridSpan w:val="2"/>
          </w:tcPr>
          <w:p>
            <w:pPr>
              <w:jc w:val="center"/>
              <w:ind w:right="120"/>
              <w:spacing w:after="0"/>
              <w:rPr>
                <w:sz w:val="20"/>
                <w:szCs w:val="20"/>
                <w:color w:val="auto"/>
              </w:rPr>
            </w:pPr>
            <w:r>
              <w:rPr>
                <w:rFonts w:ascii="Arial" w:cs="Arial" w:eastAsia="Arial" w:hAnsi="Arial"/>
                <w:sz w:val="10"/>
                <w:szCs w:val="10"/>
                <w:color w:val="auto"/>
                <w:w w:val="87"/>
              </w:rPr>
              <w:t>Southern California Edison</w:t>
            </w:r>
          </w:p>
        </w:tc>
        <w:tc>
          <w:tcPr>
            <w:tcW w:w="1140" w:type="dxa"/>
            <w:vAlign w:val="bottom"/>
          </w:tcPr>
          <w:p>
            <w:pPr>
              <w:jc w:val="center"/>
              <w:spacing w:after="0"/>
              <w:rPr>
                <w:sz w:val="20"/>
                <w:szCs w:val="20"/>
                <w:color w:val="auto"/>
              </w:rPr>
            </w:pPr>
            <w:r>
              <w:rPr>
                <w:rFonts w:ascii="Arial" w:cs="Arial" w:eastAsia="Arial" w:hAnsi="Arial"/>
                <w:sz w:val="10"/>
                <w:szCs w:val="10"/>
                <w:color w:val="auto"/>
                <w:w w:val="89"/>
              </w:rPr>
              <w:t>2035</w:t>
            </w:r>
          </w:p>
        </w:tc>
      </w:tr>
      <w:tr>
        <w:trPr>
          <w:trHeight w:val="184"/>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Alta IV</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102</w:t>
            </w:r>
          </w:p>
        </w:tc>
        <w:tc>
          <w:tcPr>
            <w:tcW w:w="120" w:type="dxa"/>
            <w:vAlign w:val="bottom"/>
            <w:shd w:val="clear" w:color="auto" w:fill="CCEEFF"/>
          </w:tcPr>
          <w:p>
            <w:pPr>
              <w:spacing w:after="0"/>
              <w:rPr>
                <w:sz w:val="16"/>
                <w:szCs w:val="16"/>
                <w:color w:val="auto"/>
              </w:rPr>
            </w:pPr>
          </w:p>
        </w:tc>
        <w:tc>
          <w:tcPr>
            <w:tcW w:w="3440" w:type="dxa"/>
            <w:vAlign w:val="bottom"/>
            <w:gridSpan w:val="2"/>
            <w:shd w:val="clear" w:color="auto" w:fill="CCEEFF"/>
          </w:tcPr>
          <w:p>
            <w:pPr>
              <w:jc w:val="center"/>
              <w:ind w:right="120"/>
              <w:spacing w:after="0"/>
              <w:rPr>
                <w:sz w:val="20"/>
                <w:szCs w:val="20"/>
                <w:color w:val="auto"/>
              </w:rPr>
            </w:pPr>
            <w:r>
              <w:rPr>
                <w:rFonts w:ascii="Arial" w:cs="Arial" w:eastAsia="Arial" w:hAnsi="Arial"/>
                <w:sz w:val="10"/>
                <w:szCs w:val="10"/>
                <w:color w:val="auto"/>
                <w:w w:val="87"/>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2035</w:t>
            </w:r>
          </w:p>
        </w:tc>
      </w:tr>
      <w:tr>
        <w:trPr>
          <w:trHeight w:val="176"/>
        </w:trPr>
        <w:tc>
          <w:tcPr>
            <w:tcW w:w="4360" w:type="dxa"/>
            <w:vAlign w:val="bottom"/>
            <w:gridSpan w:val="2"/>
          </w:tcPr>
          <w:p>
            <w:pPr>
              <w:ind w:left="180"/>
              <w:spacing w:after="0"/>
              <w:rPr>
                <w:sz w:val="20"/>
                <w:szCs w:val="20"/>
                <w:color w:val="auto"/>
              </w:rPr>
            </w:pPr>
            <w:r>
              <w:rPr>
                <w:rFonts w:ascii="Arial" w:cs="Arial" w:eastAsia="Arial" w:hAnsi="Arial"/>
                <w:sz w:val="10"/>
                <w:szCs w:val="10"/>
                <w:color w:val="auto"/>
              </w:rPr>
              <w:t>Alta V</w:t>
            </w:r>
          </w:p>
        </w:tc>
        <w:tc>
          <w:tcPr>
            <w:tcW w:w="1160" w:type="dxa"/>
            <w:vAlign w:val="bottom"/>
          </w:tcPr>
          <w:p>
            <w:pPr>
              <w:jc w:val="right"/>
              <w:spacing w:after="0"/>
              <w:rPr>
                <w:sz w:val="20"/>
                <w:szCs w:val="20"/>
                <w:color w:val="auto"/>
              </w:rPr>
            </w:pPr>
            <w:r>
              <w:rPr>
                <w:rFonts w:ascii="Arial" w:cs="Arial" w:eastAsia="Arial" w:hAnsi="Arial"/>
                <w:sz w:val="10"/>
                <w:szCs w:val="10"/>
                <w:color w:val="auto"/>
              </w:rPr>
              <w:t>100%</w:t>
            </w:r>
          </w:p>
        </w:tc>
        <w:tc>
          <w:tcPr>
            <w:tcW w:w="120" w:type="dxa"/>
            <w:vAlign w:val="bottom"/>
          </w:tcPr>
          <w:p>
            <w:pPr>
              <w:spacing w:after="0"/>
              <w:rPr>
                <w:sz w:val="15"/>
                <w:szCs w:val="15"/>
                <w:color w:val="auto"/>
              </w:rPr>
            </w:pPr>
          </w:p>
        </w:tc>
        <w:tc>
          <w:tcPr>
            <w:tcW w:w="1140" w:type="dxa"/>
            <w:vAlign w:val="bottom"/>
          </w:tcPr>
          <w:p>
            <w:pPr>
              <w:jc w:val="right"/>
              <w:ind w:right="72"/>
              <w:spacing w:after="0"/>
              <w:rPr>
                <w:sz w:val="20"/>
                <w:szCs w:val="20"/>
                <w:color w:val="auto"/>
              </w:rPr>
            </w:pPr>
            <w:r>
              <w:rPr>
                <w:rFonts w:ascii="Arial" w:cs="Arial" w:eastAsia="Arial" w:hAnsi="Arial"/>
                <w:sz w:val="10"/>
                <w:szCs w:val="10"/>
                <w:color w:val="auto"/>
              </w:rPr>
              <w:t>168</w:t>
            </w:r>
          </w:p>
        </w:tc>
        <w:tc>
          <w:tcPr>
            <w:tcW w:w="120" w:type="dxa"/>
            <w:vAlign w:val="bottom"/>
          </w:tcPr>
          <w:p>
            <w:pPr>
              <w:spacing w:after="0"/>
              <w:rPr>
                <w:sz w:val="15"/>
                <w:szCs w:val="15"/>
                <w:color w:val="auto"/>
              </w:rPr>
            </w:pPr>
          </w:p>
        </w:tc>
        <w:tc>
          <w:tcPr>
            <w:tcW w:w="3440" w:type="dxa"/>
            <w:vAlign w:val="bottom"/>
            <w:gridSpan w:val="2"/>
          </w:tcPr>
          <w:p>
            <w:pPr>
              <w:jc w:val="center"/>
              <w:ind w:right="120"/>
              <w:spacing w:after="0"/>
              <w:rPr>
                <w:sz w:val="20"/>
                <w:szCs w:val="20"/>
                <w:color w:val="auto"/>
              </w:rPr>
            </w:pPr>
            <w:r>
              <w:rPr>
                <w:rFonts w:ascii="Arial" w:cs="Arial" w:eastAsia="Arial" w:hAnsi="Arial"/>
                <w:sz w:val="10"/>
                <w:szCs w:val="10"/>
                <w:color w:val="auto"/>
                <w:w w:val="87"/>
              </w:rPr>
              <w:t>Southern California Edison</w:t>
            </w:r>
          </w:p>
        </w:tc>
        <w:tc>
          <w:tcPr>
            <w:tcW w:w="1140" w:type="dxa"/>
            <w:vAlign w:val="bottom"/>
          </w:tcPr>
          <w:p>
            <w:pPr>
              <w:jc w:val="center"/>
              <w:spacing w:after="0"/>
              <w:rPr>
                <w:sz w:val="20"/>
                <w:szCs w:val="20"/>
                <w:color w:val="auto"/>
              </w:rPr>
            </w:pPr>
            <w:r>
              <w:rPr>
                <w:rFonts w:ascii="Arial" w:cs="Arial" w:eastAsia="Arial" w:hAnsi="Arial"/>
                <w:sz w:val="10"/>
                <w:szCs w:val="10"/>
                <w:color w:val="auto"/>
                <w:w w:val="89"/>
              </w:rPr>
              <w:t>2035</w:t>
            </w:r>
          </w:p>
        </w:tc>
      </w:tr>
      <w:tr>
        <w:trPr>
          <w:trHeight w:val="184"/>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 xml:space="preserve">Alta X </w:t>
            </w:r>
            <w:r>
              <w:rPr>
                <w:rFonts w:ascii="Arial" w:cs="Arial" w:eastAsia="Arial" w:hAnsi="Arial"/>
                <w:sz w:val="5"/>
                <w:szCs w:val="5"/>
                <w:color w:val="auto"/>
              </w:rPr>
              <w:t>(b)</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137</w:t>
            </w:r>
          </w:p>
        </w:tc>
        <w:tc>
          <w:tcPr>
            <w:tcW w:w="120" w:type="dxa"/>
            <w:vAlign w:val="bottom"/>
            <w:shd w:val="clear" w:color="auto" w:fill="CCEEFF"/>
          </w:tcPr>
          <w:p>
            <w:pPr>
              <w:spacing w:after="0"/>
              <w:rPr>
                <w:sz w:val="16"/>
                <w:szCs w:val="16"/>
                <w:color w:val="auto"/>
              </w:rPr>
            </w:pPr>
          </w:p>
        </w:tc>
        <w:tc>
          <w:tcPr>
            <w:tcW w:w="3440" w:type="dxa"/>
            <w:vAlign w:val="bottom"/>
            <w:gridSpan w:val="2"/>
            <w:shd w:val="clear" w:color="auto" w:fill="CCEEFF"/>
          </w:tcPr>
          <w:p>
            <w:pPr>
              <w:jc w:val="center"/>
              <w:ind w:right="120"/>
              <w:spacing w:after="0"/>
              <w:rPr>
                <w:sz w:val="20"/>
                <w:szCs w:val="20"/>
                <w:color w:val="auto"/>
              </w:rPr>
            </w:pPr>
            <w:r>
              <w:rPr>
                <w:rFonts w:ascii="Arial" w:cs="Arial" w:eastAsia="Arial" w:hAnsi="Arial"/>
                <w:sz w:val="10"/>
                <w:szCs w:val="10"/>
                <w:color w:val="auto"/>
                <w:w w:val="87"/>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2038</w:t>
            </w:r>
          </w:p>
        </w:tc>
      </w:tr>
      <w:tr>
        <w:trPr>
          <w:trHeight w:val="176"/>
        </w:trPr>
        <w:tc>
          <w:tcPr>
            <w:tcW w:w="4360" w:type="dxa"/>
            <w:vAlign w:val="bottom"/>
            <w:gridSpan w:val="2"/>
          </w:tcPr>
          <w:p>
            <w:pPr>
              <w:ind w:left="180"/>
              <w:spacing w:after="0"/>
              <w:rPr>
                <w:sz w:val="20"/>
                <w:szCs w:val="20"/>
                <w:color w:val="auto"/>
              </w:rPr>
            </w:pPr>
            <w:r>
              <w:rPr>
                <w:rFonts w:ascii="Arial" w:cs="Arial" w:eastAsia="Arial" w:hAnsi="Arial"/>
                <w:sz w:val="10"/>
                <w:szCs w:val="10"/>
                <w:color w:val="auto"/>
              </w:rPr>
              <w:t xml:space="preserve">Alta XI </w:t>
            </w:r>
            <w:r>
              <w:rPr>
                <w:rFonts w:ascii="Arial" w:cs="Arial" w:eastAsia="Arial" w:hAnsi="Arial"/>
                <w:sz w:val="5"/>
                <w:szCs w:val="5"/>
                <w:color w:val="auto"/>
              </w:rPr>
              <w:t>(b)</w:t>
            </w:r>
          </w:p>
        </w:tc>
        <w:tc>
          <w:tcPr>
            <w:tcW w:w="1160" w:type="dxa"/>
            <w:vAlign w:val="bottom"/>
          </w:tcPr>
          <w:p>
            <w:pPr>
              <w:jc w:val="right"/>
              <w:spacing w:after="0"/>
              <w:rPr>
                <w:sz w:val="20"/>
                <w:szCs w:val="20"/>
                <w:color w:val="auto"/>
              </w:rPr>
            </w:pPr>
            <w:r>
              <w:rPr>
                <w:rFonts w:ascii="Arial" w:cs="Arial" w:eastAsia="Arial" w:hAnsi="Arial"/>
                <w:sz w:val="10"/>
                <w:szCs w:val="10"/>
                <w:color w:val="auto"/>
              </w:rPr>
              <w:t>100%</w:t>
            </w:r>
          </w:p>
        </w:tc>
        <w:tc>
          <w:tcPr>
            <w:tcW w:w="120" w:type="dxa"/>
            <w:vAlign w:val="bottom"/>
          </w:tcPr>
          <w:p>
            <w:pPr>
              <w:spacing w:after="0"/>
              <w:rPr>
                <w:sz w:val="15"/>
                <w:szCs w:val="15"/>
                <w:color w:val="auto"/>
              </w:rPr>
            </w:pPr>
          </w:p>
        </w:tc>
        <w:tc>
          <w:tcPr>
            <w:tcW w:w="1140" w:type="dxa"/>
            <w:vAlign w:val="bottom"/>
          </w:tcPr>
          <w:p>
            <w:pPr>
              <w:jc w:val="right"/>
              <w:ind w:right="72"/>
              <w:spacing w:after="0"/>
              <w:rPr>
                <w:sz w:val="20"/>
                <w:szCs w:val="20"/>
                <w:color w:val="auto"/>
              </w:rPr>
            </w:pPr>
            <w:r>
              <w:rPr>
                <w:rFonts w:ascii="Arial" w:cs="Arial" w:eastAsia="Arial" w:hAnsi="Arial"/>
                <w:sz w:val="10"/>
                <w:szCs w:val="10"/>
                <w:color w:val="auto"/>
              </w:rPr>
              <w:t>90</w:t>
            </w:r>
          </w:p>
        </w:tc>
        <w:tc>
          <w:tcPr>
            <w:tcW w:w="120" w:type="dxa"/>
            <w:vAlign w:val="bottom"/>
          </w:tcPr>
          <w:p>
            <w:pPr>
              <w:spacing w:after="0"/>
              <w:rPr>
                <w:sz w:val="15"/>
                <w:szCs w:val="15"/>
                <w:color w:val="auto"/>
              </w:rPr>
            </w:pPr>
          </w:p>
        </w:tc>
        <w:tc>
          <w:tcPr>
            <w:tcW w:w="3440" w:type="dxa"/>
            <w:vAlign w:val="bottom"/>
            <w:gridSpan w:val="2"/>
          </w:tcPr>
          <w:p>
            <w:pPr>
              <w:jc w:val="center"/>
              <w:ind w:right="120"/>
              <w:spacing w:after="0"/>
              <w:rPr>
                <w:sz w:val="20"/>
                <w:szCs w:val="20"/>
                <w:color w:val="auto"/>
              </w:rPr>
            </w:pPr>
            <w:r>
              <w:rPr>
                <w:rFonts w:ascii="Arial" w:cs="Arial" w:eastAsia="Arial" w:hAnsi="Arial"/>
                <w:sz w:val="10"/>
                <w:szCs w:val="10"/>
                <w:color w:val="auto"/>
                <w:w w:val="87"/>
              </w:rPr>
              <w:t>Southern California Edison</w:t>
            </w:r>
          </w:p>
        </w:tc>
        <w:tc>
          <w:tcPr>
            <w:tcW w:w="1140" w:type="dxa"/>
            <w:vAlign w:val="bottom"/>
          </w:tcPr>
          <w:p>
            <w:pPr>
              <w:jc w:val="center"/>
              <w:spacing w:after="0"/>
              <w:rPr>
                <w:sz w:val="20"/>
                <w:szCs w:val="20"/>
                <w:color w:val="auto"/>
              </w:rPr>
            </w:pPr>
            <w:r>
              <w:rPr>
                <w:rFonts w:ascii="Arial" w:cs="Arial" w:eastAsia="Arial" w:hAnsi="Arial"/>
                <w:sz w:val="10"/>
                <w:szCs w:val="10"/>
                <w:color w:val="auto"/>
                <w:w w:val="89"/>
              </w:rPr>
              <w:t>2038</w:t>
            </w:r>
          </w:p>
        </w:tc>
      </w:tr>
      <w:tr>
        <w:trPr>
          <w:trHeight w:val="184"/>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Buffalo Bear</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19</w:t>
            </w:r>
          </w:p>
        </w:tc>
        <w:tc>
          <w:tcPr>
            <w:tcW w:w="120" w:type="dxa"/>
            <w:vAlign w:val="bottom"/>
            <w:shd w:val="clear" w:color="auto" w:fill="CCEEFF"/>
          </w:tcPr>
          <w:p>
            <w:pPr>
              <w:spacing w:after="0"/>
              <w:rPr>
                <w:sz w:val="16"/>
                <w:szCs w:val="16"/>
                <w:color w:val="auto"/>
              </w:rPr>
            </w:pPr>
          </w:p>
        </w:tc>
        <w:tc>
          <w:tcPr>
            <w:tcW w:w="344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86"/>
              </w:rPr>
              <w:t>Western Farmers Electric Co-operative</w:t>
            </w:r>
          </w:p>
        </w:tc>
        <w:tc>
          <w:tcPr>
            <w:tcW w:w="11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2033</w:t>
            </w:r>
          </w:p>
        </w:tc>
      </w:tr>
      <w:tr>
        <w:trPr>
          <w:trHeight w:val="176"/>
        </w:trPr>
        <w:tc>
          <w:tcPr>
            <w:tcW w:w="4360" w:type="dxa"/>
            <w:vAlign w:val="bottom"/>
            <w:gridSpan w:val="2"/>
          </w:tcPr>
          <w:p>
            <w:pPr>
              <w:ind w:left="180"/>
              <w:spacing w:after="0"/>
              <w:rPr>
                <w:sz w:val="20"/>
                <w:szCs w:val="20"/>
                <w:color w:val="auto"/>
              </w:rPr>
            </w:pPr>
            <w:r>
              <w:rPr>
                <w:rFonts w:ascii="Arial" w:cs="Arial" w:eastAsia="Arial" w:hAnsi="Arial"/>
                <w:sz w:val="10"/>
                <w:szCs w:val="10"/>
                <w:color w:val="auto"/>
              </w:rPr>
              <w:t xml:space="preserve">Crosswinds </w:t>
            </w:r>
            <w:r>
              <w:rPr>
                <w:rFonts w:ascii="Arial" w:cs="Arial" w:eastAsia="Arial" w:hAnsi="Arial"/>
                <w:sz w:val="5"/>
                <w:szCs w:val="5"/>
                <w:color w:val="auto"/>
              </w:rPr>
              <w:t>(b) (f)</w:t>
            </w:r>
          </w:p>
        </w:tc>
        <w:tc>
          <w:tcPr>
            <w:tcW w:w="1160" w:type="dxa"/>
            <w:vAlign w:val="bottom"/>
          </w:tcPr>
          <w:p>
            <w:pPr>
              <w:jc w:val="right"/>
              <w:spacing w:after="0"/>
              <w:rPr>
                <w:sz w:val="20"/>
                <w:szCs w:val="20"/>
                <w:color w:val="auto"/>
              </w:rPr>
            </w:pPr>
            <w:r>
              <w:rPr>
                <w:rFonts w:ascii="Arial" w:cs="Arial" w:eastAsia="Arial" w:hAnsi="Arial"/>
                <w:sz w:val="10"/>
                <w:szCs w:val="10"/>
                <w:color w:val="auto"/>
              </w:rPr>
              <w:t>99%</w:t>
            </w:r>
          </w:p>
        </w:tc>
        <w:tc>
          <w:tcPr>
            <w:tcW w:w="120" w:type="dxa"/>
            <w:vAlign w:val="bottom"/>
          </w:tcPr>
          <w:p>
            <w:pPr>
              <w:spacing w:after="0"/>
              <w:rPr>
                <w:sz w:val="15"/>
                <w:szCs w:val="15"/>
                <w:color w:val="auto"/>
              </w:rPr>
            </w:pPr>
          </w:p>
        </w:tc>
        <w:tc>
          <w:tcPr>
            <w:tcW w:w="1140" w:type="dxa"/>
            <w:vAlign w:val="bottom"/>
          </w:tcPr>
          <w:p>
            <w:pPr>
              <w:jc w:val="right"/>
              <w:ind w:right="72"/>
              <w:spacing w:after="0"/>
              <w:rPr>
                <w:sz w:val="20"/>
                <w:szCs w:val="20"/>
                <w:color w:val="auto"/>
              </w:rPr>
            </w:pPr>
            <w:r>
              <w:rPr>
                <w:rFonts w:ascii="Arial" w:cs="Arial" w:eastAsia="Arial" w:hAnsi="Arial"/>
                <w:sz w:val="10"/>
                <w:szCs w:val="10"/>
                <w:color w:val="auto"/>
              </w:rPr>
              <w:t>21</w:t>
            </w:r>
          </w:p>
        </w:tc>
        <w:tc>
          <w:tcPr>
            <w:tcW w:w="120" w:type="dxa"/>
            <w:vAlign w:val="bottom"/>
          </w:tcPr>
          <w:p>
            <w:pPr>
              <w:spacing w:after="0"/>
              <w:rPr>
                <w:sz w:val="15"/>
                <w:szCs w:val="15"/>
                <w:color w:val="auto"/>
              </w:rPr>
            </w:pPr>
          </w:p>
        </w:tc>
        <w:tc>
          <w:tcPr>
            <w:tcW w:w="3440" w:type="dxa"/>
            <w:vAlign w:val="bottom"/>
            <w:gridSpan w:val="2"/>
          </w:tcPr>
          <w:p>
            <w:pPr>
              <w:jc w:val="center"/>
              <w:ind w:right="100"/>
              <w:spacing w:after="0"/>
              <w:rPr>
                <w:sz w:val="20"/>
                <w:szCs w:val="20"/>
                <w:color w:val="auto"/>
              </w:rPr>
            </w:pPr>
            <w:r>
              <w:rPr>
                <w:rFonts w:ascii="Arial" w:cs="Arial" w:eastAsia="Arial" w:hAnsi="Arial"/>
                <w:sz w:val="10"/>
                <w:szCs w:val="10"/>
                <w:color w:val="auto"/>
                <w:w w:val="87"/>
              </w:rPr>
              <w:t>Corn Belt Power Cooperative</w:t>
            </w:r>
          </w:p>
        </w:tc>
        <w:tc>
          <w:tcPr>
            <w:tcW w:w="1140" w:type="dxa"/>
            <w:vAlign w:val="bottom"/>
          </w:tcPr>
          <w:p>
            <w:pPr>
              <w:jc w:val="center"/>
              <w:spacing w:after="0"/>
              <w:rPr>
                <w:sz w:val="20"/>
                <w:szCs w:val="20"/>
                <w:color w:val="auto"/>
              </w:rPr>
            </w:pPr>
            <w:r>
              <w:rPr>
                <w:rFonts w:ascii="Arial" w:cs="Arial" w:eastAsia="Arial" w:hAnsi="Arial"/>
                <w:sz w:val="10"/>
                <w:szCs w:val="10"/>
                <w:color w:val="auto"/>
                <w:w w:val="89"/>
              </w:rPr>
              <w:t>2027</w:t>
            </w:r>
          </w:p>
        </w:tc>
      </w:tr>
      <w:tr>
        <w:trPr>
          <w:trHeight w:val="184"/>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 xml:space="preserve">Elbow Creek </w:t>
            </w:r>
            <w:r>
              <w:rPr>
                <w:rFonts w:ascii="Arial" w:cs="Arial" w:eastAsia="Arial" w:hAnsi="Arial"/>
                <w:sz w:val="5"/>
                <w:szCs w:val="5"/>
                <w:color w:val="auto"/>
              </w:rPr>
              <w:t>(b) (f)</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122</w:t>
            </w:r>
          </w:p>
        </w:tc>
        <w:tc>
          <w:tcPr>
            <w:tcW w:w="120" w:type="dxa"/>
            <w:vAlign w:val="bottom"/>
            <w:shd w:val="clear" w:color="auto" w:fill="CCEEFF"/>
          </w:tcPr>
          <w:p>
            <w:pPr>
              <w:spacing w:after="0"/>
              <w:rPr>
                <w:sz w:val="16"/>
                <w:szCs w:val="16"/>
                <w:color w:val="auto"/>
              </w:rPr>
            </w:pPr>
          </w:p>
        </w:tc>
        <w:tc>
          <w:tcPr>
            <w:tcW w:w="344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0"/>
              </w:rPr>
              <w:t>NRG Power Marketing LLC</w:t>
            </w:r>
          </w:p>
        </w:tc>
        <w:tc>
          <w:tcPr>
            <w:tcW w:w="11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2022</w:t>
            </w:r>
          </w:p>
        </w:tc>
      </w:tr>
      <w:tr>
        <w:trPr>
          <w:trHeight w:val="176"/>
        </w:trPr>
        <w:tc>
          <w:tcPr>
            <w:tcW w:w="4360" w:type="dxa"/>
            <w:vAlign w:val="bottom"/>
            <w:gridSpan w:val="2"/>
          </w:tcPr>
          <w:p>
            <w:pPr>
              <w:ind w:left="180"/>
              <w:spacing w:after="0"/>
              <w:rPr>
                <w:sz w:val="20"/>
                <w:szCs w:val="20"/>
                <w:color w:val="auto"/>
              </w:rPr>
            </w:pPr>
            <w:r>
              <w:rPr>
                <w:rFonts w:ascii="Arial" w:cs="Arial" w:eastAsia="Arial" w:hAnsi="Arial"/>
                <w:sz w:val="10"/>
                <w:szCs w:val="10"/>
                <w:color w:val="auto"/>
              </w:rPr>
              <w:t xml:space="preserve">Elkhorn Ridge </w:t>
            </w:r>
            <w:r>
              <w:rPr>
                <w:rFonts w:ascii="Arial" w:cs="Arial" w:eastAsia="Arial" w:hAnsi="Arial"/>
                <w:sz w:val="5"/>
                <w:szCs w:val="5"/>
                <w:color w:val="auto"/>
              </w:rPr>
              <w:t>(b) (f)</w:t>
            </w:r>
          </w:p>
        </w:tc>
        <w:tc>
          <w:tcPr>
            <w:tcW w:w="1160" w:type="dxa"/>
            <w:vAlign w:val="bottom"/>
          </w:tcPr>
          <w:p>
            <w:pPr>
              <w:jc w:val="right"/>
              <w:spacing w:after="0"/>
              <w:rPr>
                <w:sz w:val="20"/>
                <w:szCs w:val="20"/>
                <w:color w:val="auto"/>
              </w:rPr>
            </w:pPr>
            <w:r>
              <w:rPr>
                <w:rFonts w:ascii="Arial" w:cs="Arial" w:eastAsia="Arial" w:hAnsi="Arial"/>
                <w:sz w:val="10"/>
                <w:szCs w:val="10"/>
                <w:color w:val="auto"/>
              </w:rPr>
              <w:t>66.7%</w:t>
            </w:r>
          </w:p>
        </w:tc>
        <w:tc>
          <w:tcPr>
            <w:tcW w:w="120" w:type="dxa"/>
            <w:vAlign w:val="bottom"/>
          </w:tcPr>
          <w:p>
            <w:pPr>
              <w:spacing w:after="0"/>
              <w:rPr>
                <w:sz w:val="15"/>
                <w:szCs w:val="15"/>
                <w:color w:val="auto"/>
              </w:rPr>
            </w:pPr>
          </w:p>
        </w:tc>
        <w:tc>
          <w:tcPr>
            <w:tcW w:w="1140" w:type="dxa"/>
            <w:vAlign w:val="bottom"/>
          </w:tcPr>
          <w:p>
            <w:pPr>
              <w:jc w:val="right"/>
              <w:ind w:right="72"/>
              <w:spacing w:after="0"/>
              <w:rPr>
                <w:sz w:val="20"/>
                <w:szCs w:val="20"/>
                <w:color w:val="auto"/>
              </w:rPr>
            </w:pPr>
            <w:r>
              <w:rPr>
                <w:rFonts w:ascii="Arial" w:cs="Arial" w:eastAsia="Arial" w:hAnsi="Arial"/>
                <w:sz w:val="10"/>
                <w:szCs w:val="10"/>
                <w:color w:val="auto"/>
              </w:rPr>
              <w:t>54</w:t>
            </w:r>
          </w:p>
        </w:tc>
        <w:tc>
          <w:tcPr>
            <w:tcW w:w="120" w:type="dxa"/>
            <w:vAlign w:val="bottom"/>
          </w:tcPr>
          <w:p>
            <w:pPr>
              <w:spacing w:after="0"/>
              <w:rPr>
                <w:sz w:val="15"/>
                <w:szCs w:val="15"/>
                <w:color w:val="auto"/>
              </w:rPr>
            </w:pPr>
          </w:p>
        </w:tc>
        <w:tc>
          <w:tcPr>
            <w:tcW w:w="3440" w:type="dxa"/>
            <w:vAlign w:val="bottom"/>
            <w:gridSpan w:val="2"/>
          </w:tcPr>
          <w:p>
            <w:pPr>
              <w:jc w:val="center"/>
              <w:ind w:right="120"/>
              <w:spacing w:after="0"/>
              <w:rPr>
                <w:sz w:val="20"/>
                <w:szCs w:val="20"/>
                <w:color w:val="auto"/>
              </w:rPr>
            </w:pPr>
            <w:r>
              <w:rPr>
                <w:rFonts w:ascii="Arial" w:cs="Arial" w:eastAsia="Arial" w:hAnsi="Arial"/>
                <w:sz w:val="10"/>
                <w:szCs w:val="10"/>
                <w:color w:val="auto"/>
                <w:w w:val="87"/>
              </w:rPr>
              <w:t>Nebraska Public Power District</w:t>
            </w:r>
          </w:p>
        </w:tc>
        <w:tc>
          <w:tcPr>
            <w:tcW w:w="1140" w:type="dxa"/>
            <w:vAlign w:val="bottom"/>
          </w:tcPr>
          <w:p>
            <w:pPr>
              <w:jc w:val="center"/>
              <w:spacing w:after="0"/>
              <w:rPr>
                <w:sz w:val="20"/>
                <w:szCs w:val="20"/>
                <w:color w:val="auto"/>
              </w:rPr>
            </w:pPr>
            <w:r>
              <w:rPr>
                <w:rFonts w:ascii="Arial" w:cs="Arial" w:eastAsia="Arial" w:hAnsi="Arial"/>
                <w:sz w:val="10"/>
                <w:szCs w:val="10"/>
                <w:color w:val="auto"/>
                <w:w w:val="89"/>
              </w:rPr>
              <w:t>2029</w:t>
            </w:r>
          </w:p>
        </w:tc>
      </w:tr>
      <w:tr>
        <w:trPr>
          <w:trHeight w:val="184"/>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 xml:space="preserve">Forward </w:t>
            </w:r>
            <w:r>
              <w:rPr>
                <w:rFonts w:ascii="Arial" w:cs="Arial" w:eastAsia="Arial" w:hAnsi="Arial"/>
                <w:sz w:val="5"/>
                <w:szCs w:val="5"/>
                <w:color w:val="auto"/>
              </w:rPr>
              <w:t>(b) (f)</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29</w:t>
            </w:r>
          </w:p>
        </w:tc>
        <w:tc>
          <w:tcPr>
            <w:tcW w:w="120" w:type="dxa"/>
            <w:vAlign w:val="bottom"/>
            <w:shd w:val="clear" w:color="auto" w:fill="CCEEFF"/>
          </w:tcPr>
          <w:p>
            <w:pPr>
              <w:spacing w:after="0"/>
              <w:rPr>
                <w:sz w:val="16"/>
                <w:szCs w:val="16"/>
                <w:color w:val="auto"/>
              </w:rPr>
            </w:pPr>
          </w:p>
        </w:tc>
        <w:tc>
          <w:tcPr>
            <w:tcW w:w="344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88"/>
              </w:rPr>
              <w:t>Constellation NewEnergy, Inc.</w:t>
            </w:r>
          </w:p>
        </w:tc>
        <w:tc>
          <w:tcPr>
            <w:tcW w:w="11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2022</w:t>
            </w:r>
          </w:p>
        </w:tc>
      </w:tr>
    </w:tbl>
    <w:p>
      <w:pPr>
        <w:spacing w:after="0" w:line="18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480"/>
          </w:cols>
          <w:pgMar w:left="220" w:top="509" w:right="199" w:bottom="1440" w:gutter="0" w:footer="0" w:header="0"/>
        </w:sectPr>
      </w:pPr>
    </w:p>
    <w:bookmarkStart w:id="12" w:name="page13"/>
    <w:bookmarkEnd w:id="12"/>
    <w:tbl>
      <w:tblPr>
        <w:tblLayout w:type="fixed"/>
        <w:tblInd w:w="8" w:type="dxa"/>
        <w:tblCellMar>
          <w:top w:w="0" w:type="dxa"/>
          <w:left w:w="0" w:type="dxa"/>
          <w:bottom w:w="0" w:type="dxa"/>
          <w:right w:w="0" w:type="dxa"/>
        </w:tblCellMar>
      </w:tblPr>
      <w:tr>
        <w:trPr>
          <w:trHeight w:val="128"/>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Projects</w:t>
            </w:r>
          </w:p>
        </w:tc>
        <w:tc>
          <w:tcPr>
            <w:tcW w:w="120" w:type="dxa"/>
            <w:vAlign w:val="bottom"/>
          </w:tcPr>
          <w:p>
            <w:pPr>
              <w:spacing w:after="0"/>
              <w:rPr>
                <w:sz w:val="11"/>
                <w:szCs w:val="11"/>
                <w:color w:val="auto"/>
              </w:rPr>
            </w:pPr>
          </w:p>
        </w:tc>
        <w:tc>
          <w:tcPr>
            <w:tcW w:w="11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w w:val="94"/>
              </w:rPr>
              <w:t>Percentage Ownership</w:t>
            </w:r>
          </w:p>
        </w:tc>
        <w:tc>
          <w:tcPr>
            <w:tcW w:w="120" w:type="dxa"/>
            <w:vAlign w:val="bottom"/>
          </w:tcPr>
          <w:p>
            <w:pPr>
              <w:spacing w:after="0"/>
              <w:rPr>
                <w:sz w:val="11"/>
                <w:szCs w:val="11"/>
                <w:color w:val="auto"/>
              </w:rPr>
            </w:pP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Net Capacity (MW)</w:t>
            </w:r>
            <w:r>
              <w:rPr>
                <w:rFonts w:ascii="Arial" w:cs="Arial" w:eastAsia="Arial" w:hAnsi="Arial"/>
                <w:sz w:val="5"/>
                <w:szCs w:val="5"/>
                <w:b w:val="1"/>
                <w:bCs w:val="1"/>
                <w:color w:val="auto"/>
              </w:rPr>
              <w:t>(a)</w:t>
            </w:r>
          </w:p>
        </w:tc>
        <w:tc>
          <w:tcPr>
            <w:tcW w:w="120" w:type="dxa"/>
            <w:vAlign w:val="bottom"/>
          </w:tcPr>
          <w:p>
            <w:pPr>
              <w:spacing w:after="0"/>
              <w:rPr>
                <w:sz w:val="11"/>
                <w:szCs w:val="11"/>
                <w:color w:val="auto"/>
              </w:rPr>
            </w:pPr>
          </w:p>
        </w:tc>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Offtake Counterparty</w:t>
            </w:r>
          </w:p>
        </w:tc>
        <w:tc>
          <w:tcPr>
            <w:tcW w:w="120" w:type="dxa"/>
            <w:vAlign w:val="bottom"/>
          </w:tcPr>
          <w:p>
            <w:pPr>
              <w:spacing w:after="0"/>
              <w:rPr>
                <w:sz w:val="11"/>
                <w:szCs w:val="11"/>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Expiration</w:t>
            </w:r>
          </w:p>
        </w:tc>
      </w:tr>
      <w:tr>
        <w:trPr>
          <w:trHeight w:val="160"/>
        </w:trPr>
        <w:tc>
          <w:tcPr>
            <w:tcW w:w="4360" w:type="dxa"/>
            <w:vAlign w:val="bottom"/>
            <w:gridSpan w:val="2"/>
          </w:tcPr>
          <w:p>
            <w:pPr>
              <w:ind w:left="180"/>
              <w:spacing w:after="0"/>
              <w:rPr>
                <w:sz w:val="20"/>
                <w:szCs w:val="20"/>
                <w:color w:val="auto"/>
              </w:rPr>
            </w:pPr>
            <w:r>
              <w:rPr>
                <w:rFonts w:ascii="Arial" w:cs="Arial" w:eastAsia="Arial" w:hAnsi="Arial"/>
                <w:sz w:val="10"/>
                <w:szCs w:val="10"/>
                <w:color w:val="auto"/>
              </w:rPr>
              <w:t xml:space="preserve">Goat Wind </w:t>
            </w:r>
            <w:r>
              <w:rPr>
                <w:rFonts w:ascii="Arial" w:cs="Arial" w:eastAsia="Arial" w:hAnsi="Arial"/>
                <w:sz w:val="5"/>
                <w:szCs w:val="5"/>
                <w:color w:val="auto"/>
              </w:rPr>
              <w:t>(b) (f)</w:t>
            </w:r>
          </w:p>
        </w:tc>
        <w:tc>
          <w:tcPr>
            <w:tcW w:w="1160" w:type="dxa"/>
            <w:vAlign w:val="bottom"/>
          </w:tcPr>
          <w:p>
            <w:pPr>
              <w:jc w:val="right"/>
              <w:spacing w:after="0"/>
              <w:rPr>
                <w:sz w:val="20"/>
                <w:szCs w:val="20"/>
                <w:color w:val="auto"/>
              </w:rPr>
            </w:pPr>
            <w:r>
              <w:rPr>
                <w:rFonts w:ascii="Arial" w:cs="Arial" w:eastAsia="Arial" w:hAnsi="Arial"/>
                <w:sz w:val="10"/>
                <w:szCs w:val="10"/>
                <w:color w:val="auto"/>
              </w:rPr>
              <w:t>100%</w:t>
            </w:r>
          </w:p>
        </w:tc>
        <w:tc>
          <w:tcPr>
            <w:tcW w:w="120" w:type="dxa"/>
            <w:vAlign w:val="bottom"/>
          </w:tcPr>
          <w:p>
            <w:pPr>
              <w:spacing w:after="0"/>
              <w:rPr>
                <w:sz w:val="13"/>
                <w:szCs w:val="13"/>
                <w:color w:val="auto"/>
              </w:rPr>
            </w:pPr>
          </w:p>
        </w:tc>
        <w:tc>
          <w:tcPr>
            <w:tcW w:w="1140" w:type="dxa"/>
            <w:vAlign w:val="bottom"/>
          </w:tcPr>
          <w:p>
            <w:pPr>
              <w:jc w:val="right"/>
              <w:ind w:right="72"/>
              <w:spacing w:after="0"/>
              <w:rPr>
                <w:sz w:val="20"/>
                <w:szCs w:val="20"/>
                <w:color w:val="auto"/>
              </w:rPr>
            </w:pPr>
            <w:r>
              <w:rPr>
                <w:rFonts w:ascii="Arial" w:cs="Arial" w:eastAsia="Arial" w:hAnsi="Arial"/>
                <w:sz w:val="10"/>
                <w:szCs w:val="10"/>
                <w:color w:val="auto"/>
              </w:rPr>
              <w:t>150</w:t>
            </w:r>
          </w:p>
        </w:tc>
        <w:tc>
          <w:tcPr>
            <w:tcW w:w="120" w:type="dxa"/>
            <w:vAlign w:val="bottom"/>
          </w:tcPr>
          <w:p>
            <w:pPr>
              <w:spacing w:after="0"/>
              <w:rPr>
                <w:sz w:val="13"/>
                <w:szCs w:val="13"/>
                <w:color w:val="auto"/>
              </w:rPr>
            </w:pPr>
          </w:p>
        </w:tc>
        <w:tc>
          <w:tcPr>
            <w:tcW w:w="3440" w:type="dxa"/>
            <w:vAlign w:val="bottom"/>
            <w:gridSpan w:val="2"/>
          </w:tcPr>
          <w:p>
            <w:pPr>
              <w:jc w:val="center"/>
              <w:ind w:right="120"/>
              <w:spacing w:after="0"/>
              <w:rPr>
                <w:sz w:val="20"/>
                <w:szCs w:val="20"/>
                <w:color w:val="auto"/>
              </w:rPr>
            </w:pPr>
            <w:r>
              <w:rPr>
                <w:rFonts w:ascii="Arial" w:cs="Arial" w:eastAsia="Arial" w:hAnsi="Arial"/>
                <w:sz w:val="10"/>
                <w:szCs w:val="10"/>
                <w:color w:val="auto"/>
                <w:w w:val="88"/>
              </w:rPr>
              <w:t>Dow Pipeline Company</w:t>
            </w:r>
          </w:p>
        </w:tc>
        <w:tc>
          <w:tcPr>
            <w:tcW w:w="1140" w:type="dxa"/>
            <w:vAlign w:val="bottom"/>
          </w:tcPr>
          <w:p>
            <w:pPr>
              <w:jc w:val="center"/>
              <w:spacing w:after="0"/>
              <w:rPr>
                <w:sz w:val="20"/>
                <w:szCs w:val="20"/>
                <w:color w:val="auto"/>
              </w:rPr>
            </w:pPr>
            <w:r>
              <w:rPr>
                <w:rFonts w:ascii="Arial" w:cs="Arial" w:eastAsia="Arial" w:hAnsi="Arial"/>
                <w:sz w:val="10"/>
                <w:szCs w:val="10"/>
                <w:color w:val="auto"/>
                <w:w w:val="89"/>
              </w:rPr>
              <w:t>2025</w:t>
            </w:r>
          </w:p>
        </w:tc>
      </w:tr>
      <w:tr>
        <w:trPr>
          <w:trHeight w:val="184"/>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 xml:space="preserve">Hardin </w:t>
            </w:r>
            <w:r>
              <w:rPr>
                <w:rFonts w:ascii="Arial" w:cs="Arial" w:eastAsia="Arial" w:hAnsi="Arial"/>
                <w:sz w:val="5"/>
                <w:szCs w:val="5"/>
                <w:color w:val="auto"/>
              </w:rPr>
              <w:t>(b) (f)</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99%</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15</w:t>
            </w:r>
          </w:p>
        </w:tc>
        <w:tc>
          <w:tcPr>
            <w:tcW w:w="120" w:type="dxa"/>
            <w:vAlign w:val="bottom"/>
            <w:shd w:val="clear" w:color="auto" w:fill="CCEEFF"/>
          </w:tcPr>
          <w:p>
            <w:pPr>
              <w:spacing w:after="0"/>
              <w:rPr>
                <w:sz w:val="16"/>
                <w:szCs w:val="16"/>
                <w:color w:val="auto"/>
              </w:rPr>
            </w:pPr>
          </w:p>
        </w:tc>
        <w:tc>
          <w:tcPr>
            <w:tcW w:w="344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87"/>
              </w:rPr>
              <w:t>Interstate Power and Light Company</w:t>
            </w:r>
          </w:p>
        </w:tc>
        <w:tc>
          <w:tcPr>
            <w:tcW w:w="11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2027</w:t>
            </w:r>
          </w:p>
        </w:tc>
      </w:tr>
      <w:tr>
        <w:trPr>
          <w:trHeight w:val="176"/>
        </w:trPr>
        <w:tc>
          <w:tcPr>
            <w:tcW w:w="4360" w:type="dxa"/>
            <w:vAlign w:val="bottom"/>
            <w:gridSpan w:val="2"/>
          </w:tcPr>
          <w:p>
            <w:pPr>
              <w:ind w:left="180"/>
              <w:spacing w:after="0"/>
              <w:rPr>
                <w:sz w:val="20"/>
                <w:szCs w:val="20"/>
                <w:color w:val="auto"/>
              </w:rPr>
            </w:pPr>
            <w:r>
              <w:rPr>
                <w:rFonts w:ascii="Arial" w:cs="Arial" w:eastAsia="Arial" w:hAnsi="Arial"/>
                <w:sz w:val="10"/>
                <w:szCs w:val="10"/>
                <w:color w:val="auto"/>
              </w:rPr>
              <w:t>Laredo Ridge</w:t>
            </w:r>
          </w:p>
        </w:tc>
        <w:tc>
          <w:tcPr>
            <w:tcW w:w="1160" w:type="dxa"/>
            <w:vAlign w:val="bottom"/>
          </w:tcPr>
          <w:p>
            <w:pPr>
              <w:jc w:val="right"/>
              <w:spacing w:after="0"/>
              <w:rPr>
                <w:sz w:val="20"/>
                <w:szCs w:val="20"/>
                <w:color w:val="auto"/>
              </w:rPr>
            </w:pPr>
            <w:r>
              <w:rPr>
                <w:rFonts w:ascii="Arial" w:cs="Arial" w:eastAsia="Arial" w:hAnsi="Arial"/>
                <w:sz w:val="10"/>
                <w:szCs w:val="10"/>
                <w:color w:val="auto"/>
              </w:rPr>
              <w:t>100%</w:t>
            </w:r>
          </w:p>
        </w:tc>
        <w:tc>
          <w:tcPr>
            <w:tcW w:w="120" w:type="dxa"/>
            <w:vAlign w:val="bottom"/>
          </w:tcPr>
          <w:p>
            <w:pPr>
              <w:spacing w:after="0"/>
              <w:rPr>
                <w:sz w:val="15"/>
                <w:szCs w:val="15"/>
                <w:color w:val="auto"/>
              </w:rPr>
            </w:pPr>
          </w:p>
        </w:tc>
        <w:tc>
          <w:tcPr>
            <w:tcW w:w="1140" w:type="dxa"/>
            <w:vAlign w:val="bottom"/>
          </w:tcPr>
          <w:p>
            <w:pPr>
              <w:jc w:val="right"/>
              <w:ind w:right="72"/>
              <w:spacing w:after="0"/>
              <w:rPr>
                <w:sz w:val="20"/>
                <w:szCs w:val="20"/>
                <w:color w:val="auto"/>
              </w:rPr>
            </w:pPr>
            <w:r>
              <w:rPr>
                <w:rFonts w:ascii="Arial" w:cs="Arial" w:eastAsia="Arial" w:hAnsi="Arial"/>
                <w:sz w:val="10"/>
                <w:szCs w:val="10"/>
                <w:color w:val="auto"/>
              </w:rPr>
              <w:t>80</w:t>
            </w:r>
          </w:p>
        </w:tc>
        <w:tc>
          <w:tcPr>
            <w:tcW w:w="120" w:type="dxa"/>
            <w:vAlign w:val="bottom"/>
          </w:tcPr>
          <w:p>
            <w:pPr>
              <w:spacing w:after="0"/>
              <w:rPr>
                <w:sz w:val="15"/>
                <w:szCs w:val="15"/>
                <w:color w:val="auto"/>
              </w:rPr>
            </w:pPr>
          </w:p>
        </w:tc>
        <w:tc>
          <w:tcPr>
            <w:tcW w:w="3440" w:type="dxa"/>
            <w:vAlign w:val="bottom"/>
            <w:gridSpan w:val="2"/>
          </w:tcPr>
          <w:p>
            <w:pPr>
              <w:jc w:val="center"/>
              <w:ind w:right="120"/>
              <w:spacing w:after="0"/>
              <w:rPr>
                <w:sz w:val="20"/>
                <w:szCs w:val="20"/>
                <w:color w:val="auto"/>
              </w:rPr>
            </w:pPr>
            <w:r>
              <w:rPr>
                <w:rFonts w:ascii="Arial" w:cs="Arial" w:eastAsia="Arial" w:hAnsi="Arial"/>
                <w:sz w:val="10"/>
                <w:szCs w:val="10"/>
                <w:color w:val="auto"/>
                <w:w w:val="87"/>
              </w:rPr>
              <w:t>Nebraska Public Power District</w:t>
            </w:r>
          </w:p>
        </w:tc>
        <w:tc>
          <w:tcPr>
            <w:tcW w:w="1140" w:type="dxa"/>
            <w:vAlign w:val="bottom"/>
          </w:tcPr>
          <w:p>
            <w:pPr>
              <w:jc w:val="center"/>
              <w:spacing w:after="0"/>
              <w:rPr>
                <w:sz w:val="20"/>
                <w:szCs w:val="20"/>
                <w:color w:val="auto"/>
              </w:rPr>
            </w:pPr>
            <w:r>
              <w:rPr>
                <w:rFonts w:ascii="Arial" w:cs="Arial" w:eastAsia="Arial" w:hAnsi="Arial"/>
                <w:sz w:val="10"/>
                <w:szCs w:val="10"/>
                <w:color w:val="auto"/>
                <w:w w:val="89"/>
              </w:rPr>
              <w:t>2031</w:t>
            </w:r>
          </w:p>
        </w:tc>
      </w:tr>
      <w:tr>
        <w:trPr>
          <w:trHeight w:val="184"/>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 xml:space="preserve">Lookout </w:t>
            </w:r>
            <w:r>
              <w:rPr>
                <w:rFonts w:ascii="Arial" w:cs="Arial" w:eastAsia="Arial" w:hAnsi="Arial"/>
                <w:sz w:val="5"/>
                <w:szCs w:val="5"/>
                <w:color w:val="auto"/>
              </w:rPr>
              <w:t>(b) (f)</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38</w:t>
            </w:r>
          </w:p>
        </w:tc>
        <w:tc>
          <w:tcPr>
            <w:tcW w:w="120" w:type="dxa"/>
            <w:vAlign w:val="bottom"/>
            <w:shd w:val="clear" w:color="auto" w:fill="CCEEFF"/>
          </w:tcPr>
          <w:p>
            <w:pPr>
              <w:spacing w:after="0"/>
              <w:rPr>
                <w:sz w:val="16"/>
                <w:szCs w:val="16"/>
                <w:color w:val="auto"/>
              </w:rPr>
            </w:pPr>
          </w:p>
        </w:tc>
        <w:tc>
          <w:tcPr>
            <w:tcW w:w="3440" w:type="dxa"/>
            <w:vAlign w:val="bottom"/>
            <w:gridSpan w:val="2"/>
            <w:shd w:val="clear" w:color="auto" w:fill="CCEEFF"/>
          </w:tcPr>
          <w:p>
            <w:pPr>
              <w:jc w:val="center"/>
              <w:ind w:right="120"/>
              <w:spacing w:after="0"/>
              <w:rPr>
                <w:sz w:val="20"/>
                <w:szCs w:val="20"/>
                <w:color w:val="auto"/>
              </w:rPr>
            </w:pPr>
            <w:r>
              <w:rPr>
                <w:rFonts w:ascii="Arial" w:cs="Arial" w:eastAsia="Arial" w:hAnsi="Arial"/>
                <w:sz w:val="10"/>
                <w:szCs w:val="10"/>
                <w:color w:val="auto"/>
                <w:w w:val="88"/>
              </w:rPr>
              <w:t>Southern Maryland Electric Cooperative</w:t>
            </w:r>
          </w:p>
        </w:tc>
        <w:tc>
          <w:tcPr>
            <w:tcW w:w="11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2030</w:t>
            </w:r>
          </w:p>
        </w:tc>
      </w:tr>
      <w:tr>
        <w:trPr>
          <w:trHeight w:val="176"/>
        </w:trPr>
        <w:tc>
          <w:tcPr>
            <w:tcW w:w="4360" w:type="dxa"/>
            <w:vAlign w:val="bottom"/>
            <w:gridSpan w:val="2"/>
          </w:tcPr>
          <w:p>
            <w:pPr>
              <w:ind w:left="180"/>
              <w:spacing w:after="0"/>
              <w:rPr>
                <w:sz w:val="20"/>
                <w:szCs w:val="20"/>
                <w:color w:val="auto"/>
              </w:rPr>
            </w:pPr>
            <w:r>
              <w:rPr>
                <w:rFonts w:ascii="Arial" w:cs="Arial" w:eastAsia="Arial" w:hAnsi="Arial"/>
                <w:sz w:val="10"/>
                <w:szCs w:val="10"/>
                <w:color w:val="auto"/>
              </w:rPr>
              <w:t xml:space="preserve">Odin </w:t>
            </w:r>
            <w:r>
              <w:rPr>
                <w:rFonts w:ascii="Arial" w:cs="Arial" w:eastAsia="Arial" w:hAnsi="Arial"/>
                <w:sz w:val="5"/>
                <w:szCs w:val="5"/>
                <w:color w:val="auto"/>
              </w:rPr>
              <w:t>(b) (f)</w:t>
            </w:r>
          </w:p>
        </w:tc>
        <w:tc>
          <w:tcPr>
            <w:tcW w:w="1160" w:type="dxa"/>
            <w:vAlign w:val="bottom"/>
          </w:tcPr>
          <w:p>
            <w:pPr>
              <w:jc w:val="right"/>
              <w:spacing w:after="0"/>
              <w:rPr>
                <w:sz w:val="20"/>
                <w:szCs w:val="20"/>
                <w:color w:val="auto"/>
              </w:rPr>
            </w:pPr>
            <w:r>
              <w:rPr>
                <w:rFonts w:ascii="Arial" w:cs="Arial" w:eastAsia="Arial" w:hAnsi="Arial"/>
                <w:sz w:val="10"/>
                <w:szCs w:val="10"/>
                <w:color w:val="auto"/>
              </w:rPr>
              <w:t>99.9%</w:t>
            </w:r>
          </w:p>
        </w:tc>
        <w:tc>
          <w:tcPr>
            <w:tcW w:w="120" w:type="dxa"/>
            <w:vAlign w:val="bottom"/>
          </w:tcPr>
          <w:p>
            <w:pPr>
              <w:spacing w:after="0"/>
              <w:rPr>
                <w:sz w:val="15"/>
                <w:szCs w:val="15"/>
                <w:color w:val="auto"/>
              </w:rPr>
            </w:pPr>
          </w:p>
        </w:tc>
        <w:tc>
          <w:tcPr>
            <w:tcW w:w="1140" w:type="dxa"/>
            <w:vAlign w:val="bottom"/>
          </w:tcPr>
          <w:p>
            <w:pPr>
              <w:jc w:val="right"/>
              <w:ind w:right="72"/>
              <w:spacing w:after="0"/>
              <w:rPr>
                <w:sz w:val="20"/>
                <w:szCs w:val="20"/>
                <w:color w:val="auto"/>
              </w:rPr>
            </w:pPr>
            <w:r>
              <w:rPr>
                <w:rFonts w:ascii="Arial" w:cs="Arial" w:eastAsia="Arial" w:hAnsi="Arial"/>
                <w:sz w:val="10"/>
                <w:szCs w:val="10"/>
                <w:color w:val="auto"/>
              </w:rPr>
              <w:t>20</w:t>
            </w:r>
          </w:p>
        </w:tc>
        <w:tc>
          <w:tcPr>
            <w:tcW w:w="120" w:type="dxa"/>
            <w:vAlign w:val="bottom"/>
          </w:tcPr>
          <w:p>
            <w:pPr>
              <w:spacing w:after="0"/>
              <w:rPr>
                <w:sz w:val="15"/>
                <w:szCs w:val="15"/>
                <w:color w:val="auto"/>
              </w:rPr>
            </w:pPr>
          </w:p>
        </w:tc>
        <w:tc>
          <w:tcPr>
            <w:tcW w:w="3440" w:type="dxa"/>
            <w:vAlign w:val="bottom"/>
            <w:gridSpan w:val="2"/>
          </w:tcPr>
          <w:p>
            <w:pPr>
              <w:jc w:val="center"/>
              <w:ind w:right="120"/>
              <w:spacing w:after="0"/>
              <w:rPr>
                <w:sz w:val="20"/>
                <w:szCs w:val="20"/>
                <w:color w:val="auto"/>
              </w:rPr>
            </w:pPr>
            <w:r>
              <w:rPr>
                <w:rFonts w:ascii="Arial" w:cs="Arial" w:eastAsia="Arial" w:hAnsi="Arial"/>
                <w:sz w:val="10"/>
                <w:szCs w:val="10"/>
                <w:color w:val="auto"/>
                <w:w w:val="89"/>
              </w:rPr>
              <w:t>Missouri River Energy Services</w:t>
            </w:r>
          </w:p>
        </w:tc>
        <w:tc>
          <w:tcPr>
            <w:tcW w:w="1140" w:type="dxa"/>
            <w:vAlign w:val="bottom"/>
          </w:tcPr>
          <w:p>
            <w:pPr>
              <w:jc w:val="center"/>
              <w:spacing w:after="0"/>
              <w:rPr>
                <w:sz w:val="20"/>
                <w:szCs w:val="20"/>
                <w:color w:val="auto"/>
              </w:rPr>
            </w:pPr>
            <w:r>
              <w:rPr>
                <w:rFonts w:ascii="Arial" w:cs="Arial" w:eastAsia="Arial" w:hAnsi="Arial"/>
                <w:sz w:val="10"/>
                <w:szCs w:val="10"/>
                <w:color w:val="auto"/>
                <w:w w:val="89"/>
              </w:rPr>
              <w:t>2028</w:t>
            </w:r>
          </w:p>
        </w:tc>
      </w:tr>
      <w:tr>
        <w:trPr>
          <w:trHeight w:val="184"/>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Pinnacle</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55</w:t>
            </w:r>
          </w:p>
        </w:tc>
        <w:tc>
          <w:tcPr>
            <w:tcW w:w="120" w:type="dxa"/>
            <w:vAlign w:val="bottom"/>
            <w:shd w:val="clear" w:color="auto" w:fill="CCEEFF"/>
          </w:tcPr>
          <w:p>
            <w:pPr>
              <w:spacing w:after="0"/>
              <w:rPr>
                <w:sz w:val="16"/>
                <w:szCs w:val="16"/>
                <w:color w:val="auto"/>
              </w:rPr>
            </w:pPr>
          </w:p>
        </w:tc>
        <w:tc>
          <w:tcPr>
            <w:tcW w:w="3440" w:type="dxa"/>
            <w:vAlign w:val="bottom"/>
            <w:gridSpan w:val="2"/>
            <w:shd w:val="clear" w:color="auto" w:fill="CCEEFF"/>
          </w:tcPr>
          <w:p>
            <w:pPr>
              <w:jc w:val="center"/>
              <w:ind w:right="120"/>
              <w:spacing w:after="0"/>
              <w:rPr>
                <w:sz w:val="20"/>
                <w:szCs w:val="20"/>
                <w:color w:val="auto"/>
              </w:rPr>
            </w:pPr>
            <w:r>
              <w:rPr>
                <w:rFonts w:ascii="Arial" w:cs="Arial" w:eastAsia="Arial" w:hAnsi="Arial"/>
                <w:sz w:val="10"/>
                <w:szCs w:val="10"/>
                <w:color w:val="auto"/>
                <w:w w:val="88"/>
              </w:rPr>
              <w:t>Maryland Department of General Services and University System of Maryland</w:t>
            </w:r>
          </w:p>
        </w:tc>
        <w:tc>
          <w:tcPr>
            <w:tcW w:w="11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2031</w:t>
            </w:r>
          </w:p>
        </w:tc>
      </w:tr>
      <w:tr>
        <w:trPr>
          <w:trHeight w:val="176"/>
        </w:trPr>
        <w:tc>
          <w:tcPr>
            <w:tcW w:w="4360" w:type="dxa"/>
            <w:vAlign w:val="bottom"/>
            <w:gridSpan w:val="2"/>
          </w:tcPr>
          <w:p>
            <w:pPr>
              <w:ind w:left="180"/>
              <w:spacing w:after="0"/>
              <w:rPr>
                <w:sz w:val="20"/>
                <w:szCs w:val="20"/>
                <w:color w:val="auto"/>
              </w:rPr>
            </w:pPr>
            <w:r>
              <w:rPr>
                <w:rFonts w:ascii="Arial" w:cs="Arial" w:eastAsia="Arial" w:hAnsi="Arial"/>
                <w:sz w:val="10"/>
                <w:szCs w:val="10"/>
                <w:color w:val="auto"/>
              </w:rPr>
              <w:t xml:space="preserve">San Juan Mesa </w:t>
            </w:r>
            <w:r>
              <w:rPr>
                <w:rFonts w:ascii="Arial" w:cs="Arial" w:eastAsia="Arial" w:hAnsi="Arial"/>
                <w:sz w:val="5"/>
                <w:szCs w:val="5"/>
                <w:color w:val="auto"/>
              </w:rPr>
              <w:t>(b) (f)</w:t>
            </w:r>
          </w:p>
        </w:tc>
        <w:tc>
          <w:tcPr>
            <w:tcW w:w="1160" w:type="dxa"/>
            <w:vAlign w:val="bottom"/>
          </w:tcPr>
          <w:p>
            <w:pPr>
              <w:jc w:val="right"/>
              <w:spacing w:after="0"/>
              <w:rPr>
                <w:sz w:val="20"/>
                <w:szCs w:val="20"/>
                <w:color w:val="auto"/>
              </w:rPr>
            </w:pPr>
            <w:r>
              <w:rPr>
                <w:rFonts w:ascii="Arial" w:cs="Arial" w:eastAsia="Arial" w:hAnsi="Arial"/>
                <w:sz w:val="10"/>
                <w:szCs w:val="10"/>
                <w:color w:val="auto"/>
              </w:rPr>
              <w:t>75%</w:t>
            </w:r>
          </w:p>
        </w:tc>
        <w:tc>
          <w:tcPr>
            <w:tcW w:w="120" w:type="dxa"/>
            <w:vAlign w:val="bottom"/>
          </w:tcPr>
          <w:p>
            <w:pPr>
              <w:spacing w:after="0"/>
              <w:rPr>
                <w:sz w:val="15"/>
                <w:szCs w:val="15"/>
                <w:color w:val="auto"/>
              </w:rPr>
            </w:pPr>
          </w:p>
        </w:tc>
        <w:tc>
          <w:tcPr>
            <w:tcW w:w="1140" w:type="dxa"/>
            <w:vAlign w:val="bottom"/>
          </w:tcPr>
          <w:p>
            <w:pPr>
              <w:jc w:val="right"/>
              <w:ind w:right="72"/>
              <w:spacing w:after="0"/>
              <w:rPr>
                <w:sz w:val="20"/>
                <w:szCs w:val="20"/>
                <w:color w:val="auto"/>
              </w:rPr>
            </w:pPr>
            <w:r>
              <w:rPr>
                <w:rFonts w:ascii="Arial" w:cs="Arial" w:eastAsia="Arial" w:hAnsi="Arial"/>
                <w:sz w:val="10"/>
                <w:szCs w:val="10"/>
                <w:color w:val="auto"/>
              </w:rPr>
              <w:t>90</w:t>
            </w:r>
          </w:p>
        </w:tc>
        <w:tc>
          <w:tcPr>
            <w:tcW w:w="120" w:type="dxa"/>
            <w:vAlign w:val="bottom"/>
          </w:tcPr>
          <w:p>
            <w:pPr>
              <w:spacing w:after="0"/>
              <w:rPr>
                <w:sz w:val="15"/>
                <w:szCs w:val="15"/>
                <w:color w:val="auto"/>
              </w:rPr>
            </w:pPr>
          </w:p>
        </w:tc>
        <w:tc>
          <w:tcPr>
            <w:tcW w:w="3440" w:type="dxa"/>
            <w:vAlign w:val="bottom"/>
            <w:gridSpan w:val="2"/>
          </w:tcPr>
          <w:p>
            <w:pPr>
              <w:jc w:val="center"/>
              <w:ind w:right="100"/>
              <w:spacing w:after="0"/>
              <w:rPr>
                <w:sz w:val="20"/>
                <w:szCs w:val="20"/>
                <w:color w:val="auto"/>
              </w:rPr>
            </w:pPr>
            <w:r>
              <w:rPr>
                <w:rFonts w:ascii="Arial" w:cs="Arial" w:eastAsia="Arial" w:hAnsi="Arial"/>
                <w:sz w:val="10"/>
                <w:szCs w:val="10"/>
                <w:color w:val="auto"/>
                <w:w w:val="86"/>
              </w:rPr>
              <w:t>Southwestern Public Service Company</w:t>
            </w:r>
          </w:p>
        </w:tc>
        <w:tc>
          <w:tcPr>
            <w:tcW w:w="1140" w:type="dxa"/>
            <w:vAlign w:val="bottom"/>
          </w:tcPr>
          <w:p>
            <w:pPr>
              <w:jc w:val="center"/>
              <w:spacing w:after="0"/>
              <w:rPr>
                <w:sz w:val="20"/>
                <w:szCs w:val="20"/>
                <w:color w:val="auto"/>
              </w:rPr>
            </w:pPr>
            <w:r>
              <w:rPr>
                <w:rFonts w:ascii="Arial" w:cs="Arial" w:eastAsia="Arial" w:hAnsi="Arial"/>
                <w:sz w:val="10"/>
                <w:szCs w:val="10"/>
                <w:color w:val="auto"/>
                <w:w w:val="89"/>
              </w:rPr>
              <w:t>2025</w:t>
            </w:r>
          </w:p>
        </w:tc>
      </w:tr>
      <w:tr>
        <w:trPr>
          <w:trHeight w:val="184"/>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 xml:space="preserve">Sleeping Bear </w:t>
            </w:r>
            <w:r>
              <w:rPr>
                <w:rFonts w:ascii="Arial" w:cs="Arial" w:eastAsia="Arial" w:hAnsi="Arial"/>
                <w:sz w:val="5"/>
                <w:szCs w:val="5"/>
                <w:color w:val="auto"/>
              </w:rPr>
              <w:t>(b) (f)</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95</w:t>
            </w:r>
          </w:p>
        </w:tc>
        <w:tc>
          <w:tcPr>
            <w:tcW w:w="120" w:type="dxa"/>
            <w:vAlign w:val="bottom"/>
            <w:shd w:val="clear" w:color="auto" w:fill="CCEEFF"/>
          </w:tcPr>
          <w:p>
            <w:pPr>
              <w:spacing w:after="0"/>
              <w:rPr>
                <w:sz w:val="16"/>
                <w:szCs w:val="16"/>
                <w:color w:val="auto"/>
              </w:rPr>
            </w:pPr>
          </w:p>
        </w:tc>
        <w:tc>
          <w:tcPr>
            <w:tcW w:w="3440" w:type="dxa"/>
            <w:vAlign w:val="bottom"/>
            <w:gridSpan w:val="2"/>
            <w:shd w:val="clear" w:color="auto" w:fill="CCEEFF"/>
          </w:tcPr>
          <w:p>
            <w:pPr>
              <w:jc w:val="center"/>
              <w:ind w:right="120"/>
              <w:spacing w:after="0"/>
              <w:rPr>
                <w:sz w:val="20"/>
                <w:szCs w:val="20"/>
                <w:color w:val="auto"/>
              </w:rPr>
            </w:pPr>
            <w:r>
              <w:rPr>
                <w:rFonts w:ascii="Arial" w:cs="Arial" w:eastAsia="Arial" w:hAnsi="Arial"/>
                <w:sz w:val="10"/>
                <w:szCs w:val="10"/>
                <w:color w:val="auto"/>
                <w:w w:val="87"/>
              </w:rPr>
              <w:t>Public Service Company of Oklahoma</w:t>
            </w:r>
          </w:p>
        </w:tc>
        <w:tc>
          <w:tcPr>
            <w:tcW w:w="11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2032</w:t>
            </w:r>
          </w:p>
        </w:tc>
      </w:tr>
      <w:tr>
        <w:trPr>
          <w:trHeight w:val="176"/>
        </w:trPr>
        <w:tc>
          <w:tcPr>
            <w:tcW w:w="4360" w:type="dxa"/>
            <w:vAlign w:val="bottom"/>
            <w:gridSpan w:val="2"/>
          </w:tcPr>
          <w:p>
            <w:pPr>
              <w:ind w:left="180"/>
              <w:spacing w:after="0"/>
              <w:rPr>
                <w:sz w:val="20"/>
                <w:szCs w:val="20"/>
                <w:color w:val="auto"/>
              </w:rPr>
            </w:pPr>
            <w:r>
              <w:rPr>
                <w:rFonts w:ascii="Arial" w:cs="Arial" w:eastAsia="Arial" w:hAnsi="Arial"/>
                <w:sz w:val="10"/>
                <w:szCs w:val="10"/>
                <w:color w:val="auto"/>
              </w:rPr>
              <w:t>South Trent</w:t>
            </w:r>
          </w:p>
        </w:tc>
        <w:tc>
          <w:tcPr>
            <w:tcW w:w="1160" w:type="dxa"/>
            <w:vAlign w:val="bottom"/>
          </w:tcPr>
          <w:p>
            <w:pPr>
              <w:jc w:val="right"/>
              <w:spacing w:after="0"/>
              <w:rPr>
                <w:sz w:val="20"/>
                <w:szCs w:val="20"/>
                <w:color w:val="auto"/>
              </w:rPr>
            </w:pPr>
            <w:r>
              <w:rPr>
                <w:rFonts w:ascii="Arial" w:cs="Arial" w:eastAsia="Arial" w:hAnsi="Arial"/>
                <w:sz w:val="10"/>
                <w:szCs w:val="10"/>
                <w:color w:val="auto"/>
              </w:rPr>
              <w:t>100%</w:t>
            </w:r>
          </w:p>
        </w:tc>
        <w:tc>
          <w:tcPr>
            <w:tcW w:w="120" w:type="dxa"/>
            <w:vAlign w:val="bottom"/>
          </w:tcPr>
          <w:p>
            <w:pPr>
              <w:spacing w:after="0"/>
              <w:rPr>
                <w:sz w:val="15"/>
                <w:szCs w:val="15"/>
                <w:color w:val="auto"/>
              </w:rPr>
            </w:pPr>
          </w:p>
        </w:tc>
        <w:tc>
          <w:tcPr>
            <w:tcW w:w="1140" w:type="dxa"/>
            <w:vAlign w:val="bottom"/>
          </w:tcPr>
          <w:p>
            <w:pPr>
              <w:jc w:val="right"/>
              <w:ind w:right="72"/>
              <w:spacing w:after="0"/>
              <w:rPr>
                <w:sz w:val="20"/>
                <w:szCs w:val="20"/>
                <w:color w:val="auto"/>
              </w:rPr>
            </w:pPr>
            <w:r>
              <w:rPr>
                <w:rFonts w:ascii="Arial" w:cs="Arial" w:eastAsia="Arial" w:hAnsi="Arial"/>
                <w:sz w:val="10"/>
                <w:szCs w:val="10"/>
                <w:color w:val="auto"/>
              </w:rPr>
              <w:t>101</w:t>
            </w:r>
          </w:p>
        </w:tc>
        <w:tc>
          <w:tcPr>
            <w:tcW w:w="120" w:type="dxa"/>
            <w:vAlign w:val="bottom"/>
          </w:tcPr>
          <w:p>
            <w:pPr>
              <w:spacing w:after="0"/>
              <w:rPr>
                <w:sz w:val="15"/>
                <w:szCs w:val="15"/>
                <w:color w:val="auto"/>
              </w:rPr>
            </w:pPr>
          </w:p>
        </w:tc>
        <w:tc>
          <w:tcPr>
            <w:tcW w:w="3440" w:type="dxa"/>
            <w:vAlign w:val="bottom"/>
            <w:gridSpan w:val="2"/>
          </w:tcPr>
          <w:p>
            <w:pPr>
              <w:jc w:val="center"/>
              <w:ind w:right="100"/>
              <w:spacing w:after="0"/>
              <w:rPr>
                <w:sz w:val="20"/>
                <w:szCs w:val="20"/>
                <w:color w:val="auto"/>
              </w:rPr>
            </w:pPr>
            <w:r>
              <w:rPr>
                <w:rFonts w:ascii="Arial" w:cs="Arial" w:eastAsia="Arial" w:hAnsi="Arial"/>
                <w:sz w:val="10"/>
                <w:szCs w:val="10"/>
                <w:color w:val="auto"/>
                <w:w w:val="86"/>
              </w:rPr>
              <w:t>AEP Energy Partners</w:t>
            </w:r>
          </w:p>
        </w:tc>
        <w:tc>
          <w:tcPr>
            <w:tcW w:w="1140" w:type="dxa"/>
            <w:vAlign w:val="bottom"/>
          </w:tcPr>
          <w:p>
            <w:pPr>
              <w:jc w:val="center"/>
              <w:spacing w:after="0"/>
              <w:rPr>
                <w:sz w:val="20"/>
                <w:szCs w:val="20"/>
                <w:color w:val="auto"/>
              </w:rPr>
            </w:pPr>
            <w:r>
              <w:rPr>
                <w:rFonts w:ascii="Arial" w:cs="Arial" w:eastAsia="Arial" w:hAnsi="Arial"/>
                <w:sz w:val="10"/>
                <w:szCs w:val="10"/>
                <w:color w:val="auto"/>
                <w:w w:val="89"/>
              </w:rPr>
              <w:t>2029</w:t>
            </w:r>
          </w:p>
        </w:tc>
      </w:tr>
      <w:tr>
        <w:trPr>
          <w:trHeight w:val="184"/>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 xml:space="preserve">Spanish Fork </w:t>
            </w:r>
            <w:r>
              <w:rPr>
                <w:rFonts w:ascii="Arial" w:cs="Arial" w:eastAsia="Arial" w:hAnsi="Arial"/>
                <w:sz w:val="5"/>
                <w:szCs w:val="5"/>
                <w:color w:val="auto"/>
              </w:rPr>
              <w:t>(b) (f)</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19</w:t>
            </w:r>
          </w:p>
        </w:tc>
        <w:tc>
          <w:tcPr>
            <w:tcW w:w="120" w:type="dxa"/>
            <w:vAlign w:val="bottom"/>
            <w:shd w:val="clear" w:color="auto" w:fill="CCEEFF"/>
          </w:tcPr>
          <w:p>
            <w:pPr>
              <w:spacing w:after="0"/>
              <w:rPr>
                <w:sz w:val="16"/>
                <w:szCs w:val="16"/>
                <w:color w:val="auto"/>
              </w:rPr>
            </w:pPr>
          </w:p>
        </w:tc>
        <w:tc>
          <w:tcPr>
            <w:tcW w:w="344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0"/>
              </w:rPr>
              <w:t>PacifiCorp</w:t>
            </w:r>
          </w:p>
        </w:tc>
        <w:tc>
          <w:tcPr>
            <w:tcW w:w="11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2028</w:t>
            </w:r>
          </w:p>
        </w:tc>
      </w:tr>
      <w:tr>
        <w:trPr>
          <w:trHeight w:val="176"/>
        </w:trPr>
        <w:tc>
          <w:tcPr>
            <w:tcW w:w="4360" w:type="dxa"/>
            <w:vAlign w:val="bottom"/>
            <w:gridSpan w:val="2"/>
          </w:tcPr>
          <w:p>
            <w:pPr>
              <w:ind w:left="180"/>
              <w:spacing w:after="0"/>
              <w:rPr>
                <w:sz w:val="20"/>
                <w:szCs w:val="20"/>
                <w:color w:val="auto"/>
              </w:rPr>
            </w:pPr>
            <w:r>
              <w:rPr>
                <w:rFonts w:ascii="Arial" w:cs="Arial" w:eastAsia="Arial" w:hAnsi="Arial"/>
                <w:sz w:val="10"/>
                <w:szCs w:val="10"/>
                <w:color w:val="auto"/>
              </w:rPr>
              <w:t xml:space="preserve">Spring Canyon II </w:t>
            </w:r>
            <w:r>
              <w:rPr>
                <w:rFonts w:ascii="Arial" w:cs="Arial" w:eastAsia="Arial" w:hAnsi="Arial"/>
                <w:sz w:val="5"/>
                <w:szCs w:val="5"/>
                <w:color w:val="auto"/>
              </w:rPr>
              <w:t>(b)</w:t>
            </w:r>
          </w:p>
        </w:tc>
        <w:tc>
          <w:tcPr>
            <w:tcW w:w="1160" w:type="dxa"/>
            <w:vAlign w:val="bottom"/>
          </w:tcPr>
          <w:p>
            <w:pPr>
              <w:jc w:val="right"/>
              <w:spacing w:after="0"/>
              <w:rPr>
                <w:sz w:val="20"/>
                <w:szCs w:val="20"/>
                <w:color w:val="auto"/>
              </w:rPr>
            </w:pPr>
            <w:r>
              <w:rPr>
                <w:rFonts w:ascii="Arial" w:cs="Arial" w:eastAsia="Arial" w:hAnsi="Arial"/>
                <w:sz w:val="10"/>
                <w:szCs w:val="10"/>
                <w:color w:val="auto"/>
              </w:rPr>
              <w:t>90.1%</w:t>
            </w:r>
          </w:p>
        </w:tc>
        <w:tc>
          <w:tcPr>
            <w:tcW w:w="120" w:type="dxa"/>
            <w:vAlign w:val="bottom"/>
          </w:tcPr>
          <w:p>
            <w:pPr>
              <w:spacing w:after="0"/>
              <w:rPr>
                <w:sz w:val="15"/>
                <w:szCs w:val="15"/>
                <w:color w:val="auto"/>
              </w:rPr>
            </w:pPr>
          </w:p>
        </w:tc>
        <w:tc>
          <w:tcPr>
            <w:tcW w:w="1140" w:type="dxa"/>
            <w:vAlign w:val="bottom"/>
          </w:tcPr>
          <w:p>
            <w:pPr>
              <w:jc w:val="right"/>
              <w:ind w:right="72"/>
              <w:spacing w:after="0"/>
              <w:rPr>
                <w:sz w:val="20"/>
                <w:szCs w:val="20"/>
                <w:color w:val="auto"/>
              </w:rPr>
            </w:pPr>
            <w:r>
              <w:rPr>
                <w:rFonts w:ascii="Arial" w:cs="Arial" w:eastAsia="Arial" w:hAnsi="Arial"/>
                <w:sz w:val="10"/>
                <w:szCs w:val="10"/>
                <w:color w:val="auto"/>
              </w:rPr>
              <w:t>29</w:t>
            </w:r>
          </w:p>
        </w:tc>
        <w:tc>
          <w:tcPr>
            <w:tcW w:w="120" w:type="dxa"/>
            <w:vAlign w:val="bottom"/>
          </w:tcPr>
          <w:p>
            <w:pPr>
              <w:spacing w:after="0"/>
              <w:rPr>
                <w:sz w:val="15"/>
                <w:szCs w:val="15"/>
                <w:color w:val="auto"/>
              </w:rPr>
            </w:pPr>
          </w:p>
        </w:tc>
        <w:tc>
          <w:tcPr>
            <w:tcW w:w="3440" w:type="dxa"/>
            <w:vAlign w:val="bottom"/>
            <w:gridSpan w:val="2"/>
          </w:tcPr>
          <w:p>
            <w:pPr>
              <w:jc w:val="center"/>
              <w:ind w:right="120"/>
              <w:spacing w:after="0"/>
              <w:rPr>
                <w:sz w:val="20"/>
                <w:szCs w:val="20"/>
                <w:color w:val="auto"/>
              </w:rPr>
            </w:pPr>
            <w:r>
              <w:rPr>
                <w:rFonts w:ascii="Arial" w:cs="Arial" w:eastAsia="Arial" w:hAnsi="Arial"/>
                <w:sz w:val="10"/>
                <w:szCs w:val="10"/>
                <w:color w:val="auto"/>
                <w:w w:val="89"/>
              </w:rPr>
              <w:t>Platte River Power Authority</w:t>
            </w:r>
          </w:p>
        </w:tc>
        <w:tc>
          <w:tcPr>
            <w:tcW w:w="1140" w:type="dxa"/>
            <w:vAlign w:val="bottom"/>
          </w:tcPr>
          <w:p>
            <w:pPr>
              <w:jc w:val="center"/>
              <w:spacing w:after="0"/>
              <w:rPr>
                <w:sz w:val="20"/>
                <w:szCs w:val="20"/>
                <w:color w:val="auto"/>
              </w:rPr>
            </w:pPr>
            <w:r>
              <w:rPr>
                <w:rFonts w:ascii="Arial" w:cs="Arial" w:eastAsia="Arial" w:hAnsi="Arial"/>
                <w:sz w:val="10"/>
                <w:szCs w:val="10"/>
                <w:color w:val="auto"/>
                <w:w w:val="89"/>
              </w:rPr>
              <w:t>2039</w:t>
            </w:r>
          </w:p>
        </w:tc>
      </w:tr>
      <w:tr>
        <w:trPr>
          <w:trHeight w:val="184"/>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 xml:space="preserve">Spring Canyon III </w:t>
            </w:r>
            <w:r>
              <w:rPr>
                <w:rFonts w:ascii="Arial" w:cs="Arial" w:eastAsia="Arial" w:hAnsi="Arial"/>
                <w:sz w:val="5"/>
                <w:szCs w:val="5"/>
                <w:color w:val="auto"/>
              </w:rPr>
              <w:t>(b)</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90.1%</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25</w:t>
            </w:r>
          </w:p>
        </w:tc>
        <w:tc>
          <w:tcPr>
            <w:tcW w:w="120" w:type="dxa"/>
            <w:vAlign w:val="bottom"/>
            <w:shd w:val="clear" w:color="auto" w:fill="CCEEFF"/>
          </w:tcPr>
          <w:p>
            <w:pPr>
              <w:spacing w:after="0"/>
              <w:rPr>
                <w:sz w:val="16"/>
                <w:szCs w:val="16"/>
                <w:color w:val="auto"/>
              </w:rPr>
            </w:pPr>
          </w:p>
        </w:tc>
        <w:tc>
          <w:tcPr>
            <w:tcW w:w="3440" w:type="dxa"/>
            <w:vAlign w:val="bottom"/>
            <w:gridSpan w:val="2"/>
            <w:shd w:val="clear" w:color="auto" w:fill="CCEEFF"/>
          </w:tcPr>
          <w:p>
            <w:pPr>
              <w:jc w:val="center"/>
              <w:ind w:right="120"/>
              <w:spacing w:after="0"/>
              <w:rPr>
                <w:sz w:val="20"/>
                <w:szCs w:val="20"/>
                <w:color w:val="auto"/>
              </w:rPr>
            </w:pPr>
            <w:r>
              <w:rPr>
                <w:rFonts w:ascii="Arial" w:cs="Arial" w:eastAsia="Arial" w:hAnsi="Arial"/>
                <w:sz w:val="10"/>
                <w:szCs w:val="10"/>
                <w:color w:val="auto"/>
                <w:w w:val="89"/>
              </w:rPr>
              <w:t>Platte River Power Authority</w:t>
            </w:r>
          </w:p>
        </w:tc>
        <w:tc>
          <w:tcPr>
            <w:tcW w:w="11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2039</w:t>
            </w:r>
          </w:p>
        </w:tc>
      </w:tr>
      <w:tr>
        <w:trPr>
          <w:trHeight w:val="176"/>
        </w:trPr>
        <w:tc>
          <w:tcPr>
            <w:tcW w:w="4360" w:type="dxa"/>
            <w:vAlign w:val="bottom"/>
            <w:gridSpan w:val="2"/>
          </w:tcPr>
          <w:p>
            <w:pPr>
              <w:ind w:left="180"/>
              <w:spacing w:after="0"/>
              <w:rPr>
                <w:sz w:val="20"/>
                <w:szCs w:val="20"/>
                <w:color w:val="auto"/>
              </w:rPr>
            </w:pPr>
            <w:r>
              <w:rPr>
                <w:rFonts w:ascii="Arial" w:cs="Arial" w:eastAsia="Arial" w:hAnsi="Arial"/>
                <w:sz w:val="10"/>
                <w:szCs w:val="10"/>
                <w:color w:val="auto"/>
              </w:rPr>
              <w:t>Taloga</w:t>
            </w:r>
          </w:p>
        </w:tc>
        <w:tc>
          <w:tcPr>
            <w:tcW w:w="1160" w:type="dxa"/>
            <w:vAlign w:val="bottom"/>
          </w:tcPr>
          <w:p>
            <w:pPr>
              <w:jc w:val="right"/>
              <w:spacing w:after="0"/>
              <w:rPr>
                <w:sz w:val="20"/>
                <w:szCs w:val="20"/>
                <w:color w:val="auto"/>
              </w:rPr>
            </w:pPr>
            <w:r>
              <w:rPr>
                <w:rFonts w:ascii="Arial" w:cs="Arial" w:eastAsia="Arial" w:hAnsi="Arial"/>
                <w:sz w:val="10"/>
                <w:szCs w:val="10"/>
                <w:color w:val="auto"/>
              </w:rPr>
              <w:t>100%</w:t>
            </w:r>
          </w:p>
        </w:tc>
        <w:tc>
          <w:tcPr>
            <w:tcW w:w="120" w:type="dxa"/>
            <w:vAlign w:val="bottom"/>
          </w:tcPr>
          <w:p>
            <w:pPr>
              <w:spacing w:after="0"/>
              <w:rPr>
                <w:sz w:val="15"/>
                <w:szCs w:val="15"/>
                <w:color w:val="auto"/>
              </w:rPr>
            </w:pPr>
          </w:p>
        </w:tc>
        <w:tc>
          <w:tcPr>
            <w:tcW w:w="1140" w:type="dxa"/>
            <w:vAlign w:val="bottom"/>
          </w:tcPr>
          <w:p>
            <w:pPr>
              <w:jc w:val="right"/>
              <w:ind w:right="72"/>
              <w:spacing w:after="0"/>
              <w:rPr>
                <w:sz w:val="20"/>
                <w:szCs w:val="20"/>
                <w:color w:val="auto"/>
              </w:rPr>
            </w:pPr>
            <w:r>
              <w:rPr>
                <w:rFonts w:ascii="Arial" w:cs="Arial" w:eastAsia="Arial" w:hAnsi="Arial"/>
                <w:sz w:val="10"/>
                <w:szCs w:val="10"/>
                <w:color w:val="auto"/>
              </w:rPr>
              <w:t>130</w:t>
            </w:r>
          </w:p>
        </w:tc>
        <w:tc>
          <w:tcPr>
            <w:tcW w:w="120" w:type="dxa"/>
            <w:vAlign w:val="bottom"/>
          </w:tcPr>
          <w:p>
            <w:pPr>
              <w:spacing w:after="0"/>
              <w:rPr>
                <w:sz w:val="15"/>
                <w:szCs w:val="15"/>
                <w:color w:val="auto"/>
              </w:rPr>
            </w:pPr>
          </w:p>
        </w:tc>
        <w:tc>
          <w:tcPr>
            <w:tcW w:w="3440" w:type="dxa"/>
            <w:vAlign w:val="bottom"/>
            <w:gridSpan w:val="2"/>
          </w:tcPr>
          <w:p>
            <w:pPr>
              <w:jc w:val="center"/>
              <w:ind w:right="120"/>
              <w:spacing w:after="0"/>
              <w:rPr>
                <w:sz w:val="20"/>
                <w:szCs w:val="20"/>
                <w:color w:val="auto"/>
              </w:rPr>
            </w:pPr>
            <w:r>
              <w:rPr>
                <w:rFonts w:ascii="Arial" w:cs="Arial" w:eastAsia="Arial" w:hAnsi="Arial"/>
                <w:sz w:val="10"/>
                <w:szCs w:val="10"/>
                <w:color w:val="auto"/>
                <w:w w:val="89"/>
              </w:rPr>
              <w:t>Oklahoma Gas &amp; Electric</w:t>
            </w:r>
          </w:p>
        </w:tc>
        <w:tc>
          <w:tcPr>
            <w:tcW w:w="1140" w:type="dxa"/>
            <w:vAlign w:val="bottom"/>
          </w:tcPr>
          <w:p>
            <w:pPr>
              <w:jc w:val="center"/>
              <w:spacing w:after="0"/>
              <w:rPr>
                <w:sz w:val="20"/>
                <w:szCs w:val="20"/>
                <w:color w:val="auto"/>
              </w:rPr>
            </w:pPr>
            <w:r>
              <w:rPr>
                <w:rFonts w:ascii="Arial" w:cs="Arial" w:eastAsia="Arial" w:hAnsi="Arial"/>
                <w:sz w:val="10"/>
                <w:szCs w:val="10"/>
                <w:color w:val="auto"/>
                <w:w w:val="89"/>
              </w:rPr>
              <w:t>2031</w:t>
            </w:r>
          </w:p>
        </w:tc>
      </w:tr>
      <w:tr>
        <w:trPr>
          <w:trHeight w:val="180"/>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 xml:space="preserve">Wildorado </w:t>
            </w:r>
            <w:r>
              <w:rPr>
                <w:rFonts w:ascii="Arial" w:cs="Arial" w:eastAsia="Arial" w:hAnsi="Arial"/>
                <w:sz w:val="5"/>
                <w:szCs w:val="5"/>
                <w:color w:val="auto"/>
              </w:rPr>
              <w:t>(b) (f)</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20" w:type="dxa"/>
            <w:vAlign w:val="bottom"/>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161</w:t>
            </w:r>
          </w:p>
        </w:tc>
        <w:tc>
          <w:tcPr>
            <w:tcW w:w="120" w:type="dxa"/>
            <w:vAlign w:val="bottom"/>
            <w:shd w:val="clear" w:color="auto" w:fill="CCEEFF"/>
          </w:tcPr>
          <w:p>
            <w:pPr>
              <w:spacing w:after="0"/>
              <w:rPr>
                <w:sz w:val="15"/>
                <w:szCs w:val="15"/>
                <w:color w:val="auto"/>
              </w:rPr>
            </w:pPr>
          </w:p>
        </w:tc>
        <w:tc>
          <w:tcPr>
            <w:tcW w:w="344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86"/>
              </w:rPr>
              <w:t>Southwestern Public Service Company</w:t>
            </w:r>
          </w:p>
        </w:tc>
        <w:tc>
          <w:tcPr>
            <w:tcW w:w="11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2027</w:t>
            </w:r>
          </w:p>
        </w:tc>
      </w:tr>
      <w:tr>
        <w:trPr>
          <w:trHeight w:val="160"/>
        </w:trPr>
        <w:tc>
          <w:tcPr>
            <w:tcW w:w="42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1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2,200</w:t>
            </w:r>
          </w:p>
        </w:tc>
        <w:tc>
          <w:tcPr>
            <w:tcW w:w="120" w:type="dxa"/>
            <w:vAlign w:val="bottom"/>
            <w:tcBorders>
              <w:bottom w:val="single" w:sz="8" w:color="CCEEFF"/>
            </w:tcBorders>
          </w:tcPr>
          <w:p>
            <w:pPr>
              <w:spacing w:after="0"/>
              <w:rPr>
                <w:sz w:val="13"/>
                <w:szCs w:val="13"/>
                <w:color w:val="auto"/>
              </w:rPr>
            </w:pPr>
          </w:p>
        </w:tc>
        <w:tc>
          <w:tcPr>
            <w:tcW w:w="33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140" w:type="dxa"/>
            <w:vAlign w:val="bottom"/>
            <w:tcBorders>
              <w:bottom w:val="single" w:sz="8" w:color="CCEEFF"/>
            </w:tcBorders>
          </w:tcPr>
          <w:p>
            <w:pPr>
              <w:spacing w:after="0"/>
              <w:rPr>
                <w:sz w:val="13"/>
                <w:szCs w:val="13"/>
                <w:color w:val="auto"/>
              </w:rPr>
            </w:pPr>
          </w:p>
        </w:tc>
      </w:tr>
      <w:tr>
        <w:trPr>
          <w:trHeight w:val="173"/>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0"/>
                <w:szCs w:val="10"/>
                <w:i w:val="1"/>
                <w:iCs w:val="1"/>
                <w:color w:val="auto"/>
              </w:rPr>
              <w:t>Thermal</w:t>
            </w: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76"/>
        </w:trPr>
        <w:tc>
          <w:tcPr>
            <w:tcW w:w="4360" w:type="dxa"/>
            <w:vAlign w:val="bottom"/>
            <w:gridSpan w:val="2"/>
          </w:tcPr>
          <w:p>
            <w:pPr>
              <w:ind w:left="180"/>
              <w:spacing w:after="0"/>
              <w:rPr>
                <w:sz w:val="20"/>
                <w:szCs w:val="20"/>
                <w:color w:val="auto"/>
              </w:rPr>
            </w:pPr>
            <w:r>
              <w:rPr>
                <w:rFonts w:ascii="Arial" w:cs="Arial" w:eastAsia="Arial" w:hAnsi="Arial"/>
                <w:sz w:val="10"/>
                <w:szCs w:val="10"/>
                <w:color w:val="auto"/>
              </w:rPr>
              <w:t>NRG Energy Center Dover LLC</w:t>
            </w:r>
          </w:p>
        </w:tc>
        <w:tc>
          <w:tcPr>
            <w:tcW w:w="1160" w:type="dxa"/>
            <w:vAlign w:val="bottom"/>
          </w:tcPr>
          <w:p>
            <w:pPr>
              <w:jc w:val="right"/>
              <w:spacing w:after="0"/>
              <w:rPr>
                <w:sz w:val="20"/>
                <w:szCs w:val="20"/>
                <w:color w:val="auto"/>
              </w:rPr>
            </w:pPr>
            <w:r>
              <w:rPr>
                <w:rFonts w:ascii="Arial" w:cs="Arial" w:eastAsia="Arial" w:hAnsi="Arial"/>
                <w:sz w:val="10"/>
                <w:szCs w:val="10"/>
                <w:color w:val="auto"/>
              </w:rPr>
              <w:t>100%</w:t>
            </w:r>
          </w:p>
        </w:tc>
        <w:tc>
          <w:tcPr>
            <w:tcW w:w="120" w:type="dxa"/>
            <w:vAlign w:val="bottom"/>
          </w:tcPr>
          <w:p>
            <w:pPr>
              <w:spacing w:after="0"/>
              <w:rPr>
                <w:sz w:val="15"/>
                <w:szCs w:val="15"/>
                <w:color w:val="auto"/>
              </w:rPr>
            </w:pPr>
          </w:p>
        </w:tc>
        <w:tc>
          <w:tcPr>
            <w:tcW w:w="1140" w:type="dxa"/>
            <w:vAlign w:val="bottom"/>
          </w:tcPr>
          <w:p>
            <w:pPr>
              <w:jc w:val="right"/>
              <w:ind w:right="72"/>
              <w:spacing w:after="0"/>
              <w:rPr>
                <w:sz w:val="20"/>
                <w:szCs w:val="20"/>
                <w:color w:val="auto"/>
              </w:rPr>
            </w:pPr>
            <w:r>
              <w:rPr>
                <w:rFonts w:ascii="Arial" w:cs="Arial" w:eastAsia="Arial" w:hAnsi="Arial"/>
                <w:sz w:val="10"/>
                <w:szCs w:val="10"/>
                <w:color w:val="auto"/>
              </w:rPr>
              <w:t>103</w:t>
            </w:r>
          </w:p>
        </w:tc>
        <w:tc>
          <w:tcPr>
            <w:tcW w:w="120" w:type="dxa"/>
            <w:vAlign w:val="bottom"/>
          </w:tcPr>
          <w:p>
            <w:pPr>
              <w:spacing w:after="0"/>
              <w:rPr>
                <w:sz w:val="15"/>
                <w:szCs w:val="15"/>
                <w:color w:val="auto"/>
              </w:rPr>
            </w:pPr>
          </w:p>
        </w:tc>
        <w:tc>
          <w:tcPr>
            <w:tcW w:w="3440" w:type="dxa"/>
            <w:vAlign w:val="bottom"/>
            <w:gridSpan w:val="2"/>
          </w:tcPr>
          <w:p>
            <w:pPr>
              <w:jc w:val="center"/>
              <w:ind w:right="100"/>
              <w:spacing w:after="0"/>
              <w:rPr>
                <w:sz w:val="20"/>
                <w:szCs w:val="20"/>
                <w:color w:val="auto"/>
              </w:rPr>
            </w:pPr>
            <w:r>
              <w:rPr>
                <w:rFonts w:ascii="Arial" w:cs="Arial" w:eastAsia="Arial" w:hAnsi="Arial"/>
                <w:sz w:val="10"/>
                <w:szCs w:val="10"/>
                <w:color w:val="auto"/>
                <w:w w:val="90"/>
              </w:rPr>
              <w:t>NRG Power Marketing LLC</w:t>
            </w:r>
          </w:p>
        </w:tc>
        <w:tc>
          <w:tcPr>
            <w:tcW w:w="1140" w:type="dxa"/>
            <w:vAlign w:val="bottom"/>
          </w:tcPr>
          <w:p>
            <w:pPr>
              <w:jc w:val="center"/>
              <w:spacing w:after="0"/>
              <w:rPr>
                <w:sz w:val="20"/>
                <w:szCs w:val="20"/>
                <w:color w:val="auto"/>
              </w:rPr>
            </w:pPr>
            <w:r>
              <w:rPr>
                <w:rFonts w:ascii="Arial" w:cs="Arial" w:eastAsia="Arial" w:hAnsi="Arial"/>
                <w:sz w:val="10"/>
                <w:szCs w:val="10"/>
                <w:color w:val="auto"/>
                <w:w w:val="89"/>
              </w:rPr>
              <w:t>2018</w:t>
            </w:r>
          </w:p>
        </w:tc>
      </w:tr>
      <w:tr>
        <w:trPr>
          <w:trHeight w:val="180"/>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Thermal generation</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20" w:type="dxa"/>
            <w:vAlign w:val="bottom"/>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30</w:t>
            </w:r>
          </w:p>
        </w:tc>
        <w:tc>
          <w:tcPr>
            <w:tcW w:w="120" w:type="dxa"/>
            <w:vAlign w:val="bottom"/>
            <w:shd w:val="clear" w:color="auto" w:fill="CCEEFF"/>
          </w:tcPr>
          <w:p>
            <w:pPr>
              <w:spacing w:after="0"/>
              <w:rPr>
                <w:sz w:val="15"/>
                <w:szCs w:val="15"/>
                <w:color w:val="auto"/>
              </w:rPr>
            </w:pPr>
          </w:p>
        </w:tc>
        <w:tc>
          <w:tcPr>
            <w:tcW w:w="3440" w:type="dxa"/>
            <w:vAlign w:val="bottom"/>
            <w:gridSpan w:val="2"/>
            <w:shd w:val="clear" w:color="auto" w:fill="CCEEFF"/>
          </w:tcPr>
          <w:p>
            <w:pPr>
              <w:jc w:val="center"/>
              <w:ind w:right="120"/>
              <w:spacing w:after="0"/>
              <w:rPr>
                <w:sz w:val="20"/>
                <w:szCs w:val="20"/>
                <w:color w:val="auto"/>
              </w:rPr>
            </w:pPr>
            <w:r>
              <w:rPr>
                <w:rFonts w:ascii="Arial" w:cs="Arial" w:eastAsia="Arial" w:hAnsi="Arial"/>
                <w:sz w:val="10"/>
                <w:szCs w:val="10"/>
                <w:color w:val="auto"/>
                <w:w w:val="82"/>
              </w:rPr>
              <w:t>Various</w:t>
            </w:r>
          </w:p>
        </w:tc>
        <w:tc>
          <w:tcPr>
            <w:tcW w:w="11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Various</w:t>
            </w:r>
          </w:p>
        </w:tc>
      </w:tr>
      <w:tr>
        <w:trPr>
          <w:trHeight w:val="160"/>
        </w:trPr>
        <w:tc>
          <w:tcPr>
            <w:tcW w:w="42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1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133</w:t>
            </w:r>
          </w:p>
        </w:tc>
        <w:tc>
          <w:tcPr>
            <w:tcW w:w="120" w:type="dxa"/>
            <w:vAlign w:val="bottom"/>
            <w:tcBorders>
              <w:bottom w:val="single" w:sz="8" w:color="CCEEFF"/>
            </w:tcBorders>
          </w:tcPr>
          <w:p>
            <w:pPr>
              <w:spacing w:after="0"/>
              <w:rPr>
                <w:sz w:val="13"/>
                <w:szCs w:val="13"/>
                <w:color w:val="auto"/>
              </w:rPr>
            </w:pPr>
          </w:p>
        </w:tc>
        <w:tc>
          <w:tcPr>
            <w:tcW w:w="33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140" w:type="dxa"/>
            <w:vAlign w:val="bottom"/>
            <w:tcBorders>
              <w:bottom w:val="single" w:sz="8" w:color="CCEEFF"/>
            </w:tcBorders>
          </w:tcPr>
          <w:p>
            <w:pPr>
              <w:spacing w:after="0"/>
              <w:rPr>
                <w:sz w:val="13"/>
                <w:szCs w:val="13"/>
                <w:color w:val="auto"/>
              </w:rPr>
            </w:pPr>
          </w:p>
        </w:tc>
      </w:tr>
      <w:tr>
        <w:trPr>
          <w:trHeight w:val="162"/>
        </w:trPr>
        <w:tc>
          <w:tcPr>
            <w:tcW w:w="4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Total net generation capacity</w:t>
            </w:r>
            <w:r>
              <w:rPr>
                <w:rFonts w:ascii="Arial" w:cs="Arial" w:eastAsia="Arial" w:hAnsi="Arial"/>
                <w:sz w:val="5"/>
                <w:szCs w:val="5"/>
                <w:color w:val="auto"/>
              </w:rPr>
              <w:t>(c)</w:t>
            </w:r>
          </w:p>
        </w:tc>
        <w:tc>
          <w:tcPr>
            <w:tcW w:w="11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5,251</w:t>
            </w:r>
          </w:p>
        </w:tc>
        <w:tc>
          <w:tcPr>
            <w:tcW w:w="120" w:type="dxa"/>
            <w:vAlign w:val="bottom"/>
            <w:tcBorders>
              <w:bottom w:val="single" w:sz="8" w:color="CCEEFF"/>
            </w:tcBorders>
            <w:shd w:val="clear" w:color="auto" w:fill="CCEEFF"/>
          </w:tcPr>
          <w:p>
            <w:pPr>
              <w:spacing w:after="0"/>
              <w:rPr>
                <w:sz w:val="14"/>
                <w:szCs w:val="14"/>
                <w:color w:val="auto"/>
              </w:rPr>
            </w:pPr>
          </w:p>
        </w:tc>
        <w:tc>
          <w:tcPr>
            <w:tcW w:w="33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r>
      <w:tr>
        <w:trPr>
          <w:trHeight w:val="180"/>
        </w:trPr>
        <w:tc>
          <w:tcPr>
            <w:tcW w:w="42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3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r>
      <w:tr>
        <w:trPr>
          <w:trHeight w:val="156"/>
        </w:trPr>
        <w:tc>
          <w:tcPr>
            <w:tcW w:w="436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 xml:space="preserve">Thermal equivalent MWt </w:t>
            </w:r>
            <w:r>
              <w:rPr>
                <w:rFonts w:ascii="Arial" w:cs="Arial" w:eastAsia="Arial" w:hAnsi="Arial"/>
                <w:sz w:val="5"/>
                <w:szCs w:val="5"/>
                <w:color w:val="auto"/>
              </w:rPr>
              <w:t>(d)</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20" w:type="dxa"/>
            <w:vAlign w:val="bottom"/>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1,392</w:t>
            </w:r>
          </w:p>
        </w:tc>
        <w:tc>
          <w:tcPr>
            <w:tcW w:w="120" w:type="dxa"/>
            <w:vAlign w:val="bottom"/>
            <w:shd w:val="clear" w:color="auto" w:fill="CCEEFF"/>
          </w:tcPr>
          <w:p>
            <w:pPr>
              <w:spacing w:after="0"/>
              <w:rPr>
                <w:sz w:val="13"/>
                <w:szCs w:val="13"/>
                <w:color w:val="auto"/>
              </w:rPr>
            </w:pPr>
          </w:p>
        </w:tc>
        <w:tc>
          <w:tcPr>
            <w:tcW w:w="3440" w:type="dxa"/>
            <w:vAlign w:val="bottom"/>
            <w:gridSpan w:val="2"/>
            <w:shd w:val="clear" w:color="auto" w:fill="CCEEFF"/>
          </w:tcPr>
          <w:p>
            <w:pPr>
              <w:jc w:val="center"/>
              <w:ind w:right="120"/>
              <w:spacing w:after="0"/>
              <w:rPr>
                <w:sz w:val="20"/>
                <w:szCs w:val="20"/>
                <w:color w:val="auto"/>
              </w:rPr>
            </w:pPr>
            <w:r>
              <w:rPr>
                <w:rFonts w:ascii="Arial" w:cs="Arial" w:eastAsia="Arial" w:hAnsi="Arial"/>
                <w:sz w:val="10"/>
                <w:szCs w:val="10"/>
                <w:color w:val="auto"/>
                <w:w w:val="82"/>
              </w:rPr>
              <w:t>Various</w:t>
            </w:r>
          </w:p>
        </w:tc>
        <w:tc>
          <w:tcPr>
            <w:tcW w:w="11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Various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142430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24305" cy="5715"/>
                    </a:xfrm>
                    <a:prstGeom prst="rect">
                      <a:avLst/>
                    </a:prstGeom>
                    <a:noFill/>
                  </pic:spPr>
                </pic:pic>
              </a:graphicData>
            </a:graphic>
          </wp:anchor>
        </w:drawing>
      </w:r>
    </w:p>
    <w:p>
      <w:pPr>
        <w:spacing w:after="0" w:line="176" w:lineRule="exact"/>
        <w:rPr>
          <w:sz w:val="20"/>
          <w:szCs w:val="20"/>
          <w:color w:val="auto"/>
        </w:rPr>
      </w:pPr>
    </w:p>
    <w:p>
      <w:pPr>
        <w:ind w:left="108" w:hanging="108"/>
        <w:spacing w:after="0"/>
        <w:tabs>
          <w:tab w:leader="none" w:pos="108" w:val="left"/>
        </w:tabs>
        <w:numPr>
          <w:ilvl w:val="0"/>
          <w:numId w:val="6"/>
        </w:numPr>
        <w:rPr>
          <w:rFonts w:ascii="Arial" w:cs="Arial" w:eastAsia="Arial" w:hAnsi="Arial"/>
          <w:sz w:val="13"/>
          <w:szCs w:val="13"/>
          <w:color w:val="auto"/>
          <w:vertAlign w:val="superscript"/>
        </w:rPr>
      </w:pPr>
      <w:r>
        <w:rPr>
          <w:rFonts w:ascii="Arial" w:cs="Arial" w:eastAsia="Arial" w:hAnsi="Arial"/>
          <w:sz w:val="10"/>
          <w:szCs w:val="10"/>
          <w:color w:val="auto"/>
        </w:rPr>
        <w:t>Net capacity represents the maximum, or rated, generating capacity of the facility multiplied by the Company's percentage ownership in the facility as of June 30, 2018.</w:t>
      </w:r>
    </w:p>
    <w:p>
      <w:pPr>
        <w:ind w:left="108" w:hanging="108"/>
        <w:spacing w:after="0" w:line="205" w:lineRule="auto"/>
        <w:tabs>
          <w:tab w:leader="none" w:pos="108" w:val="left"/>
        </w:tabs>
        <w:numPr>
          <w:ilvl w:val="0"/>
          <w:numId w:val="6"/>
        </w:numPr>
        <w:rPr>
          <w:rFonts w:ascii="Arial" w:cs="Arial" w:eastAsia="Arial" w:hAnsi="Arial"/>
          <w:sz w:val="13"/>
          <w:szCs w:val="13"/>
          <w:color w:val="auto"/>
          <w:vertAlign w:val="superscript"/>
        </w:rPr>
      </w:pPr>
      <w:r>
        <w:rPr>
          <w:rFonts w:ascii="Arial" w:cs="Arial" w:eastAsia="Arial" w:hAnsi="Arial"/>
          <w:sz w:val="10"/>
          <w:szCs w:val="10"/>
          <w:color w:val="auto"/>
        </w:rPr>
        <w:t>Projects are part of tax equity arrangements.</w:t>
      </w:r>
    </w:p>
    <w:p>
      <w:pPr>
        <w:spacing w:after="0" w:line="7" w:lineRule="exact"/>
        <w:rPr>
          <w:rFonts w:ascii="Arial" w:cs="Arial" w:eastAsia="Arial" w:hAnsi="Arial"/>
          <w:sz w:val="13"/>
          <w:szCs w:val="13"/>
          <w:color w:val="auto"/>
          <w:vertAlign w:val="superscript"/>
        </w:rPr>
      </w:pPr>
    </w:p>
    <w:p>
      <w:pPr>
        <w:ind w:left="108" w:hanging="108"/>
        <w:spacing w:after="0" w:line="202" w:lineRule="auto"/>
        <w:tabs>
          <w:tab w:leader="none" w:pos="108" w:val="left"/>
        </w:tabs>
        <w:numPr>
          <w:ilvl w:val="0"/>
          <w:numId w:val="6"/>
        </w:numPr>
        <w:rPr>
          <w:rFonts w:ascii="Arial" w:cs="Arial" w:eastAsia="Arial" w:hAnsi="Arial"/>
          <w:sz w:val="13"/>
          <w:szCs w:val="13"/>
          <w:color w:val="auto"/>
          <w:vertAlign w:val="superscript"/>
        </w:rPr>
      </w:pPr>
      <w:r>
        <w:rPr>
          <w:rFonts w:ascii="Arial" w:cs="Arial" w:eastAsia="Arial" w:hAnsi="Arial"/>
          <w:sz w:val="10"/>
          <w:szCs w:val="10"/>
          <w:color w:val="auto"/>
        </w:rPr>
        <w:t>The Company's total generation capacity is net of 6 MWs for noncontrolling interest for Spring Canyon II and III. The Company's generation capacity including this noncontrolling interest was 5,257 MWs.</w:t>
      </w:r>
    </w:p>
    <w:p>
      <w:pPr>
        <w:ind w:left="108" w:hanging="108"/>
        <w:spacing w:after="0" w:line="202" w:lineRule="auto"/>
        <w:tabs>
          <w:tab w:leader="none" w:pos="108" w:val="left"/>
        </w:tabs>
        <w:numPr>
          <w:ilvl w:val="0"/>
          <w:numId w:val="6"/>
        </w:numPr>
        <w:rPr>
          <w:rFonts w:ascii="Arial" w:cs="Arial" w:eastAsia="Arial" w:hAnsi="Arial"/>
          <w:sz w:val="13"/>
          <w:szCs w:val="13"/>
          <w:color w:val="auto"/>
          <w:vertAlign w:val="superscript"/>
        </w:rPr>
      </w:pPr>
      <w:r>
        <w:rPr>
          <w:rFonts w:ascii="Arial" w:cs="Arial" w:eastAsia="Arial" w:hAnsi="Arial"/>
          <w:sz w:val="10"/>
          <w:szCs w:val="10"/>
          <w:color w:val="auto"/>
        </w:rPr>
        <w:t>For thermal energy, net capacity represents MWt for steam or chilled water and excludes 134 MWt available under the right-to-use provisions contained in agreements between two of the Company's thermal facilities and certain of its customers.</w:t>
      </w:r>
    </w:p>
    <w:p>
      <w:pPr>
        <w:ind w:left="108" w:hanging="108"/>
        <w:spacing w:after="0" w:line="202" w:lineRule="auto"/>
        <w:tabs>
          <w:tab w:leader="none" w:pos="108" w:val="left"/>
        </w:tabs>
        <w:numPr>
          <w:ilvl w:val="0"/>
          <w:numId w:val="6"/>
        </w:numPr>
        <w:rPr>
          <w:rFonts w:ascii="Arial" w:cs="Arial" w:eastAsia="Arial" w:hAnsi="Arial"/>
          <w:sz w:val="13"/>
          <w:szCs w:val="13"/>
          <w:color w:val="auto"/>
          <w:vertAlign w:val="superscript"/>
        </w:rPr>
      </w:pPr>
      <w:r>
        <w:rPr>
          <w:rFonts w:ascii="Arial" w:cs="Arial" w:eastAsia="Arial" w:hAnsi="Arial"/>
          <w:sz w:val="10"/>
          <w:szCs w:val="10"/>
          <w:color w:val="auto"/>
        </w:rPr>
        <w:t>Represents interests in Four Brothers Solar, LLC, Granite Mountain Holdings, LLC, and Iron Springs Holdings, LLC, all acquired as part of the March 2017 Drop Down Assets (ownership percentage is based upon cash to be distributed).</w:t>
      </w:r>
    </w:p>
    <w:p>
      <w:pPr>
        <w:ind w:left="88" w:hanging="88"/>
        <w:spacing w:after="0" w:line="223" w:lineRule="auto"/>
        <w:tabs>
          <w:tab w:leader="none" w:pos="88" w:val="left"/>
        </w:tabs>
        <w:numPr>
          <w:ilvl w:val="0"/>
          <w:numId w:val="6"/>
        </w:numPr>
        <w:rPr>
          <w:rFonts w:ascii="Arial" w:cs="Arial" w:eastAsia="Arial" w:hAnsi="Arial"/>
          <w:sz w:val="12"/>
          <w:szCs w:val="12"/>
          <w:color w:val="auto"/>
          <w:vertAlign w:val="superscript"/>
        </w:rPr>
      </w:pPr>
      <w:r>
        <w:rPr>
          <w:rFonts w:ascii="Arial" w:cs="Arial" w:eastAsia="Arial" w:hAnsi="Arial"/>
          <w:sz w:val="11"/>
          <w:szCs w:val="11"/>
          <w:color w:val="auto"/>
        </w:rPr>
        <w:t>Projects are part of NRG Wind TE Holdco portfolio.</w:t>
      </w:r>
    </w:p>
    <w:p>
      <w:pPr>
        <w:spacing w:after="0" w:line="94" w:lineRule="exact"/>
        <w:rPr>
          <w:sz w:val="20"/>
          <w:szCs w:val="20"/>
          <w:color w:val="auto"/>
        </w:rPr>
      </w:pPr>
    </w:p>
    <w:p>
      <w:pPr>
        <w:jc w:val="both"/>
        <w:ind w:left="8" w:firstLine="270"/>
        <w:spacing w:after="0" w:line="259" w:lineRule="auto"/>
        <w:rPr>
          <w:sz w:val="20"/>
          <w:szCs w:val="20"/>
          <w:color w:val="auto"/>
        </w:rPr>
      </w:pPr>
      <w:r>
        <w:rPr>
          <w:rFonts w:ascii="Arial" w:cs="Arial" w:eastAsia="Arial" w:hAnsi="Arial"/>
          <w:sz w:val="12"/>
          <w:szCs w:val="12"/>
          <w:color w:val="auto"/>
        </w:rPr>
        <w:t xml:space="preserve">In addition to the facilities owned or leased in the table above, the Company entered into partnerships to own or purchase solar power generation projects, as well as other ancillary related assets from a related party via intermediate funds. The Company does not consolidate these partnerships and accounts for them as equity method investments. The Company's net interest in these projects is 268 MW based on cash to be distributed as of June 30, 2018. For further discussions, see Note 4, </w:t>
      </w:r>
      <w:r>
        <w:rPr>
          <w:rFonts w:ascii="Arial" w:cs="Arial" w:eastAsia="Arial" w:hAnsi="Arial"/>
          <w:sz w:val="12"/>
          <w:szCs w:val="12"/>
          <w:i w:val="1"/>
          <w:iCs w:val="1"/>
          <w:color w:val="auto"/>
        </w:rPr>
        <w:t>Investments Accounted for by the Equity Method and Variable Interest Entities</w:t>
      </w:r>
      <w:r>
        <w:rPr>
          <w:rFonts w:ascii="Arial" w:cs="Arial" w:eastAsia="Arial" w:hAnsi="Arial"/>
          <w:sz w:val="12"/>
          <w:szCs w:val="12"/>
          <w:color w:val="auto"/>
        </w:rPr>
        <w:t xml:space="preserve"> of this Form 10-Q and Note 5, </w:t>
      </w:r>
      <w:r>
        <w:rPr>
          <w:rFonts w:ascii="Arial" w:cs="Arial" w:eastAsia="Arial" w:hAnsi="Arial"/>
          <w:sz w:val="12"/>
          <w:szCs w:val="12"/>
          <w:i w:val="1"/>
          <w:iCs w:val="1"/>
          <w:color w:val="auto"/>
        </w:rPr>
        <w:t>Investments Accounted for by the Equity Method and Variable Interest Entities</w:t>
      </w:r>
      <w:r>
        <w:rPr>
          <w:rFonts w:ascii="Arial" w:cs="Arial" w:eastAsia="Arial" w:hAnsi="Arial"/>
          <w:sz w:val="12"/>
          <w:szCs w:val="12"/>
          <w:color w:val="auto"/>
        </w:rPr>
        <w:t xml:space="preserve"> to the consolidated financial statements included in the Company's 2017 Form 10-K.</w:t>
      </w:r>
    </w:p>
    <w:p>
      <w:pPr>
        <w:spacing w:after="0" w:line="89" w:lineRule="exact"/>
        <w:rPr>
          <w:sz w:val="20"/>
          <w:szCs w:val="20"/>
          <w:color w:val="auto"/>
        </w:rPr>
      </w:pPr>
    </w:p>
    <w:p>
      <w:pPr>
        <w:jc w:val="both"/>
        <w:ind w:left="8" w:firstLine="261"/>
        <w:spacing w:after="0" w:line="263" w:lineRule="auto"/>
        <w:rPr>
          <w:sz w:val="20"/>
          <w:szCs w:val="20"/>
          <w:color w:val="auto"/>
        </w:rPr>
      </w:pPr>
      <w:r>
        <w:rPr>
          <w:rFonts w:ascii="Arial" w:cs="Arial" w:eastAsia="Arial" w:hAnsi="Arial"/>
          <w:sz w:val="12"/>
          <w:szCs w:val="12"/>
          <w:color w:val="auto"/>
        </w:rPr>
        <w:t>Substantially all of the Company's generation assets are under long-term contractual arrangements for the output or capacity from these assets. The thermal assets are comprised of district energy systems and combined heat and power plants that produce steam, hot water and/or chilled water and, in some instances, electricity at a central plant. Certain district energy systems are subject to rate regulation by state public utility commissions (although they may negotiate certain rates) while the other district energy systems have rates determined by negotiated bilateral contracts.</w:t>
      </w:r>
    </w:p>
    <w:p>
      <w:pPr>
        <w:spacing w:after="0" w:line="24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488"/>
          </w:cols>
          <w:pgMar w:left="212" w:top="656" w:right="199" w:bottom="1440" w:gutter="0" w:footer="0" w:header="0"/>
        </w:sectPr>
      </w:pPr>
    </w:p>
    <w:bookmarkStart w:id="13" w:name="page14"/>
    <w:bookmarkEnd w:id="13"/>
    <w:p>
      <w:pPr>
        <w:ind w:left="260"/>
        <w:spacing w:after="0"/>
        <w:rPr>
          <w:sz w:val="20"/>
          <w:szCs w:val="20"/>
          <w:color w:val="auto"/>
        </w:rPr>
      </w:pPr>
      <w:r>
        <w:rPr>
          <w:rFonts w:ascii="Arial" w:cs="Arial" w:eastAsia="Arial" w:hAnsi="Arial"/>
          <w:sz w:val="12"/>
          <w:szCs w:val="12"/>
          <w:b w:val="1"/>
          <w:bCs w:val="1"/>
          <w:i w:val="1"/>
          <w:iCs w:val="1"/>
          <w:color w:val="auto"/>
        </w:rPr>
        <w:t>Recast of the Historical Financial Statements</w:t>
      </w:r>
    </w:p>
    <w:p>
      <w:pPr>
        <w:spacing w:after="0" w:line="114" w:lineRule="exact"/>
        <w:rPr>
          <w:sz w:val="20"/>
          <w:szCs w:val="20"/>
          <w:color w:val="auto"/>
        </w:rPr>
      </w:pPr>
    </w:p>
    <w:p>
      <w:pPr>
        <w:jc w:val="both"/>
        <w:ind w:firstLine="261"/>
        <w:spacing w:after="0" w:line="290" w:lineRule="auto"/>
        <w:rPr>
          <w:sz w:val="20"/>
          <w:szCs w:val="20"/>
          <w:color w:val="auto"/>
        </w:rPr>
      </w:pPr>
      <w:r>
        <w:rPr>
          <w:rFonts w:ascii="Arial" w:cs="Arial" w:eastAsia="Arial" w:hAnsi="Arial"/>
          <w:sz w:val="11"/>
          <w:szCs w:val="11"/>
          <w:color w:val="auto"/>
        </w:rPr>
        <w:t xml:space="preserve">As described in Note 3, </w:t>
      </w:r>
      <w:r>
        <w:rPr>
          <w:rFonts w:ascii="Arial" w:cs="Arial" w:eastAsia="Arial" w:hAnsi="Arial"/>
          <w:sz w:val="11"/>
          <w:szCs w:val="11"/>
          <w:i w:val="1"/>
          <w:iCs w:val="1"/>
          <w:color w:val="auto"/>
        </w:rPr>
        <w:t>Business Acquisitions</w:t>
      </w:r>
      <w:r>
        <w:rPr>
          <w:rFonts w:ascii="Arial" w:cs="Arial" w:eastAsia="Arial" w:hAnsi="Arial"/>
          <w:sz w:val="11"/>
          <w:szCs w:val="11"/>
          <w:color w:val="auto"/>
        </w:rPr>
        <w:t>, on March 30, 2018, the Company acquired 100% of NRG's interests in Buckthorn Renewables, LLC, which owned a 154 MW construction-stage utility-scale solar generation project, or the Buckthorn Solar Drop Down Asset, for cash consideration of approximately $42 million, subject to working capital adjustments, plus assumed non-recourse debt of approximately $183 million and non-controlling interest of $19 million (as of the acquisition date) attributable to the Class A member. On May 31, 2018, $132 million of non-recourse debt was converted to a term loan with an expected maturity of May 2025, and the remainder of the non-recourse debt was repaid with the final proceeds from the Class A member upon the project reaching substantial completion in May 2018. The purchase price was funded with cash on hand and borrowings from the revolving credit facility.</w:t>
      </w:r>
    </w:p>
    <w:p>
      <w:pPr>
        <w:spacing w:after="0" w:line="73" w:lineRule="exact"/>
        <w:rPr>
          <w:sz w:val="20"/>
          <w:szCs w:val="20"/>
          <w:color w:val="auto"/>
        </w:rPr>
      </w:pPr>
    </w:p>
    <w:p>
      <w:pPr>
        <w:jc w:val="both"/>
        <w:ind w:firstLine="261"/>
        <w:spacing w:after="0" w:line="298" w:lineRule="auto"/>
        <w:rPr>
          <w:sz w:val="20"/>
          <w:szCs w:val="20"/>
          <w:color w:val="auto"/>
        </w:rPr>
      </w:pPr>
      <w:r>
        <w:rPr>
          <w:rFonts w:ascii="Arial" w:cs="Arial" w:eastAsia="Arial" w:hAnsi="Arial"/>
          <w:sz w:val="11"/>
          <w:szCs w:val="11"/>
          <w:color w:val="auto"/>
        </w:rPr>
        <w:t>The acquisition of the Buckthorn Solar Drop Down Asset was accounted for as a transfer of entities under common control. The accounting guidance requires retrospective combination of the entities for all periods presented as if the combinations had been in effect from the beginning of the financial statement period or from the date the entities were under common control (if later than the beginning of the financial statement period). The recast of the Company's financial statements for the Buckthorn Solar Drop Down Asset did not affect the historical net income attributable to NRG Yield, Inc., weighted average number of shares outstanding, earnings per share or dividends.</w:t>
      </w:r>
    </w:p>
    <w:p>
      <w:pPr>
        <w:spacing w:after="0" w:line="69" w:lineRule="exact"/>
        <w:rPr>
          <w:sz w:val="20"/>
          <w:szCs w:val="20"/>
          <w:color w:val="auto"/>
        </w:rPr>
      </w:pPr>
    </w:p>
    <w:p>
      <w:pPr>
        <w:jc w:val="both"/>
        <w:ind w:firstLine="261"/>
        <w:spacing w:after="0" w:line="259" w:lineRule="auto"/>
        <w:rPr>
          <w:sz w:val="20"/>
          <w:szCs w:val="20"/>
          <w:color w:val="auto"/>
        </w:rPr>
      </w:pPr>
      <w:r>
        <w:rPr>
          <w:rFonts w:ascii="Arial" w:cs="Arial" w:eastAsia="Arial" w:hAnsi="Arial"/>
          <w:sz w:val="12"/>
          <w:szCs w:val="12"/>
          <w:color w:val="auto"/>
        </w:rPr>
        <w:t xml:space="preserve">Additionally, as described in Note 3, </w:t>
      </w:r>
      <w:r>
        <w:rPr>
          <w:rFonts w:ascii="Arial" w:cs="Arial" w:eastAsia="Arial" w:hAnsi="Arial"/>
          <w:sz w:val="12"/>
          <w:szCs w:val="12"/>
          <w:i w:val="1"/>
          <w:iCs w:val="1"/>
          <w:color w:val="auto"/>
        </w:rPr>
        <w:t>Business Acquisitions</w:t>
      </w:r>
      <w:r>
        <w:rPr>
          <w:rFonts w:ascii="Arial" w:cs="Arial" w:eastAsia="Arial" w:hAnsi="Arial"/>
          <w:sz w:val="12"/>
          <w:szCs w:val="12"/>
          <w:color w:val="auto"/>
        </w:rPr>
        <w:t>, during the year ended December 31, 2017, the Company acquired the November 2017 Drop Down Assets and August 2017 Drop Down Assets from NRG. Similarly to the Buckthorn Solar Drop Down Asset, the Company recast its historical financial statements to combine the entities for the periods presented as if the combinations had been in effect from the beginning of the financial statements period. The recast of the Company's financial statements for the November 2017 Drop Down Assets and August 2017 Drop Down Assets did not affect the historical net income attributable to NRG Yield, Inc., weighted average number of shares outstanding, earnings per share or dividends.</w:t>
      </w:r>
    </w:p>
    <w:p>
      <w:pPr>
        <w:spacing w:after="0" w:line="89"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auto"/>
        </w:rPr>
        <w:t>The accompanying unaudited interim consolidated financial statements have been prepared in accordance with the SEC’s regulations for interim financial information and with the instructions to Form 10-Q. Accordingly, they do not include all of the information and notes required by GAAP for complete financial statements. The following notes should be read in conjunction with the accounting policies and other disclosures as set forth in the notes to the consolidated financial statements included in the Company's 2017 Form 10-K. Interim results are not necessarily indicative of results for a full year.</w:t>
      </w:r>
    </w:p>
    <w:p>
      <w:pPr>
        <w:spacing w:after="0" w:line="87"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In the opinion of management, the accompanying unaudited interim consolidated financial statements contain all material adjustments consisting of normal and recurring accruals necessary to present fairly the Company's consolidated financial position as of June 30, 2018, and the results of operations, comprehensive income (loss) and cash flows for the six months ended June 30, 2018 and 2017.</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Note 2 — </w:t>
      </w:r>
      <w:r>
        <w:rPr>
          <w:rFonts w:ascii="Arial" w:cs="Arial" w:eastAsia="Arial" w:hAnsi="Arial"/>
          <w:sz w:val="12"/>
          <w:szCs w:val="12"/>
          <w:b w:val="1"/>
          <w:bCs w:val="1"/>
          <w:i w:val="1"/>
          <w:iCs w:val="1"/>
          <w:color w:val="auto"/>
        </w:rPr>
        <w:t>Summary of Significant Accounting Policies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Use of Estimates</w:t>
      </w:r>
    </w:p>
    <w:p>
      <w:pPr>
        <w:spacing w:after="0" w:line="114" w:lineRule="exact"/>
        <w:rPr>
          <w:sz w:val="20"/>
          <w:szCs w:val="20"/>
          <w:color w:val="auto"/>
        </w:rPr>
      </w:pPr>
    </w:p>
    <w:p>
      <w:pPr>
        <w:jc w:val="both"/>
        <w:ind w:firstLine="270"/>
        <w:spacing w:after="0" w:line="380" w:lineRule="auto"/>
        <w:rPr>
          <w:sz w:val="20"/>
          <w:szCs w:val="20"/>
          <w:color w:val="auto"/>
        </w:rPr>
      </w:pPr>
      <w:r>
        <w:rPr>
          <w:rFonts w:ascii="Arial" w:cs="Arial" w:eastAsia="Arial" w:hAnsi="Arial"/>
          <w:sz w:val="10"/>
          <w:szCs w:val="10"/>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and the reported amounts of revenues and expenses during the reporting period. Actual results could be different from these estimates.</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Accumulated Depreciation, Accumulated Amortization</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0"/>
          <w:szCs w:val="10"/>
          <w:color w:val="auto"/>
        </w:rPr>
        <w:t>The following table presents the accumulated depreciation included in the property, plant and equipment, net, and accumulated amortization included in intangible assets, net, respectively, as of June 30, 2018 and December 31, 2017:</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2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340" w:type="dxa"/>
            <w:vAlign w:val="bottom"/>
          </w:tcPr>
          <w:p>
            <w:pPr>
              <w:jc w:val="right"/>
              <w:ind w:right="46"/>
              <w:spacing w:after="0"/>
              <w:rPr>
                <w:sz w:val="20"/>
                <w:szCs w:val="20"/>
                <w:color w:val="auto"/>
              </w:rPr>
            </w:pPr>
            <w:r>
              <w:rPr>
                <w:rFonts w:ascii="Arial" w:cs="Arial" w:eastAsia="Arial" w:hAnsi="Arial"/>
                <w:sz w:val="11"/>
                <w:szCs w:val="11"/>
                <w:b w:val="1"/>
                <w:bCs w:val="1"/>
                <w:color w:val="auto"/>
              </w:rPr>
              <w:t>June 30, 2018</w:t>
            </w: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00" w:type="dxa"/>
            <w:vAlign w:val="bottom"/>
          </w:tcPr>
          <w:p>
            <w:pPr>
              <w:jc w:val="right"/>
              <w:ind w:right="422"/>
              <w:spacing w:after="0"/>
              <w:rPr>
                <w:sz w:val="20"/>
                <w:szCs w:val="20"/>
                <w:color w:val="auto"/>
              </w:rPr>
            </w:pPr>
            <w:r>
              <w:rPr>
                <w:rFonts w:ascii="Arial" w:cs="Arial" w:eastAsia="Arial" w:hAnsi="Arial"/>
                <w:sz w:val="11"/>
                <w:szCs w:val="11"/>
                <w:b w:val="1"/>
                <w:bCs w:val="1"/>
                <w:color w:val="auto"/>
              </w:rPr>
              <w:t>December 31, 2017</w:t>
            </w:r>
          </w:p>
        </w:tc>
      </w:tr>
      <w:tr>
        <w:trPr>
          <w:trHeight w:val="22"/>
        </w:trPr>
        <w:tc>
          <w:tcPr>
            <w:tcW w:w="42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56"/>
        </w:trPr>
        <w:tc>
          <w:tcPr>
            <w:tcW w:w="424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rPr>
              <w:t>(In millions)</w:t>
            </w:r>
          </w:p>
        </w:tc>
        <w:tc>
          <w:tcPr>
            <w:tcW w:w="1500" w:type="dxa"/>
            <w:vAlign w:val="bottom"/>
          </w:tcPr>
          <w:p>
            <w:pPr>
              <w:spacing w:after="0"/>
              <w:rPr>
                <w:sz w:val="13"/>
                <w:szCs w:val="13"/>
                <w:color w:val="auto"/>
              </w:rPr>
            </w:pPr>
          </w:p>
        </w:tc>
      </w:tr>
      <w:tr>
        <w:trPr>
          <w:trHeight w:val="184"/>
        </w:trPr>
        <w:tc>
          <w:tcPr>
            <w:tcW w:w="424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Property, Plant and Equipment Accumulated Depreciation</w:t>
            </w:r>
          </w:p>
        </w:tc>
        <w:tc>
          <w:tcPr>
            <w:tcW w:w="4800" w:type="dxa"/>
            <w:vAlign w:val="bottom"/>
            <w:gridSpan w:val="2"/>
            <w:shd w:val="clear" w:color="auto" w:fill="CCEEFF"/>
          </w:tcPr>
          <w:p>
            <w:pPr>
              <w:jc w:val="right"/>
              <w:ind w:right="1206"/>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1,428</w:t>
            </w:r>
          </w:p>
        </w:tc>
        <w:tc>
          <w:tcPr>
            <w:tcW w:w="44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5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1,285</w:t>
            </w:r>
          </w:p>
        </w:tc>
      </w:tr>
      <w:tr>
        <w:trPr>
          <w:trHeight w:val="162"/>
        </w:trPr>
        <w:tc>
          <w:tcPr>
            <w:tcW w:w="4240" w:type="dxa"/>
            <w:vAlign w:val="bottom"/>
          </w:tcPr>
          <w:p>
            <w:pPr>
              <w:ind w:left="20"/>
              <w:spacing w:after="0"/>
              <w:rPr>
                <w:sz w:val="20"/>
                <w:szCs w:val="20"/>
                <w:color w:val="auto"/>
              </w:rPr>
            </w:pPr>
            <w:r>
              <w:rPr>
                <w:rFonts w:ascii="Arial" w:cs="Arial" w:eastAsia="Arial" w:hAnsi="Arial"/>
                <w:sz w:val="12"/>
                <w:szCs w:val="12"/>
                <w:color w:val="auto"/>
              </w:rPr>
              <w:t>Intangible Assets Accumulated Amortization</w:t>
            </w:r>
          </w:p>
        </w:tc>
        <w:tc>
          <w:tcPr>
            <w:tcW w:w="3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00" w:type="dxa"/>
            <w:vAlign w:val="bottom"/>
          </w:tcPr>
          <w:p>
            <w:pPr>
              <w:jc w:val="right"/>
              <w:ind w:right="64"/>
              <w:spacing w:after="0"/>
              <w:rPr>
                <w:sz w:val="20"/>
                <w:szCs w:val="20"/>
                <w:color w:val="auto"/>
              </w:rPr>
            </w:pPr>
            <w:r>
              <w:rPr>
                <w:rFonts w:ascii="Arial" w:cs="Arial" w:eastAsia="Arial" w:hAnsi="Arial"/>
                <w:sz w:val="12"/>
                <w:szCs w:val="12"/>
                <w:color w:val="auto"/>
              </w:rPr>
              <w:t>272</w:t>
            </w:r>
          </w:p>
        </w:tc>
        <w:tc>
          <w:tcPr>
            <w:tcW w:w="440" w:type="dxa"/>
            <w:vAlign w:val="bottom"/>
          </w:tcPr>
          <w:p>
            <w:pPr>
              <w:spacing w:after="0"/>
              <w:rPr>
                <w:sz w:val="14"/>
                <w:szCs w:val="14"/>
                <w:color w:val="auto"/>
              </w:rPr>
            </w:pPr>
          </w:p>
        </w:tc>
        <w:tc>
          <w:tcPr>
            <w:tcW w:w="1500" w:type="dxa"/>
            <w:vAlign w:val="bottom"/>
          </w:tcPr>
          <w:p>
            <w:pPr>
              <w:jc w:val="right"/>
              <w:ind w:right="62"/>
              <w:spacing w:after="0"/>
              <w:rPr>
                <w:sz w:val="20"/>
                <w:szCs w:val="20"/>
                <w:color w:val="auto"/>
              </w:rPr>
            </w:pPr>
            <w:r>
              <w:rPr>
                <w:rFonts w:ascii="Arial" w:cs="Arial" w:eastAsia="Arial" w:hAnsi="Arial"/>
                <w:sz w:val="12"/>
                <w:szCs w:val="12"/>
                <w:color w:val="auto"/>
              </w:rPr>
              <w:t>237</w:t>
            </w:r>
          </w:p>
        </w:tc>
      </w:tr>
      <w:tr>
        <w:trPr>
          <w:trHeight w:val="432"/>
        </w:trPr>
        <w:tc>
          <w:tcPr>
            <w:tcW w:w="4240" w:type="dxa"/>
            <w:vAlign w:val="bottom"/>
          </w:tcPr>
          <w:p>
            <w:pPr>
              <w:spacing w:after="0"/>
              <w:rPr>
                <w:sz w:val="24"/>
                <w:szCs w:val="24"/>
                <w:color w:val="auto"/>
              </w:rPr>
            </w:pPr>
          </w:p>
        </w:tc>
        <w:tc>
          <w:tcPr>
            <w:tcW w:w="3460" w:type="dxa"/>
            <w:vAlign w:val="bottom"/>
          </w:tcPr>
          <w:p>
            <w:pPr>
              <w:jc w:val="right"/>
              <w:ind w:right="1840"/>
              <w:spacing w:after="0"/>
              <w:rPr>
                <w:sz w:val="20"/>
                <w:szCs w:val="20"/>
                <w:color w:val="auto"/>
              </w:rPr>
            </w:pPr>
            <w:r>
              <w:rPr>
                <w:rFonts w:ascii="Arial" w:cs="Arial" w:eastAsia="Arial" w:hAnsi="Arial"/>
                <w:sz w:val="12"/>
                <w:szCs w:val="12"/>
                <w:color w:val="auto"/>
              </w:rPr>
              <w:t>14</w:t>
            </w: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1480"/>
          </w:cols>
          <w:pgMar w:left="220" w:top="509" w:right="199" w:bottom="1440" w:gutter="0" w:footer="0" w:header="0"/>
        </w:sectPr>
      </w:pPr>
    </w:p>
    <w:bookmarkStart w:id="14" w:name="page15"/>
    <w:bookmarkEnd w:id="14"/>
    <w:p>
      <w:pPr>
        <w:ind w:left="8"/>
        <w:spacing w:after="0"/>
        <w:rPr>
          <w:sz w:val="20"/>
          <w:szCs w:val="20"/>
          <w:color w:val="auto"/>
        </w:rPr>
      </w:pPr>
      <w:r>
        <w:rPr>
          <w:rFonts w:ascii="Arial" w:cs="Arial" w:eastAsia="Arial" w:hAnsi="Arial"/>
          <w:sz w:val="12"/>
          <w:szCs w:val="12"/>
          <w:b w:val="1"/>
          <w:bCs w:val="1"/>
          <w:i w:val="1"/>
          <w:iCs w:val="1"/>
          <w:color w:val="auto"/>
        </w:rPr>
        <w:t>Noncontrolling Interests</w:t>
      </w:r>
    </w:p>
    <w:p>
      <w:pPr>
        <w:spacing w:after="0" w:line="114" w:lineRule="exact"/>
        <w:rPr>
          <w:sz w:val="20"/>
          <w:szCs w:val="20"/>
          <w:color w:val="auto"/>
        </w:rPr>
      </w:pPr>
    </w:p>
    <w:p>
      <w:pPr>
        <w:ind w:left="8" w:firstLine="261"/>
        <w:spacing w:after="0" w:line="276" w:lineRule="auto"/>
        <w:rPr>
          <w:sz w:val="20"/>
          <w:szCs w:val="20"/>
          <w:color w:val="auto"/>
        </w:rPr>
      </w:pPr>
      <w:r>
        <w:rPr>
          <w:rFonts w:ascii="Arial" w:cs="Arial" w:eastAsia="Arial" w:hAnsi="Arial"/>
          <w:sz w:val="12"/>
          <w:szCs w:val="12"/>
          <w:color w:val="auto"/>
        </w:rPr>
        <w:t>Stockholders' equity represents the equity associated with the Class A and Class C common stockholders, the equity associated with the Class B and Class D common stockholder, NRG, and the third-party interests under certain tax equity arrangements are classified as noncontrolling interests. The following table reflects the changes in the Company's noncontrolling interest balance:</w:t>
      </w:r>
    </w:p>
    <w:p>
      <w:pPr>
        <w:spacing w:after="0" w:line="7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98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460"/>
              <w:spacing w:after="0"/>
              <w:rPr>
                <w:sz w:val="20"/>
                <w:szCs w:val="20"/>
                <w:color w:val="auto"/>
              </w:rPr>
            </w:pPr>
            <w:r>
              <w:rPr>
                <w:rFonts w:ascii="Arial" w:cs="Arial" w:eastAsia="Arial" w:hAnsi="Arial"/>
                <w:sz w:val="11"/>
                <w:szCs w:val="11"/>
                <w:b w:val="1"/>
                <w:bCs w:val="1"/>
                <w:color w:val="auto"/>
              </w:rPr>
              <w:t>(In millions)</w:t>
            </w:r>
          </w:p>
        </w:tc>
      </w:tr>
      <w:tr>
        <w:trPr>
          <w:trHeight w:val="179"/>
        </w:trPr>
        <w:tc>
          <w:tcPr>
            <w:tcW w:w="9880" w:type="dxa"/>
            <w:vAlign w:val="bottom"/>
          </w:tcPr>
          <w:p>
            <w:pPr>
              <w:ind w:left="20"/>
              <w:spacing w:after="0" w:line="179" w:lineRule="exact"/>
              <w:rPr>
                <w:sz w:val="20"/>
                <w:szCs w:val="20"/>
                <w:color w:val="auto"/>
              </w:rPr>
            </w:pPr>
            <w:r>
              <w:rPr>
                <w:rFonts w:ascii="Arial" w:cs="Arial" w:eastAsia="Arial" w:hAnsi="Arial"/>
                <w:sz w:val="12"/>
                <w:szCs w:val="12"/>
                <w:color w:val="auto"/>
              </w:rPr>
              <w:t xml:space="preserve">Balance as of December 31, 2017 as previously reported </w:t>
            </w:r>
            <w:r>
              <w:rPr>
                <w:rFonts w:ascii="Arial" w:cs="Arial" w:eastAsia="Arial" w:hAnsi="Arial"/>
                <w:sz w:val="16"/>
                <w:szCs w:val="16"/>
                <w:color w:val="auto"/>
                <w:vertAlign w:val="superscript"/>
              </w:rPr>
              <w:t>(a)</w:t>
            </w: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391</w:t>
            </w:r>
          </w:p>
        </w:tc>
      </w:tr>
      <w:tr>
        <w:trPr>
          <w:trHeight w:val="171"/>
        </w:trPr>
        <w:tc>
          <w:tcPr>
            <w:tcW w:w="9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Assets of Buckthorn Solar Drop Down Asset as of December 31, 2017</w:t>
            </w:r>
          </w:p>
        </w:tc>
        <w:tc>
          <w:tcPr>
            <w:tcW w:w="3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21</w:t>
            </w:r>
          </w:p>
        </w:tc>
      </w:tr>
      <w:tr>
        <w:trPr>
          <w:trHeight w:val="169"/>
        </w:trPr>
        <w:tc>
          <w:tcPr>
            <w:tcW w:w="9880" w:type="dxa"/>
            <w:vAlign w:val="bottom"/>
          </w:tcPr>
          <w:p>
            <w:pPr>
              <w:ind w:left="20"/>
              <w:spacing w:after="0"/>
              <w:rPr>
                <w:sz w:val="20"/>
                <w:szCs w:val="20"/>
                <w:color w:val="auto"/>
              </w:rPr>
            </w:pPr>
            <w:r>
              <w:rPr>
                <w:rFonts w:ascii="Arial" w:cs="Arial" w:eastAsia="Arial" w:hAnsi="Arial"/>
                <w:sz w:val="12"/>
                <w:szCs w:val="12"/>
                <w:color w:val="auto"/>
              </w:rPr>
              <w:t>Balance as of December 31, 2017 as recast</w:t>
            </w: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412</w:t>
            </w:r>
          </w:p>
        </w:tc>
      </w:tr>
      <w:tr>
        <w:trPr>
          <w:trHeight w:val="189"/>
        </w:trPr>
        <w:tc>
          <w:tcPr>
            <w:tcW w:w="98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Capital contributions from tax equity investors, net of distributions</w:t>
            </w:r>
          </w:p>
        </w:tc>
        <w:tc>
          <w:tcPr>
            <w:tcW w:w="3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109</w:t>
            </w:r>
          </w:p>
        </w:tc>
      </w:tr>
      <w:tr>
        <w:trPr>
          <w:trHeight w:val="171"/>
        </w:trPr>
        <w:tc>
          <w:tcPr>
            <w:tcW w:w="9880" w:type="dxa"/>
            <w:vAlign w:val="bottom"/>
          </w:tcPr>
          <w:p>
            <w:pPr>
              <w:ind w:left="180"/>
              <w:spacing w:after="0"/>
              <w:rPr>
                <w:sz w:val="20"/>
                <w:szCs w:val="20"/>
                <w:color w:val="auto"/>
              </w:rPr>
            </w:pPr>
            <w:r>
              <w:rPr>
                <w:rFonts w:ascii="Arial" w:cs="Arial" w:eastAsia="Arial" w:hAnsi="Arial"/>
                <w:sz w:val="12"/>
                <w:szCs w:val="12"/>
                <w:color w:val="auto"/>
              </w:rPr>
              <w:t>Payment for the Buckthorn Solar Drop Down Asset</w:t>
            </w:r>
          </w:p>
        </w:tc>
        <w:tc>
          <w:tcPr>
            <w:tcW w:w="300" w:type="dxa"/>
            <w:vAlign w:val="bottom"/>
          </w:tcPr>
          <w:p>
            <w:pPr>
              <w:spacing w:after="0"/>
              <w:rPr>
                <w:sz w:val="14"/>
                <w:szCs w:val="14"/>
                <w:color w:val="auto"/>
              </w:rPr>
            </w:pPr>
          </w:p>
        </w:tc>
        <w:tc>
          <w:tcPr>
            <w:tcW w:w="1300" w:type="dxa"/>
            <w:vAlign w:val="bottom"/>
          </w:tcPr>
          <w:p>
            <w:pPr>
              <w:jc w:val="right"/>
              <w:ind w:right="20"/>
              <w:spacing w:after="0"/>
              <w:rPr>
                <w:sz w:val="20"/>
                <w:szCs w:val="20"/>
                <w:color w:val="auto"/>
              </w:rPr>
            </w:pPr>
            <w:r>
              <w:rPr>
                <w:rFonts w:ascii="Arial" w:cs="Arial" w:eastAsia="Arial" w:hAnsi="Arial"/>
                <w:sz w:val="12"/>
                <w:szCs w:val="12"/>
                <w:color w:val="auto"/>
              </w:rPr>
              <w:t>(42)</w:t>
            </w:r>
          </w:p>
        </w:tc>
      </w:tr>
      <w:tr>
        <w:trPr>
          <w:trHeight w:val="189"/>
        </w:trPr>
        <w:tc>
          <w:tcPr>
            <w:tcW w:w="98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Non cash distributions to NRG in connection with the UPMC Thermal Project Asset Acquisition</w:t>
            </w:r>
          </w:p>
        </w:tc>
        <w:tc>
          <w:tcPr>
            <w:tcW w:w="3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(13)</w:t>
            </w:r>
          </w:p>
        </w:tc>
      </w:tr>
      <w:tr>
        <w:trPr>
          <w:trHeight w:val="171"/>
        </w:trPr>
        <w:tc>
          <w:tcPr>
            <w:tcW w:w="9880" w:type="dxa"/>
            <w:vAlign w:val="bottom"/>
          </w:tcPr>
          <w:p>
            <w:pPr>
              <w:ind w:left="180"/>
              <w:spacing w:after="0"/>
              <w:rPr>
                <w:sz w:val="20"/>
                <w:szCs w:val="20"/>
                <w:color w:val="auto"/>
              </w:rPr>
            </w:pPr>
            <w:r>
              <w:rPr>
                <w:rFonts w:ascii="Arial" w:cs="Arial" w:eastAsia="Arial" w:hAnsi="Arial"/>
                <w:sz w:val="12"/>
                <w:szCs w:val="12"/>
                <w:color w:val="auto"/>
              </w:rPr>
              <w:t>Pre-acquisition net income of the Buckthorn Solar Drop Down Asset</w:t>
            </w:r>
          </w:p>
        </w:tc>
        <w:tc>
          <w:tcPr>
            <w:tcW w:w="300" w:type="dxa"/>
            <w:vAlign w:val="bottom"/>
          </w:tcPr>
          <w:p>
            <w:pPr>
              <w:spacing w:after="0"/>
              <w:rPr>
                <w:sz w:val="14"/>
                <w:szCs w:val="14"/>
                <w:color w:val="auto"/>
              </w:rPr>
            </w:pP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4</w:t>
            </w:r>
          </w:p>
        </w:tc>
      </w:tr>
      <w:tr>
        <w:trPr>
          <w:trHeight w:val="189"/>
        </w:trPr>
        <w:tc>
          <w:tcPr>
            <w:tcW w:w="98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Comprehensive income</w:t>
            </w:r>
          </w:p>
        </w:tc>
        <w:tc>
          <w:tcPr>
            <w:tcW w:w="3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w:t>
            </w:r>
          </w:p>
        </w:tc>
      </w:tr>
      <w:tr>
        <w:trPr>
          <w:trHeight w:val="171"/>
        </w:trPr>
        <w:tc>
          <w:tcPr>
            <w:tcW w:w="9880" w:type="dxa"/>
            <w:vAlign w:val="bottom"/>
          </w:tcPr>
          <w:p>
            <w:pPr>
              <w:ind w:left="180"/>
              <w:spacing w:after="0"/>
              <w:rPr>
                <w:sz w:val="20"/>
                <w:szCs w:val="20"/>
                <w:color w:val="auto"/>
              </w:rPr>
            </w:pPr>
            <w:r>
              <w:rPr>
                <w:rFonts w:ascii="Arial" w:cs="Arial" w:eastAsia="Arial" w:hAnsi="Arial"/>
                <w:sz w:val="12"/>
                <w:szCs w:val="12"/>
                <w:color w:val="auto"/>
              </w:rPr>
              <w:t>Non-cash adjustment for change in tax basis of assets</w:t>
            </w:r>
          </w:p>
        </w:tc>
        <w:tc>
          <w:tcPr>
            <w:tcW w:w="300" w:type="dxa"/>
            <w:vAlign w:val="bottom"/>
          </w:tcPr>
          <w:p>
            <w:pPr>
              <w:spacing w:after="0"/>
              <w:rPr>
                <w:sz w:val="14"/>
                <w:szCs w:val="14"/>
                <w:color w:val="auto"/>
              </w:rPr>
            </w:pP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2</w:t>
            </w:r>
          </w:p>
        </w:tc>
      </w:tr>
      <w:tr>
        <w:trPr>
          <w:trHeight w:val="180"/>
        </w:trPr>
        <w:tc>
          <w:tcPr>
            <w:tcW w:w="98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Distributions to NRG, net</w:t>
            </w:r>
          </w:p>
        </w:tc>
        <w:tc>
          <w:tcPr>
            <w:tcW w:w="3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(63)</w:t>
            </w:r>
          </w:p>
        </w:tc>
      </w:tr>
      <w:tr>
        <w:trPr>
          <w:trHeight w:val="185"/>
        </w:trPr>
        <w:tc>
          <w:tcPr>
            <w:tcW w:w="9880" w:type="dxa"/>
            <w:vAlign w:val="bottom"/>
          </w:tcPr>
          <w:p>
            <w:pPr>
              <w:ind w:left="20"/>
              <w:spacing w:after="0"/>
              <w:rPr>
                <w:sz w:val="20"/>
                <w:szCs w:val="20"/>
                <w:color w:val="auto"/>
              </w:rPr>
            </w:pPr>
            <w:r>
              <w:rPr>
                <w:rFonts w:ascii="Arial" w:cs="Arial" w:eastAsia="Arial" w:hAnsi="Arial"/>
                <w:sz w:val="12"/>
                <w:szCs w:val="12"/>
                <w:color w:val="auto"/>
              </w:rPr>
              <w:t>Balance as of June 30, 2018</w:t>
            </w: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142430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24305" cy="5715"/>
                    </a:xfrm>
                    <a:prstGeom prst="rect">
                      <a:avLst/>
                    </a:prstGeom>
                    <a:noFill/>
                  </pic:spPr>
                </pic:pic>
              </a:graphicData>
            </a:graphic>
          </wp:anchor>
        </w:drawing>
      </w:r>
    </w:p>
    <w:p>
      <w:pPr>
        <w:spacing w:after="0" w:line="128" w:lineRule="exact"/>
        <w:rPr>
          <w:sz w:val="20"/>
          <w:szCs w:val="20"/>
          <w:color w:val="auto"/>
        </w:rPr>
      </w:pPr>
    </w:p>
    <w:p>
      <w:pPr>
        <w:ind w:left="128" w:hanging="128"/>
        <w:spacing w:after="0"/>
        <w:tabs>
          <w:tab w:leader="none" w:pos="128" w:val="left"/>
        </w:tabs>
        <w:numPr>
          <w:ilvl w:val="0"/>
          <w:numId w:val="7"/>
        </w:numPr>
        <w:rPr>
          <w:rFonts w:ascii="Arial" w:cs="Arial" w:eastAsia="Arial" w:hAnsi="Arial"/>
          <w:sz w:val="15"/>
          <w:szCs w:val="15"/>
          <w:color w:val="auto"/>
          <w:vertAlign w:val="superscript"/>
        </w:rPr>
      </w:pPr>
      <w:r>
        <w:rPr>
          <w:rFonts w:ascii="Arial" w:cs="Arial" w:eastAsia="Arial" w:hAnsi="Arial"/>
          <w:sz w:val="10"/>
          <w:szCs w:val="10"/>
          <w:color w:val="auto"/>
        </w:rPr>
        <w:t>As previously reported in the Company's Form 10-K for the year ended December 31, 2017.</w:t>
      </w:r>
    </w:p>
    <w:p>
      <w:pPr>
        <w:spacing w:after="0" w:line="103" w:lineRule="exact"/>
        <w:rPr>
          <w:rFonts w:ascii="Arial" w:cs="Arial" w:eastAsia="Arial" w:hAnsi="Arial"/>
          <w:sz w:val="15"/>
          <w:szCs w:val="15"/>
          <w:color w:val="auto"/>
          <w:vertAlign w:val="superscript"/>
        </w:rPr>
      </w:pPr>
    </w:p>
    <w:p>
      <w:pPr>
        <w:ind w:left="268"/>
        <w:spacing w:after="0"/>
        <w:rPr>
          <w:rFonts w:ascii="Arial" w:cs="Arial" w:eastAsia="Arial" w:hAnsi="Arial"/>
          <w:sz w:val="15"/>
          <w:szCs w:val="15"/>
          <w:color w:val="auto"/>
          <w:vertAlign w:val="superscript"/>
        </w:rPr>
      </w:pPr>
      <w:r>
        <w:rPr>
          <w:rFonts w:ascii="Arial" w:cs="Arial" w:eastAsia="Arial" w:hAnsi="Arial"/>
          <w:sz w:val="12"/>
          <w:szCs w:val="12"/>
          <w:i w:val="1"/>
          <w:iCs w:val="1"/>
          <w:color w:val="auto"/>
        </w:rPr>
        <w:t>NRG Yield LLC Distributions to NRG</w:t>
      </w:r>
    </w:p>
    <w:p>
      <w:pPr>
        <w:spacing w:after="0" w:line="114" w:lineRule="exact"/>
        <w:rPr>
          <w:rFonts w:ascii="Arial" w:cs="Arial" w:eastAsia="Arial" w:hAnsi="Arial"/>
          <w:sz w:val="15"/>
          <w:szCs w:val="15"/>
          <w:color w:val="auto"/>
          <w:vertAlign w:val="superscript"/>
        </w:rPr>
      </w:pPr>
    </w:p>
    <w:p>
      <w:pPr>
        <w:ind w:left="268"/>
        <w:spacing w:after="0"/>
        <w:rPr>
          <w:rFonts w:ascii="Arial" w:cs="Arial" w:eastAsia="Arial" w:hAnsi="Arial"/>
          <w:sz w:val="15"/>
          <w:szCs w:val="15"/>
          <w:color w:val="auto"/>
          <w:vertAlign w:val="superscript"/>
        </w:rPr>
      </w:pPr>
      <w:r>
        <w:rPr>
          <w:rFonts w:ascii="Arial" w:cs="Arial" w:eastAsia="Arial" w:hAnsi="Arial"/>
          <w:sz w:val="12"/>
          <w:szCs w:val="12"/>
          <w:color w:val="auto"/>
        </w:rPr>
        <w:t>The following table lists the distributions paid to NRG on NRG Yield LLC's Class B and D units during the six months ended June 30, 2018:</w:t>
      </w:r>
    </w:p>
    <w:p>
      <w:pPr>
        <w:spacing w:after="0" w:line="262" w:lineRule="exact"/>
        <w:rPr>
          <w:sz w:val="20"/>
          <w:szCs w:val="20"/>
          <w:color w:val="auto"/>
        </w:rPr>
      </w:pPr>
    </w:p>
    <w:tbl>
      <w:tblPr>
        <w:tblLayout w:type="fixed"/>
        <w:tblInd w:w="1348" w:type="dxa"/>
        <w:tblCellMar>
          <w:top w:w="0" w:type="dxa"/>
          <w:left w:w="0" w:type="dxa"/>
          <w:bottom w:w="0" w:type="dxa"/>
          <w:right w:w="0" w:type="dxa"/>
        </w:tblCellMar>
      </w:tblPr>
      <w:tr>
        <w:trPr>
          <w:trHeight w:val="128"/>
        </w:trPr>
        <w:tc>
          <w:tcPr>
            <w:tcW w:w="6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ind w:left="20"/>
              <w:spacing w:after="0"/>
              <w:rPr>
                <w:sz w:val="20"/>
                <w:szCs w:val="20"/>
                <w:color w:val="auto"/>
              </w:rPr>
            </w:pPr>
            <w:r>
              <w:rPr>
                <w:rFonts w:ascii="Arial" w:cs="Arial" w:eastAsia="Arial" w:hAnsi="Arial"/>
                <w:sz w:val="10"/>
                <w:szCs w:val="10"/>
                <w:b w:val="1"/>
                <w:bCs w:val="1"/>
                <w:color w:val="auto"/>
              </w:rPr>
              <w:t>Second Quarter 2018</w:t>
            </w:r>
          </w:p>
        </w:tc>
        <w:tc>
          <w:tcPr>
            <w:tcW w:w="140" w:type="dxa"/>
            <w:vAlign w:val="bottom"/>
          </w:tcPr>
          <w:p>
            <w:pPr>
              <w:spacing w:after="0"/>
              <w:rPr>
                <w:sz w:val="11"/>
                <w:szCs w:val="11"/>
                <w:color w:val="auto"/>
              </w:rPr>
            </w:pPr>
          </w:p>
        </w:tc>
        <w:tc>
          <w:tcPr>
            <w:tcW w:w="1000" w:type="dxa"/>
            <w:vAlign w:val="bottom"/>
          </w:tcPr>
          <w:p>
            <w:pPr>
              <w:jc w:val="right"/>
              <w:ind w:right="124"/>
              <w:spacing w:after="0"/>
              <w:rPr>
                <w:sz w:val="20"/>
                <w:szCs w:val="20"/>
                <w:color w:val="auto"/>
              </w:rPr>
            </w:pPr>
            <w:r>
              <w:rPr>
                <w:rFonts w:ascii="Arial" w:cs="Arial" w:eastAsia="Arial" w:hAnsi="Arial"/>
                <w:sz w:val="10"/>
                <w:szCs w:val="10"/>
                <w:b w:val="1"/>
                <w:bCs w:val="1"/>
                <w:color w:val="auto"/>
                <w:w w:val="93"/>
              </w:rPr>
              <w:t>First Quarter 2018</w:t>
            </w:r>
          </w:p>
        </w:tc>
      </w:tr>
      <w:tr>
        <w:trPr>
          <w:trHeight w:val="173"/>
        </w:trPr>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Distributions per Class B Unit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2"/>
                <w:szCs w:val="12"/>
                <w:color w:val="auto"/>
              </w:rPr>
              <w:t>0.309</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2"/>
                <w:szCs w:val="12"/>
                <w:color w:val="auto"/>
              </w:rPr>
              <w:t>0.298</w:t>
            </w:r>
          </w:p>
        </w:tc>
      </w:tr>
      <w:tr>
        <w:trPr>
          <w:trHeight w:val="162"/>
        </w:trPr>
        <w:tc>
          <w:tcPr>
            <w:tcW w:w="6420" w:type="dxa"/>
            <w:vAlign w:val="bottom"/>
          </w:tcPr>
          <w:p>
            <w:pPr>
              <w:spacing w:after="0"/>
              <w:rPr>
                <w:sz w:val="20"/>
                <w:szCs w:val="20"/>
                <w:color w:val="auto"/>
              </w:rPr>
            </w:pPr>
            <w:r>
              <w:rPr>
                <w:rFonts w:ascii="Arial" w:cs="Arial" w:eastAsia="Arial" w:hAnsi="Arial"/>
                <w:sz w:val="12"/>
                <w:szCs w:val="12"/>
                <w:b w:val="1"/>
                <w:bCs w:val="1"/>
                <w:color w:val="auto"/>
              </w:rPr>
              <w:t>Distributions per Class D Unit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44"/>
              <w:spacing w:after="0"/>
              <w:rPr>
                <w:sz w:val="20"/>
                <w:szCs w:val="20"/>
                <w:color w:val="auto"/>
              </w:rPr>
            </w:pPr>
            <w:r>
              <w:rPr>
                <w:rFonts w:ascii="Arial" w:cs="Arial" w:eastAsia="Arial" w:hAnsi="Arial"/>
                <w:sz w:val="12"/>
                <w:szCs w:val="12"/>
                <w:color w:val="auto"/>
              </w:rPr>
              <w:t>0.309</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24"/>
              <w:spacing w:after="0"/>
              <w:rPr>
                <w:sz w:val="20"/>
                <w:szCs w:val="20"/>
                <w:color w:val="auto"/>
              </w:rPr>
            </w:pPr>
            <w:r>
              <w:rPr>
                <w:rFonts w:ascii="Arial" w:cs="Arial" w:eastAsia="Arial" w:hAnsi="Arial"/>
                <w:sz w:val="12"/>
                <w:szCs w:val="12"/>
                <w:color w:val="auto"/>
              </w:rPr>
              <w:t>0.298</w:t>
            </w:r>
          </w:p>
        </w:tc>
      </w:tr>
    </w:tbl>
    <w:p>
      <w:pPr>
        <w:spacing w:after="0" w:line="117" w:lineRule="exact"/>
        <w:rPr>
          <w:sz w:val="20"/>
          <w:szCs w:val="20"/>
          <w:color w:val="auto"/>
        </w:rPr>
      </w:pPr>
    </w:p>
    <w:p>
      <w:pPr>
        <w:ind w:left="8" w:right="1140" w:firstLine="270"/>
        <w:spacing w:after="0" w:line="469" w:lineRule="auto"/>
        <w:rPr>
          <w:sz w:val="20"/>
          <w:szCs w:val="20"/>
          <w:color w:val="auto"/>
        </w:rPr>
      </w:pPr>
      <w:r>
        <w:rPr>
          <w:rFonts w:ascii="Arial" w:cs="Arial" w:eastAsia="Arial" w:hAnsi="Arial"/>
          <w:sz w:val="12"/>
          <w:szCs w:val="12"/>
          <w:color w:val="auto"/>
        </w:rPr>
        <w:t xml:space="preserve">On July 24, 2018, NRG Yield LLC declared a distribution on its Class A, Class B, Class C and Class D units of $0.320 per unit payable on September 18, 2018 to unit holders of record as of September 4, 2018. </w:t>
      </w:r>
      <w:r>
        <w:rPr>
          <w:rFonts w:ascii="Arial" w:cs="Arial" w:eastAsia="Arial" w:hAnsi="Arial"/>
          <w:sz w:val="12"/>
          <w:szCs w:val="12"/>
          <w:b w:val="1"/>
          <w:bCs w:val="1"/>
          <w:i w:val="1"/>
          <w:iCs w:val="1"/>
          <w:color w:val="auto"/>
        </w:rPr>
        <w:t>Revenue Recognition</w:t>
      </w:r>
    </w:p>
    <w:p>
      <w:pPr>
        <w:spacing w:after="0" w:line="1"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Revenue from Contracts with Customers</w:t>
      </w:r>
    </w:p>
    <w:p>
      <w:pPr>
        <w:spacing w:after="0" w:line="114" w:lineRule="exact"/>
        <w:rPr>
          <w:sz w:val="20"/>
          <w:szCs w:val="20"/>
          <w:color w:val="auto"/>
        </w:rPr>
      </w:pPr>
    </w:p>
    <w:p>
      <w:pPr>
        <w:jc w:val="both"/>
        <w:ind w:left="8" w:firstLine="324"/>
        <w:spacing w:after="0" w:line="327" w:lineRule="auto"/>
        <w:rPr>
          <w:sz w:val="20"/>
          <w:szCs w:val="20"/>
          <w:color w:val="auto"/>
        </w:rPr>
      </w:pPr>
      <w:r>
        <w:rPr>
          <w:rFonts w:ascii="Arial" w:cs="Arial" w:eastAsia="Arial" w:hAnsi="Arial"/>
          <w:sz w:val="10"/>
          <w:szCs w:val="10"/>
          <w:color w:val="auto"/>
        </w:rPr>
        <w:t xml:space="preserve">On January 1, 2018, the Company adopted the guidance in ASC 606, </w:t>
      </w:r>
      <w:r>
        <w:rPr>
          <w:rFonts w:ascii="Arial" w:cs="Arial" w:eastAsia="Arial" w:hAnsi="Arial"/>
          <w:sz w:val="10"/>
          <w:szCs w:val="10"/>
          <w:i w:val="1"/>
          <w:iCs w:val="1"/>
          <w:color w:val="auto"/>
        </w:rPr>
        <w:t>Revenue from Contracts with Customers,</w:t>
      </w:r>
      <w:r>
        <w:rPr>
          <w:rFonts w:ascii="Arial" w:cs="Arial" w:eastAsia="Arial" w:hAnsi="Arial"/>
          <w:sz w:val="10"/>
          <w:szCs w:val="10"/>
          <w:color w:val="auto"/>
        </w:rPr>
        <w:t xml:space="preserve"> or Topic 606, using the modified retrospective method applied to contracts which were not completed as of the adoption date, with no adjustment required to the financial statements upon adoption. Following the adoption of the new standard, the Company’s revenue recognition of its contracts with customers remains materially consistent with its historical practice. The comparative information has not been restated and continues to be reported under the accounting standards in effect for those periods. The Company's policies with respect to its various revenue streams are detailed below. In general, the Company applies the invoicing practical expedient to recognize revenue for the revenue streams detailed below, except in circumstances where the invoiced amount does not represent the value transferred to the customer.</w:t>
      </w:r>
    </w:p>
    <w:p>
      <w:pPr>
        <w:spacing w:after="0" w:line="94" w:lineRule="exact"/>
        <w:rPr>
          <w:sz w:val="20"/>
          <w:szCs w:val="20"/>
          <w:color w:val="auto"/>
        </w:rPr>
      </w:pPr>
    </w:p>
    <w:p>
      <w:pPr>
        <w:ind w:left="268"/>
        <w:spacing w:after="0"/>
        <w:rPr>
          <w:sz w:val="20"/>
          <w:szCs w:val="20"/>
          <w:color w:val="auto"/>
        </w:rPr>
      </w:pPr>
      <w:r>
        <w:rPr>
          <w:rFonts w:ascii="Arial" w:cs="Arial" w:eastAsia="Arial" w:hAnsi="Arial"/>
          <w:sz w:val="12"/>
          <w:szCs w:val="12"/>
          <w:i w:val="1"/>
          <w:iCs w:val="1"/>
          <w:color w:val="auto"/>
        </w:rPr>
        <w:t>Thermal Revenues</w:t>
      </w:r>
    </w:p>
    <w:p>
      <w:pPr>
        <w:spacing w:after="0" w:line="123" w:lineRule="exact"/>
        <w:rPr>
          <w:sz w:val="20"/>
          <w:szCs w:val="20"/>
          <w:color w:val="auto"/>
        </w:rPr>
      </w:pPr>
    </w:p>
    <w:p>
      <w:pPr>
        <w:jc w:val="both"/>
        <w:ind w:left="8" w:firstLine="261"/>
        <w:spacing w:after="0" w:line="259" w:lineRule="auto"/>
        <w:rPr>
          <w:sz w:val="20"/>
          <w:szCs w:val="20"/>
          <w:color w:val="auto"/>
        </w:rPr>
      </w:pPr>
      <w:r>
        <w:rPr>
          <w:rFonts w:ascii="Arial" w:cs="Arial" w:eastAsia="Arial" w:hAnsi="Arial"/>
          <w:sz w:val="12"/>
          <w:szCs w:val="12"/>
          <w:color w:val="auto"/>
        </w:rPr>
        <w:t>Steam and chilled water revenue is recognized as the Company transfers the product to the customer, based on customer usage as determined by meter readings taken at month-end. Some locations read customer meters throughout the month, and recognize estimated revenue for the period between meter read date and month-end. For thermal contracts, the Company’s performance obligation to deliver steam and chilled water is satisfied over time and revenue is recognized based on the invoiced amount. The Thermal Business subsidiaries collect and remit state and local taxes associated with sales to their customers, as required by governmental authorities. These taxes are presented on a net basis in the income statement.</w:t>
      </w:r>
    </w:p>
    <w:p>
      <w:pPr>
        <w:spacing w:after="0" w:line="23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488"/>
          </w:cols>
          <w:pgMar w:left="212" w:top="509" w:right="199" w:bottom="1440" w:gutter="0" w:footer="0" w:header="0"/>
        </w:sectPr>
      </w:pPr>
    </w:p>
    <w:bookmarkStart w:id="15" w:name="page16"/>
    <w:bookmarkEnd w:id="15"/>
    <w:p>
      <w:pPr>
        <w:jc w:val="both"/>
        <w:ind w:firstLine="324"/>
        <w:spacing w:after="0" w:line="263" w:lineRule="auto"/>
        <w:rPr>
          <w:sz w:val="20"/>
          <w:szCs w:val="20"/>
          <w:color w:val="auto"/>
        </w:rPr>
      </w:pPr>
      <w:r>
        <w:rPr>
          <w:rFonts w:ascii="Arial" w:cs="Arial" w:eastAsia="Arial" w:hAnsi="Arial"/>
          <w:sz w:val="12"/>
          <w:szCs w:val="12"/>
          <w:color w:val="auto"/>
        </w:rPr>
        <w:t>As contracts for steam and chilled water are long-term contracts, the Company has performance obligations under these contracts that have not yet been satisfied. These performance obligations have transaction prices that are both fixed and variable, and that vary based on the contract duration, customer type, inception date and other contract-specific factors. For the fixed price contracts, the Company cannot accurately estimate the amount of its unsatisfied performance obligations as it will vary based on customer usage, which will depend on factors such as weather and customer activity.</w:t>
      </w:r>
    </w:p>
    <w:p>
      <w:pPr>
        <w:spacing w:after="0" w:line="105"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Power Purchase Agreements, or PPAs</w:t>
      </w:r>
    </w:p>
    <w:p>
      <w:pPr>
        <w:spacing w:after="0" w:line="141"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2"/>
          <w:szCs w:val="12"/>
          <w:color w:val="auto"/>
        </w:rPr>
        <w:t>The majority of the Company’s revenues are obtained through PPAs or other contractual agreements. Energy, capacity and where applicable, renewable attributes, from the majority of the Company’s renewable energy assets and certain conventional energy plants is sold through long-term PPAs and tolling agreements to a single counterparty, which is often a utility or commercial customer. The majority of these PPAs are accounted for as leases. ASC 840 requires the minimum lease payments received to be amortized over the term of the lease and contingent rentals are recorded when the achievement of the contingency becomes probable. Judgment is required by management in determining the economic life of each generating facility, in evaluating whether certain lease provisions constitute minimum payments or represent contingent rent and other factors in determining whether a contract contains a lease and whether the lease is an operating lease or capital lease.</w:t>
      </w:r>
    </w:p>
    <w:p>
      <w:pPr>
        <w:spacing w:after="0" w:line="18"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Renewable Energy Credits, or RECs</w:t>
      </w:r>
    </w:p>
    <w:p>
      <w:pPr>
        <w:spacing w:after="0" w:line="123"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As stated above, renewable energy credits, or RECs, are usually sold through long-term PPAs. Revenue from the sale of self-generated RECs is recognized when related energy is generated and simultaneously delivered even in cases where there is a certification lag as it has been deemed to be perfunctory.</w:t>
      </w:r>
    </w:p>
    <w:p>
      <w:pPr>
        <w:spacing w:after="0" w:line="61" w:lineRule="exact"/>
        <w:rPr>
          <w:sz w:val="20"/>
          <w:szCs w:val="20"/>
          <w:color w:val="auto"/>
        </w:rPr>
      </w:pPr>
    </w:p>
    <w:p>
      <w:pPr>
        <w:jc w:val="both"/>
        <w:ind w:firstLine="261"/>
        <w:spacing w:after="0" w:line="276" w:lineRule="auto"/>
        <w:rPr>
          <w:sz w:val="20"/>
          <w:szCs w:val="20"/>
          <w:color w:val="auto"/>
        </w:rPr>
      </w:pPr>
      <w:r>
        <w:rPr>
          <w:rFonts w:ascii="Arial" w:cs="Arial" w:eastAsia="Arial" w:hAnsi="Arial"/>
          <w:sz w:val="12"/>
          <w:szCs w:val="12"/>
          <w:color w:val="auto"/>
        </w:rPr>
        <w:t>In a bundled contract to sell energy, capacity and/or self-generated RECs, all performance obligations are deemed to be delivered at the same time and hence, timing of recognition of revenue for all performance obligations is the same and occurs over time. In such cases, it is often unnecessary to allocate transaction price to multiple performance obligations.</w:t>
      </w:r>
    </w:p>
    <w:p>
      <w:pPr>
        <w:spacing w:after="0" w:line="97"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Sale of Emission Allowances</w:t>
      </w:r>
    </w:p>
    <w:p>
      <w:pPr>
        <w:spacing w:after="0" w:line="123" w:lineRule="exact"/>
        <w:rPr>
          <w:sz w:val="20"/>
          <w:szCs w:val="20"/>
          <w:color w:val="auto"/>
        </w:rPr>
      </w:pPr>
    </w:p>
    <w:p>
      <w:pPr>
        <w:jc w:val="both"/>
        <w:ind w:firstLine="261"/>
        <w:spacing w:after="0" w:line="323" w:lineRule="auto"/>
        <w:rPr>
          <w:sz w:val="20"/>
          <w:szCs w:val="20"/>
          <w:color w:val="auto"/>
        </w:rPr>
      </w:pPr>
      <w:r>
        <w:rPr>
          <w:rFonts w:ascii="Arial" w:cs="Arial" w:eastAsia="Arial" w:hAnsi="Arial"/>
          <w:sz w:val="11"/>
          <w:szCs w:val="11"/>
          <w:color w:val="auto"/>
        </w:rPr>
        <w:t>The Company records its bank of emission allowances as part of intangible assets. From time to time, management may authorize the transfer of emission allowances in excess of usage from the Company's emission bank to intangible assets held-for-sale for trading purposes. The Company records the sale of emission allowances on a net basis within operating revenue in the Company's consolidated statements of operations.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480"/>
          </w:cols>
          <w:pgMar w:left="220" w:top="509" w:right="199" w:bottom="1440" w:gutter="0" w:footer="0" w:header="0"/>
        </w:sectPr>
      </w:pPr>
    </w:p>
    <w:bookmarkStart w:id="16" w:name="page17"/>
    <w:bookmarkEnd w:id="16"/>
    <w:p>
      <w:pPr>
        <w:ind w:left="260"/>
        <w:spacing w:after="0"/>
        <w:rPr>
          <w:sz w:val="20"/>
          <w:szCs w:val="20"/>
          <w:color w:val="auto"/>
        </w:rPr>
      </w:pPr>
      <w:r>
        <w:rPr>
          <w:rFonts w:ascii="Arial" w:cs="Arial" w:eastAsia="Arial" w:hAnsi="Arial"/>
          <w:sz w:val="12"/>
          <w:szCs w:val="12"/>
          <w:i w:val="1"/>
          <w:iCs w:val="1"/>
          <w:color w:val="auto"/>
        </w:rPr>
        <w:t>Disaggregated Revenues</w:t>
      </w:r>
    </w:p>
    <w:p>
      <w:pPr>
        <w:spacing w:after="0" w:line="123"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following tables represent the Company’s disaggregation of revenue from contracts with customers for the three and six months ended June 30, 2018, along with the reportable segment for each category: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6"/>
          </w:tcPr>
          <w:p>
            <w:pPr>
              <w:ind w:left="220"/>
              <w:spacing w:after="0"/>
              <w:rPr>
                <w:sz w:val="20"/>
                <w:szCs w:val="20"/>
                <w:color w:val="auto"/>
              </w:rPr>
            </w:pPr>
            <w:r>
              <w:rPr>
                <w:rFonts w:ascii="Arial" w:cs="Arial" w:eastAsia="Arial" w:hAnsi="Arial"/>
                <w:sz w:val="10"/>
                <w:szCs w:val="10"/>
                <w:b w:val="1"/>
                <w:bCs w:val="1"/>
                <w:color w:val="auto"/>
              </w:rPr>
              <w:t>Three months ended June 30, 2018</w:t>
            </w:r>
          </w:p>
        </w:tc>
        <w:tc>
          <w:tcPr>
            <w:tcW w:w="3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r>
      <w:tr>
        <w:trPr>
          <w:trHeight w:val="146"/>
        </w:trPr>
        <w:tc>
          <w:tcPr>
            <w:tcW w:w="20" w:type="dxa"/>
            <w:vAlign w:val="bottom"/>
          </w:tcPr>
          <w:p>
            <w:pPr>
              <w:spacing w:after="0"/>
              <w:rPr>
                <w:sz w:val="12"/>
                <w:szCs w:val="12"/>
                <w:color w:val="auto"/>
              </w:rPr>
            </w:pPr>
          </w:p>
        </w:tc>
        <w:tc>
          <w:tcPr>
            <w:tcW w:w="500" w:type="dxa"/>
            <w:vAlign w:val="bottom"/>
          </w:tcPr>
          <w:p>
            <w:pPr>
              <w:spacing w:after="0"/>
              <w:rPr>
                <w:sz w:val="20"/>
                <w:szCs w:val="20"/>
                <w:color w:val="auto"/>
              </w:rPr>
            </w:pPr>
            <w:r>
              <w:rPr>
                <w:rFonts w:ascii="Arial" w:cs="Arial" w:eastAsia="Arial" w:hAnsi="Arial"/>
                <w:sz w:val="10"/>
                <w:szCs w:val="10"/>
                <w:b w:val="1"/>
                <w:bCs w:val="1"/>
                <w:color w:val="auto"/>
                <w:w w:val="85"/>
              </w:rPr>
              <w:t>(In millions)</w:t>
            </w:r>
          </w:p>
        </w:tc>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w w:val="85"/>
              </w:rPr>
              <w:t>Conventional Generation</w:t>
            </w:r>
          </w:p>
        </w:tc>
        <w:tc>
          <w:tcPr>
            <w:tcW w:w="22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3"/>
          </w:tcPr>
          <w:p>
            <w:pPr>
              <w:spacing w:after="0"/>
              <w:rPr>
                <w:sz w:val="20"/>
                <w:szCs w:val="20"/>
                <w:color w:val="auto"/>
              </w:rPr>
            </w:pPr>
            <w:r>
              <w:rPr>
                <w:rFonts w:ascii="Arial" w:cs="Arial" w:eastAsia="Arial" w:hAnsi="Arial"/>
                <w:sz w:val="10"/>
                <w:szCs w:val="10"/>
                <w:b w:val="1"/>
                <w:bCs w:val="1"/>
                <w:color w:val="auto"/>
              </w:rPr>
              <w:t>Renewables</w:t>
            </w:r>
          </w:p>
        </w:tc>
        <w:tc>
          <w:tcPr>
            <w:tcW w:w="460" w:type="dxa"/>
            <w:vAlign w:val="bottom"/>
          </w:tcPr>
          <w:p>
            <w:pPr>
              <w:spacing w:after="0"/>
              <w:rPr>
                <w:sz w:val="12"/>
                <w:szCs w:val="12"/>
                <w:color w:val="auto"/>
              </w:rPr>
            </w:pPr>
          </w:p>
        </w:tc>
        <w:tc>
          <w:tcPr>
            <w:tcW w:w="460" w:type="dxa"/>
            <w:vAlign w:val="bottom"/>
            <w:gridSpan w:val="2"/>
          </w:tcPr>
          <w:p>
            <w:pPr>
              <w:spacing w:after="0"/>
              <w:rPr>
                <w:sz w:val="20"/>
                <w:szCs w:val="20"/>
                <w:color w:val="auto"/>
              </w:rPr>
            </w:pPr>
            <w:r>
              <w:rPr>
                <w:rFonts w:ascii="Arial" w:cs="Arial" w:eastAsia="Arial" w:hAnsi="Arial"/>
                <w:sz w:val="10"/>
                <w:szCs w:val="10"/>
                <w:b w:val="1"/>
                <w:bCs w:val="1"/>
                <w:color w:val="auto"/>
              </w:rPr>
              <w:t>Thermal</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3"/>
          </w:tcPr>
          <w:p>
            <w:pPr>
              <w:jc w:val="right"/>
              <w:ind w:right="520"/>
              <w:spacing w:after="0"/>
              <w:rPr>
                <w:sz w:val="20"/>
                <w:szCs w:val="20"/>
                <w:color w:val="auto"/>
              </w:rPr>
            </w:pPr>
            <w:r>
              <w:rPr>
                <w:rFonts w:ascii="Arial" w:cs="Arial" w:eastAsia="Arial" w:hAnsi="Arial"/>
                <w:sz w:val="10"/>
                <w:szCs w:val="10"/>
                <w:b w:val="1"/>
                <w:bCs w:val="1"/>
                <w:color w:val="auto"/>
              </w:rPr>
              <w:t>Total</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1"/>
                <w:szCs w:val="11"/>
                <w:color w:val="auto"/>
              </w:rPr>
              <w:t>Energy revenue</w:t>
            </w:r>
            <w:r>
              <w:rPr>
                <w:rFonts w:ascii="Arial" w:cs="Arial" w:eastAsia="Arial" w:hAnsi="Arial"/>
                <w:sz w:val="14"/>
                <w:szCs w:val="14"/>
                <w:color w:val="auto"/>
                <w:vertAlign w:val="superscript"/>
              </w:rPr>
              <w:t>(a)</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1040" w:type="dxa"/>
            <w:vAlign w:val="bottom"/>
            <w:gridSpan w:val="3"/>
          </w:tcPr>
          <w:p>
            <w:pPr>
              <w:jc w:val="right"/>
              <w:ind w:right="66"/>
              <w:spacing w:after="0"/>
              <w:rPr>
                <w:sz w:val="20"/>
                <w:szCs w:val="20"/>
                <w:color w:val="auto"/>
              </w:rPr>
            </w:pPr>
            <w:r>
              <w:rPr>
                <w:rFonts w:ascii="Arial" w:cs="Arial" w:eastAsia="Arial" w:hAnsi="Arial"/>
                <w:sz w:val="11"/>
                <w:szCs w:val="11"/>
                <w:color w:val="auto"/>
              </w:rPr>
              <w:t>193</w:t>
            </w:r>
          </w:p>
        </w:tc>
        <w:tc>
          <w:tcPr>
            <w:tcW w:w="120" w:type="dxa"/>
            <w:vAlign w:val="bottom"/>
          </w:tcPr>
          <w:p>
            <w:pPr>
              <w:spacing w:after="0"/>
              <w:rPr>
                <w:sz w:val="18"/>
                <w:szCs w:val="18"/>
                <w:color w:val="auto"/>
              </w:rPr>
            </w:pPr>
          </w:p>
        </w:tc>
        <w:tc>
          <w:tcPr>
            <w:tcW w:w="460" w:type="dxa"/>
            <w:vAlign w:val="bottom"/>
          </w:tcPr>
          <w:p>
            <w:pPr>
              <w:jc w:val="right"/>
              <w:ind w:right="351"/>
              <w:spacing w:after="0"/>
              <w:rPr>
                <w:sz w:val="20"/>
                <w:szCs w:val="20"/>
                <w:color w:val="auto"/>
              </w:rPr>
            </w:pPr>
            <w:r>
              <w:rPr>
                <w:rFonts w:ascii="Arial" w:cs="Arial" w:eastAsia="Arial" w:hAnsi="Arial"/>
                <w:sz w:val="10"/>
                <w:szCs w:val="10"/>
                <w:color w:val="auto"/>
                <w:w w:val="71"/>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43</w:t>
            </w:r>
          </w:p>
        </w:tc>
        <w:tc>
          <w:tcPr>
            <w:tcW w:w="120" w:type="dxa"/>
            <w:vAlign w:val="bottom"/>
          </w:tcPr>
          <w:p>
            <w:pPr>
              <w:spacing w:after="0"/>
              <w:rPr>
                <w:sz w:val="18"/>
                <w:szCs w:val="18"/>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960" w:type="dxa"/>
            <w:vAlign w:val="bottom"/>
            <w:gridSpan w:val="3"/>
          </w:tcPr>
          <w:p>
            <w:pPr>
              <w:jc w:val="right"/>
              <w:ind w:right="120"/>
              <w:spacing w:after="0"/>
              <w:rPr>
                <w:sz w:val="20"/>
                <w:szCs w:val="20"/>
                <w:color w:val="auto"/>
              </w:rPr>
            </w:pPr>
            <w:r>
              <w:rPr>
                <w:rFonts w:ascii="Arial" w:cs="Arial" w:eastAsia="Arial" w:hAnsi="Arial"/>
                <w:sz w:val="11"/>
                <w:szCs w:val="11"/>
                <w:color w:val="auto"/>
              </w:rPr>
              <w:t>238</w:t>
            </w:r>
          </w:p>
        </w:tc>
      </w:tr>
      <w:tr>
        <w:trPr>
          <w:trHeight w:val="207"/>
        </w:trPr>
        <w:tc>
          <w:tcPr>
            <w:tcW w:w="20" w:type="dxa"/>
            <w:vAlign w:val="bottom"/>
            <w:shd w:val="clear" w:color="auto" w:fill="CCEEFF"/>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Capacity revenue</w:t>
            </w:r>
            <w:r>
              <w:rPr>
                <w:rFonts w:ascii="Arial" w:cs="Arial" w:eastAsia="Arial" w:hAnsi="Arial"/>
                <w:sz w:val="14"/>
                <w:szCs w:val="14"/>
                <w:color w:val="auto"/>
                <w:vertAlign w:val="superscript"/>
              </w:rPr>
              <w:t>(a)</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87</w:t>
            </w:r>
          </w:p>
        </w:tc>
      </w:tr>
      <w:tr>
        <w:trPr>
          <w:trHeight w:val="185"/>
        </w:trPr>
        <w:tc>
          <w:tcPr>
            <w:tcW w:w="20" w:type="dxa"/>
            <w:vAlign w:val="bottom"/>
          </w:tcPr>
          <w:p>
            <w:pPr>
              <w:spacing w:after="0"/>
              <w:rPr>
                <w:sz w:val="16"/>
                <w:szCs w:val="16"/>
                <w:color w:val="auto"/>
              </w:rPr>
            </w:pPr>
          </w:p>
        </w:tc>
        <w:tc>
          <w:tcPr>
            <w:tcW w:w="6060" w:type="dxa"/>
            <w:vAlign w:val="bottom"/>
            <w:gridSpan w:val="2"/>
          </w:tcPr>
          <w:p>
            <w:pPr>
              <w:spacing w:after="0"/>
              <w:rPr>
                <w:sz w:val="20"/>
                <w:szCs w:val="20"/>
                <w:color w:val="auto"/>
              </w:rPr>
            </w:pPr>
            <w:r>
              <w:rPr>
                <w:rFonts w:ascii="Arial" w:cs="Arial" w:eastAsia="Arial" w:hAnsi="Arial"/>
                <w:sz w:val="11"/>
                <w:szCs w:val="11"/>
                <w:color w:val="auto"/>
              </w:rPr>
              <w:t>Contract amortization</w:t>
            </w:r>
          </w:p>
        </w:tc>
        <w:tc>
          <w:tcPr>
            <w:tcW w:w="12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3"/>
          </w:tcPr>
          <w:p>
            <w:pPr>
              <w:jc w:val="right"/>
              <w:ind w:right="26"/>
              <w:spacing w:after="0"/>
              <w:rPr>
                <w:sz w:val="20"/>
                <w:szCs w:val="20"/>
                <w:color w:val="auto"/>
              </w:rPr>
            </w:pPr>
            <w:r>
              <w:rPr>
                <w:rFonts w:ascii="Arial" w:cs="Arial" w:eastAsia="Arial" w:hAnsi="Arial"/>
                <w:sz w:val="11"/>
                <w:szCs w:val="11"/>
                <w:color w:val="auto"/>
              </w:rPr>
              <w:t>(16)</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6"/>
                <w:szCs w:val="16"/>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1"/>
                <w:szCs w:val="11"/>
                <w:color w:val="auto"/>
              </w:rPr>
              <w:t>(18)</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5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6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Total operating revenue</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85</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3"/>
            <w:shd w:val="clear" w:color="auto" w:fill="CCEEFF"/>
          </w:tcPr>
          <w:p>
            <w:pPr>
              <w:jc w:val="right"/>
              <w:ind w:right="66"/>
              <w:spacing w:after="0"/>
              <w:rPr>
                <w:sz w:val="20"/>
                <w:szCs w:val="20"/>
                <w:color w:val="auto"/>
              </w:rPr>
            </w:pPr>
            <w:r>
              <w:rPr>
                <w:rFonts w:ascii="Arial" w:cs="Arial" w:eastAsia="Arial" w:hAnsi="Arial"/>
                <w:sz w:val="11"/>
                <w:szCs w:val="11"/>
                <w:color w:val="auto"/>
              </w:rPr>
              <w:t>177</w:t>
            </w:r>
          </w:p>
        </w:tc>
        <w:tc>
          <w:tcPr>
            <w:tcW w:w="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45</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307</w:t>
            </w:r>
          </w:p>
        </w:tc>
      </w:tr>
      <w:tr>
        <w:trPr>
          <w:trHeight w:val="185"/>
        </w:trPr>
        <w:tc>
          <w:tcPr>
            <w:tcW w:w="20" w:type="dxa"/>
            <w:vAlign w:val="bottom"/>
          </w:tcPr>
          <w:p>
            <w:pPr>
              <w:spacing w:after="0"/>
              <w:rPr>
                <w:sz w:val="16"/>
                <w:szCs w:val="16"/>
                <w:color w:val="auto"/>
              </w:rPr>
            </w:pPr>
          </w:p>
        </w:tc>
        <w:tc>
          <w:tcPr>
            <w:tcW w:w="6060" w:type="dxa"/>
            <w:vAlign w:val="bottom"/>
            <w:gridSpan w:val="2"/>
          </w:tcPr>
          <w:p>
            <w:pPr>
              <w:spacing w:after="0"/>
              <w:rPr>
                <w:sz w:val="20"/>
                <w:szCs w:val="20"/>
                <w:color w:val="auto"/>
              </w:rPr>
            </w:pPr>
            <w:r>
              <w:rPr>
                <w:rFonts w:ascii="Arial" w:cs="Arial" w:eastAsia="Arial" w:hAnsi="Arial"/>
                <w:sz w:val="11"/>
                <w:szCs w:val="11"/>
                <w:color w:val="auto"/>
              </w:rPr>
              <w:t>Less: Lease revenue</w:t>
            </w:r>
          </w:p>
        </w:tc>
        <w:tc>
          <w:tcPr>
            <w:tcW w:w="12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1"/>
                <w:szCs w:val="11"/>
                <w:color w:val="auto"/>
              </w:rPr>
              <w:t>(87)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3"/>
          </w:tcPr>
          <w:p>
            <w:pPr>
              <w:jc w:val="right"/>
              <w:ind w:right="26"/>
              <w:spacing w:after="0"/>
              <w:rPr>
                <w:sz w:val="20"/>
                <w:szCs w:val="20"/>
                <w:color w:val="auto"/>
              </w:rPr>
            </w:pPr>
            <w:r>
              <w:rPr>
                <w:rFonts w:ascii="Arial" w:cs="Arial" w:eastAsia="Arial" w:hAnsi="Arial"/>
                <w:sz w:val="11"/>
                <w:szCs w:val="11"/>
                <w:color w:val="auto"/>
              </w:rPr>
              <w:t>(179)</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1"/>
                <w:szCs w:val="11"/>
                <w:color w:val="auto"/>
              </w:rPr>
              <w:t>(267)</w:t>
            </w:r>
          </w:p>
        </w:tc>
      </w:tr>
      <w:tr>
        <w:trPr>
          <w:trHeight w:val="22"/>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7"/>
        </w:trPr>
        <w:tc>
          <w:tcPr>
            <w:tcW w:w="20" w:type="dxa"/>
            <w:vAlign w:val="bottom"/>
            <w:tcBorders>
              <w:bottom w:val="single" w:sz="8" w:color="CCEEFF"/>
            </w:tcBorders>
            <w:shd w:val="clear" w:color="auto" w:fill="CCEEFF"/>
          </w:tcPr>
          <w:p>
            <w:pPr>
              <w:spacing w:after="0"/>
              <w:rPr>
                <w:sz w:val="18"/>
                <w:szCs w:val="18"/>
                <w:color w:val="auto"/>
              </w:rPr>
            </w:pPr>
          </w:p>
        </w:tc>
        <w:tc>
          <w:tcPr>
            <w:tcW w:w="6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Less: Contract amortization</w:t>
            </w: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3"/>
            <w:shd w:val="clear" w:color="auto" w:fill="CCEEFF"/>
          </w:tcPr>
          <w:p>
            <w:pPr>
              <w:jc w:val="right"/>
              <w:ind w:right="66"/>
              <w:spacing w:after="0"/>
              <w:rPr>
                <w:sz w:val="20"/>
                <w:szCs w:val="20"/>
                <w:color w:val="auto"/>
              </w:rPr>
            </w:pPr>
            <w:r>
              <w:rPr>
                <w:rFonts w:ascii="Arial" w:cs="Arial" w:eastAsia="Arial" w:hAnsi="Arial"/>
                <w:sz w:val="11"/>
                <w:szCs w:val="11"/>
                <w:color w:val="auto"/>
              </w:rPr>
              <w:t>16</w:t>
            </w: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18</w:t>
            </w:r>
          </w:p>
        </w:tc>
      </w:tr>
      <w:tr>
        <w:trPr>
          <w:trHeight w:val="167"/>
        </w:trPr>
        <w:tc>
          <w:tcPr>
            <w:tcW w:w="20" w:type="dxa"/>
            <w:vAlign w:val="bottom"/>
          </w:tcPr>
          <w:p>
            <w:pPr>
              <w:spacing w:after="0"/>
              <w:rPr>
                <w:sz w:val="14"/>
                <w:szCs w:val="14"/>
                <w:color w:val="auto"/>
              </w:rPr>
            </w:pPr>
          </w:p>
        </w:tc>
        <w:tc>
          <w:tcPr>
            <w:tcW w:w="6060" w:type="dxa"/>
            <w:vAlign w:val="bottom"/>
            <w:gridSpan w:val="2"/>
          </w:tcPr>
          <w:p>
            <w:pPr>
              <w:ind w:left="160"/>
              <w:spacing w:after="0"/>
              <w:rPr>
                <w:sz w:val="20"/>
                <w:szCs w:val="20"/>
                <w:color w:val="auto"/>
              </w:rPr>
            </w:pPr>
            <w:r>
              <w:rPr>
                <w:rFonts w:ascii="Arial" w:cs="Arial" w:eastAsia="Arial" w:hAnsi="Arial"/>
                <w:sz w:val="11"/>
                <w:szCs w:val="11"/>
                <w:color w:val="auto"/>
              </w:rPr>
              <w:t>Total revenue from contracts with customers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color w:val="auto"/>
                <w:w w:val="97"/>
              </w:rPr>
              <w:t>$</w:t>
            </w:r>
          </w:p>
        </w:tc>
        <w:tc>
          <w:tcPr>
            <w:tcW w:w="1040" w:type="dxa"/>
            <w:vAlign w:val="bottom"/>
            <w:tcBorders>
              <w:top w:val="single" w:sz="8" w:color="auto"/>
              <w:bottom w:val="single" w:sz="8" w:color="auto"/>
            </w:tcBorders>
            <w:gridSpan w:val="3"/>
          </w:tcPr>
          <w:p>
            <w:pPr>
              <w:jc w:val="right"/>
              <w:ind w:right="66"/>
              <w:spacing w:after="0"/>
              <w:rPr>
                <w:sz w:val="20"/>
                <w:szCs w:val="20"/>
                <w:color w:val="auto"/>
              </w:rPr>
            </w:pPr>
            <w:r>
              <w:rPr>
                <w:rFonts w:ascii="Arial" w:cs="Arial" w:eastAsia="Arial" w:hAnsi="Arial"/>
                <w:sz w:val="11"/>
                <w:szCs w:val="11"/>
                <w:color w:val="auto"/>
              </w:rPr>
              <w:t>14</w:t>
            </w:r>
          </w:p>
        </w:tc>
        <w:tc>
          <w:tcPr>
            <w:tcW w:w="12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44</w:t>
            </w:r>
          </w:p>
        </w:tc>
        <w:tc>
          <w:tcPr>
            <w:tcW w:w="12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gridSpan w:val="3"/>
          </w:tcPr>
          <w:p>
            <w:pPr>
              <w:jc w:val="right"/>
              <w:ind w:right="120"/>
              <w:spacing w:after="0"/>
              <w:rPr>
                <w:sz w:val="20"/>
                <w:szCs w:val="20"/>
                <w:color w:val="auto"/>
              </w:rPr>
            </w:pPr>
            <w:r>
              <w:rPr>
                <w:rFonts w:ascii="Arial" w:cs="Arial" w:eastAsia="Arial" w:hAnsi="Arial"/>
                <w:sz w:val="11"/>
                <w:szCs w:val="11"/>
                <w:color w:val="auto"/>
              </w:rPr>
              <w:t>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108585</wp:posOffset>
            </wp:positionV>
            <wp:extent cx="140144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01445" cy="5715"/>
                    </a:xfrm>
                    <a:prstGeom prst="rect">
                      <a:avLst/>
                    </a:prstGeom>
                    <a:noFill/>
                  </pic:spPr>
                </pic:pic>
              </a:graphicData>
            </a:graphic>
          </wp:anchor>
        </w:drawing>
      </w:r>
    </w:p>
    <w:p>
      <w:pPr>
        <w:spacing w:after="0" w:line="164" w:lineRule="exact"/>
        <w:rPr>
          <w:sz w:val="20"/>
          <w:szCs w:val="20"/>
          <w:color w:val="auto"/>
        </w:rPr>
      </w:pPr>
    </w:p>
    <w:p>
      <w:pPr>
        <w:ind w:left="260" w:hanging="106"/>
        <w:spacing w:after="0"/>
        <w:tabs>
          <w:tab w:leader="none" w:pos="260" w:val="left"/>
        </w:tabs>
        <w:numPr>
          <w:ilvl w:val="0"/>
          <w:numId w:val="8"/>
        </w:numPr>
        <w:rPr>
          <w:rFonts w:ascii="Arial" w:cs="Arial" w:eastAsia="Arial" w:hAnsi="Arial"/>
          <w:sz w:val="11"/>
          <w:szCs w:val="11"/>
          <w:color w:val="auto"/>
          <w:vertAlign w:val="superscript"/>
        </w:rPr>
      </w:pPr>
      <w:r>
        <w:rPr>
          <w:rFonts w:ascii="Arial" w:cs="Arial" w:eastAsia="Arial" w:hAnsi="Arial"/>
          <w:sz w:val="8"/>
          <w:szCs w:val="8"/>
          <w:color w:val="auto"/>
        </w:rPr>
        <w:t>The following amounts of energy and capacity revenue relate to leases and are accounted for under ASC 840:</w:t>
      </w:r>
    </w:p>
    <w:p>
      <w:pPr>
        <w:spacing w:after="0" w:line="142" w:lineRule="exact"/>
        <w:rPr>
          <w:sz w:val="20"/>
          <w:szCs w:val="20"/>
          <w:color w:val="auto"/>
        </w:rPr>
      </w:pPr>
    </w:p>
    <w:tbl>
      <w:tblPr>
        <w:tblLayout w:type="fixed"/>
        <w:tblInd w:w="1240" w:type="dxa"/>
        <w:tblCellMar>
          <w:top w:w="0" w:type="dxa"/>
          <w:left w:w="0" w:type="dxa"/>
          <w:bottom w:w="0" w:type="dxa"/>
          <w:right w:w="0" w:type="dxa"/>
        </w:tblCellMar>
      </w:tblPr>
      <w:tr>
        <w:trPr>
          <w:trHeight w:val="122"/>
        </w:trPr>
        <w:tc>
          <w:tcPr>
            <w:tcW w:w="2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00" w:type="dxa"/>
            <w:vAlign w:val="bottom"/>
            <w:gridSpan w:val="3"/>
          </w:tcPr>
          <w:p>
            <w:pPr>
              <w:spacing w:after="0"/>
              <w:rPr>
                <w:sz w:val="20"/>
                <w:szCs w:val="20"/>
                <w:color w:val="auto"/>
              </w:rPr>
            </w:pPr>
            <w:r>
              <w:rPr>
                <w:rFonts w:ascii="Arial" w:cs="Arial" w:eastAsia="Arial" w:hAnsi="Arial"/>
                <w:sz w:val="10"/>
                <w:szCs w:val="10"/>
                <w:b w:val="1"/>
                <w:bCs w:val="1"/>
                <w:color w:val="auto"/>
              </w:rPr>
              <w:t>Conventional Generation</w:t>
            </w:r>
          </w:p>
        </w:tc>
        <w:tc>
          <w:tcPr>
            <w:tcW w:w="600" w:type="dxa"/>
            <w:vAlign w:val="bottom"/>
          </w:tcPr>
          <w:p>
            <w:pPr>
              <w:spacing w:after="0"/>
              <w:rPr>
                <w:sz w:val="10"/>
                <w:szCs w:val="10"/>
                <w:color w:val="auto"/>
              </w:rPr>
            </w:pPr>
          </w:p>
        </w:tc>
        <w:tc>
          <w:tcPr>
            <w:tcW w:w="1200" w:type="dxa"/>
            <w:vAlign w:val="bottom"/>
            <w:gridSpan w:val="3"/>
          </w:tcPr>
          <w:p>
            <w:pPr>
              <w:spacing w:after="0"/>
              <w:rPr>
                <w:sz w:val="20"/>
                <w:szCs w:val="20"/>
                <w:color w:val="auto"/>
              </w:rPr>
            </w:pPr>
            <w:r>
              <w:rPr>
                <w:rFonts w:ascii="Arial" w:cs="Arial" w:eastAsia="Arial" w:hAnsi="Arial"/>
                <w:sz w:val="10"/>
                <w:szCs w:val="10"/>
                <w:b w:val="1"/>
                <w:bCs w:val="1"/>
                <w:color w:val="auto"/>
              </w:rPr>
              <w:t>Renewables</w:t>
            </w:r>
          </w:p>
        </w:tc>
        <w:tc>
          <w:tcPr>
            <w:tcW w:w="300" w:type="dxa"/>
            <w:vAlign w:val="bottom"/>
          </w:tcPr>
          <w:p>
            <w:pPr>
              <w:spacing w:after="0"/>
              <w:rPr>
                <w:sz w:val="10"/>
                <w:szCs w:val="10"/>
                <w:color w:val="auto"/>
              </w:rPr>
            </w:pPr>
          </w:p>
        </w:tc>
        <w:tc>
          <w:tcPr>
            <w:tcW w:w="1240" w:type="dxa"/>
            <w:vAlign w:val="bottom"/>
            <w:gridSpan w:val="4"/>
          </w:tcPr>
          <w:p>
            <w:pPr>
              <w:ind w:left="240"/>
              <w:spacing w:after="0"/>
              <w:rPr>
                <w:sz w:val="20"/>
                <w:szCs w:val="20"/>
                <w:color w:val="auto"/>
              </w:rPr>
            </w:pPr>
            <w:r>
              <w:rPr>
                <w:rFonts w:ascii="Arial" w:cs="Arial" w:eastAsia="Arial" w:hAnsi="Arial"/>
                <w:sz w:val="10"/>
                <w:szCs w:val="10"/>
                <w:b w:val="1"/>
                <w:bCs w:val="1"/>
                <w:color w:val="auto"/>
              </w:rPr>
              <w:t>Thermal</w:t>
            </w:r>
          </w:p>
        </w:tc>
        <w:tc>
          <w:tcPr>
            <w:tcW w:w="500" w:type="dxa"/>
            <w:vAlign w:val="bottom"/>
          </w:tcPr>
          <w:p>
            <w:pPr>
              <w:spacing w:after="0"/>
              <w:rPr>
                <w:sz w:val="10"/>
                <w:szCs w:val="10"/>
                <w:color w:val="auto"/>
              </w:rPr>
            </w:pPr>
          </w:p>
        </w:tc>
        <w:tc>
          <w:tcPr>
            <w:tcW w:w="740" w:type="dxa"/>
            <w:vAlign w:val="bottom"/>
            <w:gridSpan w:val="2"/>
          </w:tcPr>
          <w:p>
            <w:pPr>
              <w:jc w:val="right"/>
              <w:ind w:right="460"/>
              <w:spacing w:after="0"/>
              <w:rPr>
                <w:sz w:val="20"/>
                <w:szCs w:val="20"/>
                <w:color w:val="auto"/>
              </w:rPr>
            </w:pPr>
            <w:r>
              <w:rPr>
                <w:rFonts w:ascii="Arial" w:cs="Arial" w:eastAsia="Arial" w:hAnsi="Arial"/>
                <w:sz w:val="10"/>
                <w:szCs w:val="10"/>
                <w:b w:val="1"/>
                <w:bCs w:val="1"/>
                <w:color w:val="auto"/>
                <w:w w:val="83"/>
              </w:rPr>
              <w:t>Total</w:t>
            </w:r>
          </w:p>
        </w:tc>
      </w:tr>
      <w:tr>
        <w:trPr>
          <w:trHeight w:val="180"/>
        </w:trPr>
        <w:tc>
          <w:tcPr>
            <w:tcW w:w="2160" w:type="dxa"/>
            <w:vAlign w:val="bottom"/>
            <w:shd w:val="clear" w:color="auto" w:fill="CCEEFF"/>
          </w:tcPr>
          <w:p>
            <w:pPr>
              <w:ind w:left="20"/>
              <w:spacing w:after="0"/>
              <w:rPr>
                <w:sz w:val="20"/>
                <w:szCs w:val="20"/>
                <w:color w:val="auto"/>
              </w:rPr>
            </w:pPr>
            <w:r>
              <w:rPr>
                <w:rFonts w:ascii="Arial" w:cs="Arial" w:eastAsia="Arial" w:hAnsi="Arial"/>
                <w:sz w:val="11"/>
                <w:szCs w:val="11"/>
                <w:color w:val="auto"/>
              </w:rPr>
              <w:t>Energy Revenue</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240" w:type="dxa"/>
            <w:vAlign w:val="bottom"/>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5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60"/>
              <w:spacing w:after="0"/>
              <w:rPr>
                <w:sz w:val="20"/>
                <w:szCs w:val="20"/>
                <w:color w:val="auto"/>
              </w:rPr>
            </w:pPr>
            <w:r>
              <w:rPr>
                <w:rFonts w:ascii="Arial" w:cs="Arial" w:eastAsia="Arial" w:hAnsi="Arial"/>
                <w:sz w:val="12"/>
                <w:szCs w:val="12"/>
                <w:color w:val="auto"/>
                <w:w w:val="89"/>
              </w:rPr>
              <w:t>$</w:t>
            </w:r>
          </w:p>
        </w:tc>
        <w:tc>
          <w:tcPr>
            <w:tcW w:w="500" w:type="dxa"/>
            <w:vAlign w:val="bottom"/>
            <w:tcBorders>
              <w:top w:val="single" w:sz="8" w:color="auto"/>
            </w:tcBorders>
            <w:shd w:val="clear" w:color="auto" w:fill="CCEEFF"/>
          </w:tcPr>
          <w:p>
            <w:pPr>
              <w:spacing w:after="0"/>
              <w:rPr>
                <w:sz w:val="15"/>
                <w:szCs w:val="15"/>
                <w:color w:val="auto"/>
              </w:rPr>
            </w:pPr>
          </w:p>
        </w:tc>
        <w:tc>
          <w:tcPr>
            <w:tcW w:w="6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179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240" w:type="dxa"/>
            <w:vAlign w:val="bottom"/>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5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90"/>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tcBorders>
            <w:shd w:val="clear" w:color="auto" w:fill="CCEEFF"/>
          </w:tcPr>
          <w:p>
            <w:pPr>
              <w:spacing w:after="0"/>
              <w:rPr>
                <w:sz w:val="15"/>
                <w:szCs w:val="15"/>
                <w:color w:val="auto"/>
              </w:rPr>
            </w:pPr>
          </w:p>
        </w:tc>
        <w:tc>
          <w:tcPr>
            <w:tcW w:w="5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182</w:t>
            </w:r>
          </w:p>
        </w:tc>
      </w:tr>
      <w:tr>
        <w:trPr>
          <w:trHeight w:val="171"/>
        </w:trPr>
        <w:tc>
          <w:tcPr>
            <w:tcW w:w="2160" w:type="dxa"/>
            <w:vAlign w:val="bottom"/>
          </w:tcPr>
          <w:p>
            <w:pPr>
              <w:ind w:left="20"/>
              <w:spacing w:after="0"/>
              <w:rPr>
                <w:sz w:val="20"/>
                <w:szCs w:val="20"/>
                <w:color w:val="auto"/>
              </w:rPr>
            </w:pPr>
            <w:r>
              <w:rPr>
                <w:rFonts w:ascii="Arial" w:cs="Arial" w:eastAsia="Arial" w:hAnsi="Arial"/>
                <w:sz w:val="11"/>
                <w:szCs w:val="11"/>
                <w:color w:val="auto"/>
              </w:rPr>
              <w:t>Capacity Revenue</w:t>
            </w:r>
          </w:p>
        </w:tc>
        <w:tc>
          <w:tcPr>
            <w:tcW w:w="320" w:type="dxa"/>
            <w:vAlign w:val="bottom"/>
          </w:tcPr>
          <w:p>
            <w:pPr>
              <w:spacing w:after="0"/>
              <w:rPr>
                <w:sz w:val="14"/>
                <w:szCs w:val="14"/>
                <w:color w:val="auto"/>
              </w:rPr>
            </w:pPr>
          </w:p>
        </w:tc>
        <w:tc>
          <w:tcPr>
            <w:tcW w:w="1840" w:type="dxa"/>
            <w:vAlign w:val="bottom"/>
            <w:gridSpan w:val="3"/>
          </w:tcPr>
          <w:p>
            <w:pPr>
              <w:jc w:val="right"/>
              <w:ind w:right="20"/>
              <w:spacing w:after="0"/>
              <w:rPr>
                <w:sz w:val="20"/>
                <w:szCs w:val="20"/>
                <w:color w:val="auto"/>
              </w:rPr>
            </w:pPr>
            <w:r>
              <w:rPr>
                <w:rFonts w:ascii="Arial" w:cs="Arial" w:eastAsia="Arial" w:hAnsi="Arial"/>
                <w:sz w:val="12"/>
                <w:szCs w:val="12"/>
                <w:color w:val="auto"/>
              </w:rPr>
              <w:t>85</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85</w:t>
            </w:r>
          </w:p>
        </w:tc>
      </w:tr>
      <w:tr>
        <w:trPr>
          <w:trHeight w:val="178"/>
        </w:trPr>
        <w:tc>
          <w:tcPr>
            <w:tcW w:w="21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84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87</w:t>
            </w: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179</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1</w:t>
            </w:r>
          </w:p>
        </w:tc>
        <w:tc>
          <w:tcPr>
            <w:tcW w:w="1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267</w:t>
            </w:r>
          </w:p>
        </w:tc>
      </w:tr>
    </w:tbl>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6"/>
          </w:tcPr>
          <w:p>
            <w:pPr>
              <w:ind w:left="280"/>
              <w:spacing w:after="0"/>
              <w:rPr>
                <w:sz w:val="20"/>
                <w:szCs w:val="20"/>
                <w:color w:val="auto"/>
              </w:rPr>
            </w:pPr>
            <w:r>
              <w:rPr>
                <w:rFonts w:ascii="Arial" w:cs="Arial" w:eastAsia="Arial" w:hAnsi="Arial"/>
                <w:sz w:val="10"/>
                <w:szCs w:val="10"/>
                <w:b w:val="1"/>
                <w:bCs w:val="1"/>
                <w:color w:val="auto"/>
              </w:rPr>
              <w:t>Six months ended June 30, 2018</w:t>
            </w:r>
          </w:p>
        </w:tc>
        <w:tc>
          <w:tcPr>
            <w:tcW w:w="3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r>
      <w:tr>
        <w:trPr>
          <w:trHeight w:val="146"/>
        </w:trPr>
        <w:tc>
          <w:tcPr>
            <w:tcW w:w="20" w:type="dxa"/>
            <w:vAlign w:val="bottom"/>
          </w:tcPr>
          <w:p>
            <w:pPr>
              <w:spacing w:after="0"/>
              <w:rPr>
                <w:sz w:val="12"/>
                <w:szCs w:val="12"/>
                <w:color w:val="auto"/>
              </w:rPr>
            </w:pPr>
          </w:p>
        </w:tc>
        <w:tc>
          <w:tcPr>
            <w:tcW w:w="500" w:type="dxa"/>
            <w:vAlign w:val="bottom"/>
          </w:tcPr>
          <w:p>
            <w:pPr>
              <w:spacing w:after="0"/>
              <w:rPr>
                <w:sz w:val="20"/>
                <w:szCs w:val="20"/>
                <w:color w:val="auto"/>
              </w:rPr>
            </w:pPr>
            <w:r>
              <w:rPr>
                <w:rFonts w:ascii="Arial" w:cs="Arial" w:eastAsia="Arial" w:hAnsi="Arial"/>
                <w:sz w:val="10"/>
                <w:szCs w:val="10"/>
                <w:b w:val="1"/>
                <w:bCs w:val="1"/>
                <w:color w:val="auto"/>
                <w:w w:val="85"/>
              </w:rPr>
              <w:t>(In millions)</w:t>
            </w:r>
          </w:p>
        </w:tc>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w w:val="85"/>
              </w:rPr>
              <w:t>Conventional Generation</w:t>
            </w:r>
          </w:p>
        </w:tc>
        <w:tc>
          <w:tcPr>
            <w:tcW w:w="22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3"/>
          </w:tcPr>
          <w:p>
            <w:pPr>
              <w:spacing w:after="0"/>
              <w:rPr>
                <w:sz w:val="20"/>
                <w:szCs w:val="20"/>
                <w:color w:val="auto"/>
              </w:rPr>
            </w:pPr>
            <w:r>
              <w:rPr>
                <w:rFonts w:ascii="Arial" w:cs="Arial" w:eastAsia="Arial" w:hAnsi="Arial"/>
                <w:sz w:val="10"/>
                <w:szCs w:val="10"/>
                <w:b w:val="1"/>
                <w:bCs w:val="1"/>
                <w:color w:val="auto"/>
              </w:rPr>
              <w:t>Renewables</w:t>
            </w:r>
          </w:p>
        </w:tc>
        <w:tc>
          <w:tcPr>
            <w:tcW w:w="460" w:type="dxa"/>
            <w:vAlign w:val="bottom"/>
          </w:tcPr>
          <w:p>
            <w:pPr>
              <w:spacing w:after="0"/>
              <w:rPr>
                <w:sz w:val="12"/>
                <w:szCs w:val="12"/>
                <w:color w:val="auto"/>
              </w:rPr>
            </w:pPr>
          </w:p>
        </w:tc>
        <w:tc>
          <w:tcPr>
            <w:tcW w:w="460" w:type="dxa"/>
            <w:vAlign w:val="bottom"/>
            <w:gridSpan w:val="2"/>
          </w:tcPr>
          <w:p>
            <w:pPr>
              <w:spacing w:after="0"/>
              <w:rPr>
                <w:sz w:val="20"/>
                <w:szCs w:val="20"/>
                <w:color w:val="auto"/>
              </w:rPr>
            </w:pPr>
            <w:r>
              <w:rPr>
                <w:rFonts w:ascii="Arial" w:cs="Arial" w:eastAsia="Arial" w:hAnsi="Arial"/>
                <w:sz w:val="10"/>
                <w:szCs w:val="10"/>
                <w:b w:val="1"/>
                <w:bCs w:val="1"/>
                <w:color w:val="auto"/>
              </w:rPr>
              <w:t>Thermal</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3"/>
          </w:tcPr>
          <w:p>
            <w:pPr>
              <w:jc w:val="right"/>
              <w:ind w:right="520"/>
              <w:spacing w:after="0"/>
              <w:rPr>
                <w:sz w:val="20"/>
                <w:szCs w:val="20"/>
                <w:color w:val="auto"/>
              </w:rPr>
            </w:pPr>
            <w:r>
              <w:rPr>
                <w:rFonts w:ascii="Arial" w:cs="Arial" w:eastAsia="Arial" w:hAnsi="Arial"/>
                <w:sz w:val="10"/>
                <w:szCs w:val="10"/>
                <w:b w:val="1"/>
                <w:bCs w:val="1"/>
                <w:color w:val="auto"/>
              </w:rPr>
              <w:t>Total</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1"/>
                <w:szCs w:val="11"/>
                <w:color w:val="auto"/>
              </w:rPr>
              <w:t>Energy revenue</w:t>
            </w:r>
            <w:r>
              <w:rPr>
                <w:rFonts w:ascii="Arial" w:cs="Arial" w:eastAsia="Arial" w:hAnsi="Arial"/>
                <w:sz w:val="14"/>
                <w:szCs w:val="14"/>
                <w:color w:val="auto"/>
                <w:vertAlign w:val="superscript"/>
              </w:rPr>
              <w:t>(b)</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1040" w:type="dxa"/>
            <w:vAlign w:val="bottom"/>
            <w:gridSpan w:val="3"/>
          </w:tcPr>
          <w:p>
            <w:pPr>
              <w:jc w:val="right"/>
              <w:ind w:right="66"/>
              <w:spacing w:after="0"/>
              <w:rPr>
                <w:sz w:val="20"/>
                <w:szCs w:val="20"/>
                <w:color w:val="auto"/>
              </w:rPr>
            </w:pPr>
            <w:r>
              <w:rPr>
                <w:rFonts w:ascii="Arial" w:cs="Arial" w:eastAsia="Arial" w:hAnsi="Arial"/>
                <w:sz w:val="11"/>
                <w:szCs w:val="11"/>
                <w:color w:val="auto"/>
              </w:rPr>
              <w:t>306</w:t>
            </w:r>
          </w:p>
        </w:tc>
        <w:tc>
          <w:tcPr>
            <w:tcW w:w="120" w:type="dxa"/>
            <w:vAlign w:val="bottom"/>
          </w:tcPr>
          <w:p>
            <w:pPr>
              <w:spacing w:after="0"/>
              <w:rPr>
                <w:sz w:val="18"/>
                <w:szCs w:val="18"/>
                <w:color w:val="auto"/>
              </w:rPr>
            </w:pPr>
          </w:p>
        </w:tc>
        <w:tc>
          <w:tcPr>
            <w:tcW w:w="460" w:type="dxa"/>
            <w:vAlign w:val="bottom"/>
          </w:tcPr>
          <w:p>
            <w:pPr>
              <w:jc w:val="right"/>
              <w:ind w:right="351"/>
              <w:spacing w:after="0"/>
              <w:rPr>
                <w:sz w:val="20"/>
                <w:szCs w:val="20"/>
                <w:color w:val="auto"/>
              </w:rPr>
            </w:pPr>
            <w:r>
              <w:rPr>
                <w:rFonts w:ascii="Arial" w:cs="Arial" w:eastAsia="Arial" w:hAnsi="Arial"/>
                <w:sz w:val="10"/>
                <w:szCs w:val="10"/>
                <w:color w:val="auto"/>
                <w:w w:val="71"/>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89</w:t>
            </w:r>
          </w:p>
        </w:tc>
        <w:tc>
          <w:tcPr>
            <w:tcW w:w="120" w:type="dxa"/>
            <w:vAlign w:val="bottom"/>
          </w:tcPr>
          <w:p>
            <w:pPr>
              <w:spacing w:after="0"/>
              <w:rPr>
                <w:sz w:val="18"/>
                <w:szCs w:val="18"/>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960" w:type="dxa"/>
            <w:vAlign w:val="bottom"/>
            <w:gridSpan w:val="3"/>
          </w:tcPr>
          <w:p>
            <w:pPr>
              <w:jc w:val="right"/>
              <w:ind w:right="120"/>
              <w:spacing w:after="0"/>
              <w:rPr>
                <w:sz w:val="20"/>
                <w:szCs w:val="20"/>
                <w:color w:val="auto"/>
              </w:rPr>
            </w:pPr>
            <w:r>
              <w:rPr>
                <w:rFonts w:ascii="Arial" w:cs="Arial" w:eastAsia="Arial" w:hAnsi="Arial"/>
                <w:sz w:val="11"/>
                <w:szCs w:val="11"/>
                <w:color w:val="auto"/>
              </w:rPr>
              <w:t>398</w:t>
            </w:r>
          </w:p>
        </w:tc>
      </w:tr>
      <w:tr>
        <w:trPr>
          <w:trHeight w:val="207"/>
        </w:trPr>
        <w:tc>
          <w:tcPr>
            <w:tcW w:w="20" w:type="dxa"/>
            <w:vAlign w:val="bottom"/>
            <w:shd w:val="clear" w:color="auto" w:fill="CCEEFF"/>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Capacity revenue</w:t>
            </w:r>
            <w:r>
              <w:rPr>
                <w:rFonts w:ascii="Arial" w:cs="Arial" w:eastAsia="Arial" w:hAnsi="Arial"/>
                <w:sz w:val="14"/>
                <w:szCs w:val="14"/>
                <w:color w:val="auto"/>
                <w:vertAlign w:val="superscript"/>
              </w:rPr>
              <w:t>(b)</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169</w:t>
            </w:r>
          </w:p>
        </w:tc>
      </w:tr>
      <w:tr>
        <w:trPr>
          <w:trHeight w:val="185"/>
        </w:trPr>
        <w:tc>
          <w:tcPr>
            <w:tcW w:w="20" w:type="dxa"/>
            <w:vAlign w:val="bottom"/>
          </w:tcPr>
          <w:p>
            <w:pPr>
              <w:spacing w:after="0"/>
              <w:rPr>
                <w:sz w:val="16"/>
                <w:szCs w:val="16"/>
                <w:color w:val="auto"/>
              </w:rPr>
            </w:pPr>
          </w:p>
        </w:tc>
        <w:tc>
          <w:tcPr>
            <w:tcW w:w="6060" w:type="dxa"/>
            <w:vAlign w:val="bottom"/>
            <w:gridSpan w:val="2"/>
          </w:tcPr>
          <w:p>
            <w:pPr>
              <w:spacing w:after="0"/>
              <w:rPr>
                <w:sz w:val="20"/>
                <w:szCs w:val="20"/>
                <w:color w:val="auto"/>
              </w:rPr>
            </w:pPr>
            <w:r>
              <w:rPr>
                <w:rFonts w:ascii="Arial" w:cs="Arial" w:eastAsia="Arial" w:hAnsi="Arial"/>
                <w:sz w:val="11"/>
                <w:szCs w:val="11"/>
                <w:color w:val="auto"/>
              </w:rPr>
              <w:t>Contract amortization</w:t>
            </w:r>
          </w:p>
        </w:tc>
        <w:tc>
          <w:tcPr>
            <w:tcW w:w="12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3"/>
          </w:tcPr>
          <w:p>
            <w:pPr>
              <w:jc w:val="right"/>
              <w:ind w:right="26"/>
              <w:spacing w:after="0"/>
              <w:rPr>
                <w:sz w:val="20"/>
                <w:szCs w:val="20"/>
                <w:color w:val="auto"/>
              </w:rPr>
            </w:pPr>
            <w:r>
              <w:rPr>
                <w:rFonts w:ascii="Arial" w:cs="Arial" w:eastAsia="Arial" w:hAnsi="Arial"/>
                <w:sz w:val="11"/>
                <w:szCs w:val="11"/>
                <w:color w:val="auto"/>
              </w:rPr>
              <w:t>(31)</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1"/>
                <w:szCs w:val="11"/>
                <w:color w:val="auto"/>
              </w:rPr>
              <w:t>(35)</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5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6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Total operating revenue</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164</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3"/>
            <w:shd w:val="clear" w:color="auto" w:fill="CCEEFF"/>
          </w:tcPr>
          <w:p>
            <w:pPr>
              <w:jc w:val="right"/>
              <w:ind w:right="66"/>
              <w:spacing w:after="0"/>
              <w:rPr>
                <w:sz w:val="20"/>
                <w:szCs w:val="20"/>
                <w:color w:val="auto"/>
              </w:rPr>
            </w:pPr>
            <w:r>
              <w:rPr>
                <w:rFonts w:ascii="Arial" w:cs="Arial" w:eastAsia="Arial" w:hAnsi="Arial"/>
                <w:sz w:val="11"/>
                <w:szCs w:val="11"/>
                <w:color w:val="auto"/>
              </w:rPr>
              <w:t>275</w:t>
            </w:r>
          </w:p>
        </w:tc>
        <w:tc>
          <w:tcPr>
            <w:tcW w:w="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93</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532</w:t>
            </w:r>
          </w:p>
        </w:tc>
      </w:tr>
      <w:tr>
        <w:trPr>
          <w:trHeight w:val="185"/>
        </w:trPr>
        <w:tc>
          <w:tcPr>
            <w:tcW w:w="20" w:type="dxa"/>
            <w:vAlign w:val="bottom"/>
          </w:tcPr>
          <w:p>
            <w:pPr>
              <w:spacing w:after="0"/>
              <w:rPr>
                <w:sz w:val="16"/>
                <w:szCs w:val="16"/>
                <w:color w:val="auto"/>
              </w:rPr>
            </w:pPr>
          </w:p>
        </w:tc>
        <w:tc>
          <w:tcPr>
            <w:tcW w:w="6060" w:type="dxa"/>
            <w:vAlign w:val="bottom"/>
            <w:gridSpan w:val="2"/>
          </w:tcPr>
          <w:p>
            <w:pPr>
              <w:spacing w:after="0"/>
              <w:rPr>
                <w:sz w:val="20"/>
                <w:szCs w:val="20"/>
                <w:color w:val="auto"/>
              </w:rPr>
            </w:pPr>
            <w:r>
              <w:rPr>
                <w:rFonts w:ascii="Arial" w:cs="Arial" w:eastAsia="Arial" w:hAnsi="Arial"/>
                <w:sz w:val="11"/>
                <w:szCs w:val="11"/>
                <w:color w:val="auto"/>
              </w:rPr>
              <w:t>Less: Lease revenue</w:t>
            </w:r>
          </w:p>
        </w:tc>
        <w:tc>
          <w:tcPr>
            <w:tcW w:w="12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1"/>
                <w:szCs w:val="11"/>
                <w:color w:val="auto"/>
              </w:rPr>
              <w:t>(167)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3"/>
          </w:tcPr>
          <w:p>
            <w:pPr>
              <w:jc w:val="right"/>
              <w:ind w:right="26"/>
              <w:spacing w:after="0"/>
              <w:rPr>
                <w:sz w:val="20"/>
                <w:szCs w:val="20"/>
                <w:color w:val="auto"/>
              </w:rPr>
            </w:pPr>
            <w:r>
              <w:rPr>
                <w:rFonts w:ascii="Arial" w:cs="Arial" w:eastAsia="Arial" w:hAnsi="Arial"/>
                <w:sz w:val="11"/>
                <w:szCs w:val="11"/>
                <w:color w:val="auto"/>
              </w:rPr>
              <w:t>(280)</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1"/>
                <w:szCs w:val="11"/>
                <w:color w:val="auto"/>
              </w:rPr>
              <w:t>(448)</w:t>
            </w:r>
          </w:p>
        </w:tc>
      </w:tr>
      <w:tr>
        <w:trPr>
          <w:trHeight w:val="22"/>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7"/>
        </w:trPr>
        <w:tc>
          <w:tcPr>
            <w:tcW w:w="20" w:type="dxa"/>
            <w:vAlign w:val="bottom"/>
            <w:tcBorders>
              <w:bottom w:val="single" w:sz="8" w:color="CCEEFF"/>
            </w:tcBorders>
            <w:shd w:val="clear" w:color="auto" w:fill="CCEEFF"/>
          </w:tcPr>
          <w:p>
            <w:pPr>
              <w:spacing w:after="0"/>
              <w:rPr>
                <w:sz w:val="18"/>
                <w:szCs w:val="18"/>
                <w:color w:val="auto"/>
              </w:rPr>
            </w:pPr>
          </w:p>
        </w:tc>
        <w:tc>
          <w:tcPr>
            <w:tcW w:w="6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Less: Contract amortization</w:t>
            </w: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3"/>
            <w:shd w:val="clear" w:color="auto" w:fill="CCEEFF"/>
          </w:tcPr>
          <w:p>
            <w:pPr>
              <w:jc w:val="right"/>
              <w:ind w:right="66"/>
              <w:spacing w:after="0"/>
              <w:rPr>
                <w:sz w:val="20"/>
                <w:szCs w:val="20"/>
                <w:color w:val="auto"/>
              </w:rPr>
            </w:pPr>
            <w:r>
              <w:rPr>
                <w:rFonts w:ascii="Arial" w:cs="Arial" w:eastAsia="Arial" w:hAnsi="Arial"/>
                <w:sz w:val="11"/>
                <w:szCs w:val="11"/>
                <w:color w:val="auto"/>
              </w:rPr>
              <w:t>31</w:t>
            </w: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35</w:t>
            </w:r>
          </w:p>
        </w:tc>
      </w:tr>
      <w:tr>
        <w:trPr>
          <w:trHeight w:val="167"/>
        </w:trPr>
        <w:tc>
          <w:tcPr>
            <w:tcW w:w="20" w:type="dxa"/>
            <w:vAlign w:val="bottom"/>
          </w:tcPr>
          <w:p>
            <w:pPr>
              <w:spacing w:after="0"/>
              <w:rPr>
                <w:sz w:val="14"/>
                <w:szCs w:val="14"/>
                <w:color w:val="auto"/>
              </w:rPr>
            </w:pPr>
          </w:p>
        </w:tc>
        <w:tc>
          <w:tcPr>
            <w:tcW w:w="6060" w:type="dxa"/>
            <w:vAlign w:val="bottom"/>
            <w:gridSpan w:val="2"/>
          </w:tcPr>
          <w:p>
            <w:pPr>
              <w:ind w:left="160"/>
              <w:spacing w:after="0"/>
              <w:rPr>
                <w:sz w:val="20"/>
                <w:szCs w:val="20"/>
                <w:color w:val="auto"/>
              </w:rPr>
            </w:pPr>
            <w:r>
              <w:rPr>
                <w:rFonts w:ascii="Arial" w:cs="Arial" w:eastAsia="Arial" w:hAnsi="Arial"/>
                <w:sz w:val="11"/>
                <w:szCs w:val="11"/>
                <w:color w:val="auto"/>
              </w:rPr>
              <w:t>Total revenue from contracts with customers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color w:val="auto"/>
                <w:w w:val="97"/>
              </w:rPr>
              <w:t>$</w:t>
            </w:r>
          </w:p>
        </w:tc>
        <w:tc>
          <w:tcPr>
            <w:tcW w:w="1040" w:type="dxa"/>
            <w:vAlign w:val="bottom"/>
            <w:tcBorders>
              <w:top w:val="single" w:sz="8" w:color="auto"/>
              <w:bottom w:val="single" w:sz="8" w:color="auto"/>
            </w:tcBorders>
            <w:gridSpan w:val="3"/>
          </w:tcPr>
          <w:p>
            <w:pPr>
              <w:jc w:val="right"/>
              <w:ind w:right="66"/>
              <w:spacing w:after="0"/>
              <w:rPr>
                <w:sz w:val="20"/>
                <w:szCs w:val="20"/>
                <w:color w:val="auto"/>
              </w:rPr>
            </w:pPr>
            <w:r>
              <w:rPr>
                <w:rFonts w:ascii="Arial" w:cs="Arial" w:eastAsia="Arial" w:hAnsi="Arial"/>
                <w:sz w:val="11"/>
                <w:szCs w:val="11"/>
                <w:color w:val="auto"/>
              </w:rPr>
              <w:t>26</w:t>
            </w:r>
          </w:p>
        </w:tc>
        <w:tc>
          <w:tcPr>
            <w:tcW w:w="12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93</w:t>
            </w:r>
          </w:p>
        </w:tc>
        <w:tc>
          <w:tcPr>
            <w:tcW w:w="12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gridSpan w:val="3"/>
          </w:tcPr>
          <w:p>
            <w:pPr>
              <w:jc w:val="right"/>
              <w:ind w:right="120"/>
              <w:spacing w:after="0"/>
              <w:rPr>
                <w:sz w:val="20"/>
                <w:szCs w:val="20"/>
                <w:color w:val="auto"/>
              </w:rPr>
            </w:pPr>
            <w:r>
              <w:rPr>
                <w:rFonts w:ascii="Arial" w:cs="Arial" w:eastAsia="Arial" w:hAnsi="Arial"/>
                <w:sz w:val="11"/>
                <w:szCs w:val="11"/>
                <w:color w:val="auto"/>
              </w:rPr>
              <w:t>119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108585</wp:posOffset>
            </wp:positionV>
            <wp:extent cx="140716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07160" cy="5715"/>
                    </a:xfrm>
                    <a:prstGeom prst="rect">
                      <a:avLst/>
                    </a:prstGeom>
                    <a:noFill/>
                  </pic:spPr>
                </pic:pic>
              </a:graphicData>
            </a:graphic>
          </wp:anchor>
        </w:drawing>
      </w:r>
    </w:p>
    <w:p>
      <w:pPr>
        <w:spacing w:after="0" w:line="164" w:lineRule="exact"/>
        <w:rPr>
          <w:sz w:val="20"/>
          <w:szCs w:val="20"/>
          <w:color w:val="auto"/>
        </w:rPr>
      </w:pPr>
    </w:p>
    <w:p>
      <w:pPr>
        <w:ind w:left="280" w:hanging="126"/>
        <w:spacing w:after="0"/>
        <w:tabs>
          <w:tab w:leader="none" w:pos="280" w:val="left"/>
        </w:tabs>
        <w:numPr>
          <w:ilvl w:val="0"/>
          <w:numId w:val="9"/>
        </w:numPr>
        <w:rPr>
          <w:rFonts w:ascii="Arial" w:cs="Arial" w:eastAsia="Arial" w:hAnsi="Arial"/>
          <w:sz w:val="15"/>
          <w:szCs w:val="15"/>
          <w:color w:val="auto"/>
          <w:vertAlign w:val="superscript"/>
        </w:rPr>
      </w:pPr>
      <w:r>
        <w:rPr>
          <w:rFonts w:ascii="Arial" w:cs="Arial" w:eastAsia="Arial" w:hAnsi="Arial"/>
          <w:sz w:val="10"/>
          <w:szCs w:val="10"/>
          <w:color w:val="auto"/>
        </w:rPr>
        <w:t>The following amounts of energy and capacity revenue relate to leases and are accounted for under ASC 840:</w:t>
      </w:r>
    </w:p>
    <w:p>
      <w:pPr>
        <w:spacing w:after="0" w:line="132" w:lineRule="exact"/>
        <w:rPr>
          <w:sz w:val="20"/>
          <w:szCs w:val="20"/>
          <w:color w:val="auto"/>
        </w:rPr>
      </w:pPr>
    </w:p>
    <w:tbl>
      <w:tblPr>
        <w:tblLayout w:type="fixed"/>
        <w:tblInd w:w="1240" w:type="dxa"/>
        <w:tblCellMar>
          <w:top w:w="0" w:type="dxa"/>
          <w:left w:w="0" w:type="dxa"/>
          <w:bottom w:w="0" w:type="dxa"/>
          <w:right w:w="0" w:type="dxa"/>
        </w:tblCellMar>
      </w:tblPr>
      <w:tr>
        <w:trPr>
          <w:trHeight w:val="122"/>
        </w:trPr>
        <w:tc>
          <w:tcPr>
            <w:tcW w:w="2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00" w:type="dxa"/>
            <w:vAlign w:val="bottom"/>
            <w:gridSpan w:val="3"/>
          </w:tcPr>
          <w:p>
            <w:pPr>
              <w:spacing w:after="0"/>
              <w:rPr>
                <w:sz w:val="20"/>
                <w:szCs w:val="20"/>
                <w:color w:val="auto"/>
              </w:rPr>
            </w:pPr>
            <w:r>
              <w:rPr>
                <w:rFonts w:ascii="Arial" w:cs="Arial" w:eastAsia="Arial" w:hAnsi="Arial"/>
                <w:sz w:val="10"/>
                <w:szCs w:val="10"/>
                <w:b w:val="1"/>
                <w:bCs w:val="1"/>
                <w:color w:val="auto"/>
              </w:rPr>
              <w:t>Conventional Generation</w:t>
            </w:r>
          </w:p>
        </w:tc>
        <w:tc>
          <w:tcPr>
            <w:tcW w:w="600" w:type="dxa"/>
            <w:vAlign w:val="bottom"/>
          </w:tcPr>
          <w:p>
            <w:pPr>
              <w:spacing w:after="0"/>
              <w:rPr>
                <w:sz w:val="10"/>
                <w:szCs w:val="10"/>
                <w:color w:val="auto"/>
              </w:rPr>
            </w:pPr>
          </w:p>
        </w:tc>
        <w:tc>
          <w:tcPr>
            <w:tcW w:w="1200" w:type="dxa"/>
            <w:vAlign w:val="bottom"/>
            <w:gridSpan w:val="3"/>
          </w:tcPr>
          <w:p>
            <w:pPr>
              <w:spacing w:after="0"/>
              <w:rPr>
                <w:sz w:val="20"/>
                <w:szCs w:val="20"/>
                <w:color w:val="auto"/>
              </w:rPr>
            </w:pPr>
            <w:r>
              <w:rPr>
                <w:rFonts w:ascii="Arial" w:cs="Arial" w:eastAsia="Arial" w:hAnsi="Arial"/>
                <w:sz w:val="10"/>
                <w:szCs w:val="10"/>
                <w:b w:val="1"/>
                <w:bCs w:val="1"/>
                <w:color w:val="auto"/>
              </w:rPr>
              <w:t>Renewables</w:t>
            </w:r>
          </w:p>
        </w:tc>
        <w:tc>
          <w:tcPr>
            <w:tcW w:w="300" w:type="dxa"/>
            <w:vAlign w:val="bottom"/>
          </w:tcPr>
          <w:p>
            <w:pPr>
              <w:spacing w:after="0"/>
              <w:rPr>
                <w:sz w:val="10"/>
                <w:szCs w:val="10"/>
                <w:color w:val="auto"/>
              </w:rPr>
            </w:pPr>
          </w:p>
        </w:tc>
        <w:tc>
          <w:tcPr>
            <w:tcW w:w="1240" w:type="dxa"/>
            <w:vAlign w:val="bottom"/>
            <w:gridSpan w:val="4"/>
          </w:tcPr>
          <w:p>
            <w:pPr>
              <w:ind w:left="240"/>
              <w:spacing w:after="0"/>
              <w:rPr>
                <w:sz w:val="20"/>
                <w:szCs w:val="20"/>
                <w:color w:val="auto"/>
              </w:rPr>
            </w:pPr>
            <w:r>
              <w:rPr>
                <w:rFonts w:ascii="Arial" w:cs="Arial" w:eastAsia="Arial" w:hAnsi="Arial"/>
                <w:sz w:val="10"/>
                <w:szCs w:val="10"/>
                <w:b w:val="1"/>
                <w:bCs w:val="1"/>
                <w:color w:val="auto"/>
              </w:rPr>
              <w:t>Thermal</w:t>
            </w:r>
          </w:p>
        </w:tc>
        <w:tc>
          <w:tcPr>
            <w:tcW w:w="500" w:type="dxa"/>
            <w:vAlign w:val="bottom"/>
          </w:tcPr>
          <w:p>
            <w:pPr>
              <w:spacing w:after="0"/>
              <w:rPr>
                <w:sz w:val="10"/>
                <w:szCs w:val="10"/>
                <w:color w:val="auto"/>
              </w:rPr>
            </w:pPr>
          </w:p>
        </w:tc>
        <w:tc>
          <w:tcPr>
            <w:tcW w:w="740" w:type="dxa"/>
            <w:vAlign w:val="bottom"/>
            <w:gridSpan w:val="2"/>
          </w:tcPr>
          <w:p>
            <w:pPr>
              <w:jc w:val="right"/>
              <w:ind w:right="460"/>
              <w:spacing w:after="0"/>
              <w:rPr>
                <w:sz w:val="20"/>
                <w:szCs w:val="20"/>
                <w:color w:val="auto"/>
              </w:rPr>
            </w:pPr>
            <w:r>
              <w:rPr>
                <w:rFonts w:ascii="Arial" w:cs="Arial" w:eastAsia="Arial" w:hAnsi="Arial"/>
                <w:sz w:val="10"/>
                <w:szCs w:val="10"/>
                <w:b w:val="1"/>
                <w:bCs w:val="1"/>
                <w:color w:val="auto"/>
                <w:w w:val="83"/>
              </w:rPr>
              <w:t>Total</w:t>
            </w:r>
          </w:p>
        </w:tc>
      </w:tr>
      <w:tr>
        <w:trPr>
          <w:trHeight w:val="180"/>
        </w:trPr>
        <w:tc>
          <w:tcPr>
            <w:tcW w:w="2160" w:type="dxa"/>
            <w:vAlign w:val="bottom"/>
            <w:shd w:val="clear" w:color="auto" w:fill="CCEEFF"/>
          </w:tcPr>
          <w:p>
            <w:pPr>
              <w:ind w:left="20"/>
              <w:spacing w:after="0"/>
              <w:rPr>
                <w:sz w:val="20"/>
                <w:szCs w:val="20"/>
                <w:color w:val="auto"/>
              </w:rPr>
            </w:pPr>
            <w:r>
              <w:rPr>
                <w:rFonts w:ascii="Arial" w:cs="Arial" w:eastAsia="Arial" w:hAnsi="Arial"/>
                <w:sz w:val="11"/>
                <w:szCs w:val="11"/>
                <w:color w:val="auto"/>
              </w:rPr>
              <w:t>Energy Revenue</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240" w:type="dxa"/>
            <w:vAlign w:val="bottom"/>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5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60"/>
              <w:spacing w:after="0"/>
              <w:rPr>
                <w:sz w:val="20"/>
                <w:szCs w:val="20"/>
                <w:color w:val="auto"/>
              </w:rPr>
            </w:pPr>
            <w:r>
              <w:rPr>
                <w:rFonts w:ascii="Arial" w:cs="Arial" w:eastAsia="Arial" w:hAnsi="Arial"/>
                <w:sz w:val="12"/>
                <w:szCs w:val="12"/>
                <w:color w:val="auto"/>
                <w:w w:val="89"/>
              </w:rPr>
              <w:t>$</w:t>
            </w:r>
          </w:p>
        </w:tc>
        <w:tc>
          <w:tcPr>
            <w:tcW w:w="500" w:type="dxa"/>
            <w:vAlign w:val="bottom"/>
            <w:tcBorders>
              <w:top w:val="single" w:sz="8" w:color="auto"/>
            </w:tcBorders>
            <w:shd w:val="clear" w:color="auto" w:fill="CCEEFF"/>
          </w:tcPr>
          <w:p>
            <w:pPr>
              <w:spacing w:after="0"/>
              <w:rPr>
                <w:sz w:val="15"/>
                <w:szCs w:val="15"/>
                <w:color w:val="auto"/>
              </w:rPr>
            </w:pPr>
          </w:p>
        </w:tc>
        <w:tc>
          <w:tcPr>
            <w:tcW w:w="6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280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240" w:type="dxa"/>
            <w:vAlign w:val="bottom"/>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5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90"/>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tcBorders>
            <w:shd w:val="clear" w:color="auto" w:fill="CCEEFF"/>
          </w:tcPr>
          <w:p>
            <w:pPr>
              <w:spacing w:after="0"/>
              <w:rPr>
                <w:sz w:val="15"/>
                <w:szCs w:val="15"/>
                <w:color w:val="auto"/>
              </w:rPr>
            </w:pPr>
          </w:p>
        </w:tc>
        <w:tc>
          <w:tcPr>
            <w:tcW w:w="5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284</w:t>
            </w:r>
          </w:p>
        </w:tc>
      </w:tr>
      <w:tr>
        <w:trPr>
          <w:trHeight w:val="171"/>
        </w:trPr>
        <w:tc>
          <w:tcPr>
            <w:tcW w:w="2160" w:type="dxa"/>
            <w:vAlign w:val="bottom"/>
          </w:tcPr>
          <w:p>
            <w:pPr>
              <w:ind w:left="20"/>
              <w:spacing w:after="0"/>
              <w:rPr>
                <w:sz w:val="20"/>
                <w:szCs w:val="20"/>
                <w:color w:val="auto"/>
              </w:rPr>
            </w:pPr>
            <w:r>
              <w:rPr>
                <w:rFonts w:ascii="Arial" w:cs="Arial" w:eastAsia="Arial" w:hAnsi="Arial"/>
                <w:sz w:val="11"/>
                <w:szCs w:val="11"/>
                <w:color w:val="auto"/>
              </w:rPr>
              <w:t>Capacity Revenue</w:t>
            </w:r>
          </w:p>
        </w:tc>
        <w:tc>
          <w:tcPr>
            <w:tcW w:w="320" w:type="dxa"/>
            <w:vAlign w:val="bottom"/>
          </w:tcPr>
          <w:p>
            <w:pPr>
              <w:spacing w:after="0"/>
              <w:rPr>
                <w:sz w:val="14"/>
                <w:szCs w:val="14"/>
                <w:color w:val="auto"/>
              </w:rPr>
            </w:pPr>
          </w:p>
        </w:tc>
        <w:tc>
          <w:tcPr>
            <w:tcW w:w="1840" w:type="dxa"/>
            <w:vAlign w:val="bottom"/>
            <w:gridSpan w:val="3"/>
          </w:tcPr>
          <w:p>
            <w:pPr>
              <w:jc w:val="right"/>
              <w:ind w:right="20"/>
              <w:spacing w:after="0"/>
              <w:rPr>
                <w:sz w:val="20"/>
                <w:szCs w:val="20"/>
                <w:color w:val="auto"/>
              </w:rPr>
            </w:pPr>
            <w:r>
              <w:rPr>
                <w:rFonts w:ascii="Arial" w:cs="Arial" w:eastAsia="Arial" w:hAnsi="Arial"/>
                <w:sz w:val="12"/>
                <w:szCs w:val="12"/>
                <w:color w:val="auto"/>
              </w:rPr>
              <w:t>164</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164</w:t>
            </w:r>
          </w:p>
        </w:tc>
      </w:tr>
      <w:tr>
        <w:trPr>
          <w:trHeight w:val="178"/>
        </w:trPr>
        <w:tc>
          <w:tcPr>
            <w:tcW w:w="21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84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167</w:t>
            </w: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280</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1</w:t>
            </w:r>
          </w:p>
        </w:tc>
        <w:tc>
          <w:tcPr>
            <w:tcW w:w="1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448</w:t>
            </w:r>
          </w:p>
        </w:tc>
      </w:tr>
    </w:tbl>
    <w:p>
      <w:pPr>
        <w:spacing w:after="0" w:line="225"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Contract Amortization</w:t>
      </w:r>
    </w:p>
    <w:p>
      <w:pPr>
        <w:spacing w:after="0" w:line="96" w:lineRule="exact"/>
        <w:rPr>
          <w:sz w:val="20"/>
          <w:szCs w:val="20"/>
          <w:color w:val="auto"/>
        </w:rPr>
      </w:pPr>
    </w:p>
    <w:p>
      <w:pPr>
        <w:ind w:firstLine="324"/>
        <w:spacing w:after="0" w:line="276" w:lineRule="auto"/>
        <w:rPr>
          <w:sz w:val="20"/>
          <w:szCs w:val="20"/>
          <w:color w:val="auto"/>
        </w:rPr>
      </w:pPr>
      <w:r>
        <w:rPr>
          <w:rFonts w:ascii="Arial" w:cs="Arial" w:eastAsia="Arial" w:hAnsi="Arial"/>
          <w:sz w:val="12"/>
          <w:szCs w:val="12"/>
          <w:color w:val="auto"/>
        </w:rPr>
        <w:t>Assets and liabilities recognized from power sales agreements assumed through acquisitions related to the sale of electric capacity and energy in future periods for which the fair value has been determined to be significantly less (more) than market are amortized to revenue over the term of each underlying contract based on actual generation and/or contracted volumes or on a straight-line basis, where applicable.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480"/>
          </w:cols>
          <w:pgMar w:left="220" w:top="545" w:right="199" w:bottom="1440" w:gutter="0" w:footer="0" w:header="0"/>
        </w:sectPr>
      </w:pPr>
    </w:p>
    <w:bookmarkStart w:id="17" w:name="page18"/>
    <w:bookmarkEnd w:id="17"/>
    <w:p>
      <w:pPr>
        <w:ind w:left="320"/>
        <w:spacing w:after="0"/>
        <w:rPr>
          <w:sz w:val="20"/>
          <w:szCs w:val="20"/>
          <w:color w:val="auto"/>
        </w:rPr>
      </w:pPr>
      <w:r>
        <w:rPr>
          <w:rFonts w:ascii="Arial" w:cs="Arial" w:eastAsia="Arial" w:hAnsi="Arial"/>
          <w:sz w:val="12"/>
          <w:szCs w:val="12"/>
          <w:i w:val="1"/>
          <w:iCs w:val="1"/>
          <w:color w:val="auto"/>
        </w:rPr>
        <w:t>Contract Balances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table reflects the contract assets and liabilities included on the Company’s balance sheet as of June 30, 2018:</w:t>
      </w:r>
    </w:p>
    <w:p>
      <w:pPr>
        <w:spacing w:after="0" w:line="224" w:lineRule="exact"/>
        <w:rPr>
          <w:sz w:val="20"/>
          <w:szCs w:val="20"/>
          <w:color w:val="auto"/>
        </w:rPr>
      </w:pPr>
    </w:p>
    <w:tbl>
      <w:tblPr>
        <w:tblLayout w:type="fixed"/>
        <w:tblInd w:w="1160" w:type="dxa"/>
        <w:tblCellMar>
          <w:top w:w="0" w:type="dxa"/>
          <w:left w:w="0" w:type="dxa"/>
          <w:bottom w:w="0" w:type="dxa"/>
          <w:right w:w="0" w:type="dxa"/>
        </w:tblCellMar>
      </w:tblPr>
      <w:tr>
        <w:trPr>
          <w:trHeight w:val="115"/>
        </w:trPr>
        <w:tc>
          <w:tcPr>
            <w:tcW w:w="7520" w:type="dxa"/>
            <w:vAlign w:val="bottom"/>
            <w:gridSpan w:val="2"/>
          </w:tcPr>
          <w:p>
            <w:pPr>
              <w:spacing w:after="0"/>
              <w:rPr>
                <w:sz w:val="20"/>
                <w:szCs w:val="20"/>
                <w:color w:val="auto"/>
              </w:rPr>
            </w:pPr>
            <w:r>
              <w:rPr>
                <w:rFonts w:ascii="Arial" w:cs="Arial" w:eastAsia="Arial" w:hAnsi="Arial"/>
                <w:sz w:val="10"/>
                <w:szCs w:val="10"/>
                <w:b w:val="1"/>
                <w:bCs w:val="1"/>
                <w:color w:val="auto"/>
              </w:rPr>
              <w:t>(In millions)</w:t>
            </w:r>
          </w:p>
        </w:tc>
        <w:tc>
          <w:tcPr>
            <w:tcW w:w="300" w:type="dxa"/>
            <w:vAlign w:val="bottom"/>
          </w:tcPr>
          <w:p>
            <w:pPr>
              <w:spacing w:after="0"/>
              <w:rPr>
                <w:sz w:val="10"/>
                <w:szCs w:val="10"/>
                <w:color w:val="auto"/>
              </w:rPr>
            </w:pPr>
          </w:p>
        </w:tc>
        <w:tc>
          <w:tcPr>
            <w:tcW w:w="1340" w:type="dxa"/>
            <w:vAlign w:val="bottom"/>
            <w:gridSpan w:val="3"/>
          </w:tcPr>
          <w:p>
            <w:pPr>
              <w:jc w:val="right"/>
              <w:ind w:right="540"/>
              <w:spacing w:after="0"/>
              <w:rPr>
                <w:sz w:val="20"/>
                <w:szCs w:val="20"/>
                <w:color w:val="auto"/>
              </w:rPr>
            </w:pPr>
            <w:r>
              <w:rPr>
                <w:rFonts w:ascii="Arial" w:cs="Arial" w:eastAsia="Arial" w:hAnsi="Arial"/>
                <w:sz w:val="10"/>
                <w:szCs w:val="10"/>
                <w:b w:val="1"/>
                <w:bCs w:val="1"/>
                <w:color w:val="auto"/>
              </w:rPr>
              <w:t>June 30, 2018</w:t>
            </w:r>
          </w:p>
        </w:tc>
      </w:tr>
      <w:tr>
        <w:trPr>
          <w:trHeight w:val="196"/>
        </w:trPr>
        <w:tc>
          <w:tcPr>
            <w:tcW w:w="520" w:type="dxa"/>
            <w:vAlign w:val="bottom"/>
            <w:tcBorders>
              <w:top w:val="single" w:sz="8" w:color="auto"/>
            </w:tcBorders>
          </w:tcPr>
          <w:p>
            <w:pPr>
              <w:spacing w:after="0"/>
              <w:rPr>
                <w:sz w:val="17"/>
                <w:szCs w:val="17"/>
                <w:color w:val="auto"/>
              </w:rPr>
            </w:pPr>
          </w:p>
        </w:tc>
        <w:tc>
          <w:tcPr>
            <w:tcW w:w="7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r>
      <w:tr>
        <w:trPr>
          <w:trHeight w:val="180"/>
        </w:trPr>
        <w:tc>
          <w:tcPr>
            <w:tcW w:w="75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Accounts receivable, net - Contracts with customers</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29</w:t>
            </w:r>
          </w:p>
        </w:tc>
      </w:tr>
      <w:tr>
        <w:trPr>
          <w:trHeight w:val="171"/>
        </w:trPr>
        <w:tc>
          <w:tcPr>
            <w:tcW w:w="752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Accounts receivable, net - Leases</w:t>
            </w:r>
          </w:p>
        </w:tc>
        <w:tc>
          <w:tcPr>
            <w:tcW w:w="3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2"/>
                <w:szCs w:val="12"/>
                <w:color w:val="auto"/>
              </w:rPr>
              <w:t>103</w:t>
            </w:r>
          </w:p>
        </w:tc>
      </w:tr>
      <w:tr>
        <w:trPr>
          <w:trHeight w:val="185"/>
        </w:trPr>
        <w:tc>
          <w:tcPr>
            <w:tcW w:w="7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Total accounts receivable, net</w:t>
            </w: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132</w:t>
            </w:r>
          </w:p>
        </w:tc>
      </w:tr>
    </w:tbl>
    <w:p>
      <w:pPr>
        <w:spacing w:after="0" w:line="26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Income Taxes</w:t>
      </w:r>
    </w:p>
    <w:p>
      <w:pPr>
        <w:spacing w:after="0" w:line="114" w:lineRule="exact"/>
        <w:rPr>
          <w:sz w:val="20"/>
          <w:szCs w:val="20"/>
          <w:color w:val="auto"/>
        </w:rPr>
      </w:pPr>
    </w:p>
    <w:p>
      <w:pPr>
        <w:jc w:val="both"/>
        <w:ind w:firstLine="288"/>
        <w:spacing w:after="0" w:line="276" w:lineRule="auto"/>
        <w:rPr>
          <w:sz w:val="20"/>
          <w:szCs w:val="20"/>
          <w:color w:val="auto"/>
        </w:rPr>
      </w:pPr>
      <w:r>
        <w:rPr>
          <w:rFonts w:ascii="Arial" w:cs="Arial" w:eastAsia="Arial" w:hAnsi="Arial"/>
          <w:sz w:val="12"/>
          <w:szCs w:val="12"/>
          <w:color w:val="auto"/>
        </w:rPr>
        <w:t>NRG Yield, Inc. is included in certain NRG consolidated unitary state tax return filings which is reflected in NRG Yield, Inc.'s state effective tax rate. If NRG Yield, Inc. filed under a separate standalone methodology, there would be an additional state tax expense of approximately $2 million as of June 30, 2018 due to a change in the NRG Yield, Inc. state effective tax rate.</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Reclassifications</w:t>
      </w:r>
    </w:p>
    <w:p>
      <w:pPr>
        <w:spacing w:after="0" w:line="114" w:lineRule="exact"/>
        <w:rPr>
          <w:sz w:val="20"/>
          <w:szCs w:val="20"/>
          <w:color w:val="auto"/>
        </w:rPr>
      </w:pPr>
    </w:p>
    <w:p>
      <w:pPr>
        <w:ind w:left="280"/>
        <w:spacing w:after="0"/>
        <w:rPr>
          <w:sz w:val="20"/>
          <w:szCs w:val="20"/>
          <w:color w:val="auto"/>
        </w:rPr>
      </w:pPr>
      <w:r>
        <w:rPr>
          <w:rFonts w:ascii="Arial" w:cs="Arial" w:eastAsia="Arial" w:hAnsi="Arial"/>
          <w:sz w:val="12"/>
          <w:szCs w:val="12"/>
          <w:color w:val="auto"/>
        </w:rPr>
        <w:t>Certain prior-year amounts have been reclassified for comparative purposes.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 Accounting Developments - Not Yet Adopted</w:t>
      </w:r>
    </w:p>
    <w:p>
      <w:pPr>
        <w:spacing w:after="0" w:line="96" w:lineRule="exact"/>
        <w:rPr>
          <w:sz w:val="20"/>
          <w:szCs w:val="20"/>
          <w:color w:val="auto"/>
        </w:rPr>
      </w:pPr>
    </w:p>
    <w:p>
      <w:pPr>
        <w:jc w:val="both"/>
        <w:ind w:firstLine="234"/>
        <w:spacing w:after="0" w:line="280" w:lineRule="auto"/>
        <w:rPr>
          <w:sz w:val="20"/>
          <w:szCs w:val="20"/>
          <w:color w:val="auto"/>
        </w:rPr>
      </w:pPr>
      <w:r>
        <w:rPr>
          <w:rFonts w:ascii="Arial" w:cs="Arial" w:eastAsia="Arial" w:hAnsi="Arial"/>
          <w:sz w:val="11"/>
          <w:szCs w:val="11"/>
          <w:i w:val="1"/>
          <w:iCs w:val="1"/>
          <w:color w:val="auto"/>
        </w:rPr>
        <w:t xml:space="preserve">ASU 2016-02 </w:t>
      </w:r>
      <w:r>
        <w:rPr>
          <w:rFonts w:ascii="Arial" w:cs="Arial" w:eastAsia="Arial" w:hAnsi="Arial"/>
          <w:sz w:val="11"/>
          <w:szCs w:val="11"/>
          <w:color w:val="auto"/>
        </w:rPr>
        <w:t>— In February 2016, the FASB issued ASU No. 2016-02,</w:t>
      </w:r>
      <w:r>
        <w:rPr>
          <w:rFonts w:ascii="Arial" w:cs="Arial" w:eastAsia="Arial" w:hAnsi="Arial"/>
          <w:sz w:val="11"/>
          <w:szCs w:val="11"/>
          <w:i w:val="1"/>
          <w:iCs w:val="1"/>
          <w:color w:val="auto"/>
        </w:rPr>
        <w:t xml:space="preserve"> Leases </w:t>
      </w:r>
      <w:r>
        <w:rPr>
          <w:rFonts w:ascii="Arial" w:cs="Arial" w:eastAsia="Arial" w:hAnsi="Arial"/>
          <w:sz w:val="11"/>
          <w:szCs w:val="11"/>
          <w:color w:val="auto"/>
        </w:rPr>
        <w:t>(Topic 842), or Topic 842, with the objective to increase transparency and comparability among organizations by recognizing lease assets and lease</w:t>
      </w:r>
      <w:r>
        <w:rPr>
          <w:rFonts w:ascii="Arial" w:cs="Arial" w:eastAsia="Arial" w:hAnsi="Arial"/>
          <w:sz w:val="11"/>
          <w:szCs w:val="11"/>
          <w:i w:val="1"/>
          <w:iCs w:val="1"/>
          <w:color w:val="auto"/>
        </w:rPr>
        <w:t xml:space="preserve"> </w:t>
      </w:r>
      <w:r>
        <w:rPr>
          <w:rFonts w:ascii="Arial" w:cs="Arial" w:eastAsia="Arial" w:hAnsi="Arial"/>
          <w:sz w:val="11"/>
          <w:szCs w:val="11"/>
          <w:color w:val="auto"/>
        </w:rPr>
        <w:t>liabilities on the balance sheet and to improve financial reporting by expanding the related disclosures. The guidance in Topic 842 provides that a lessee that may have previously accounted for a lease as an operating lease under current GAAP should recognize the assets and liabilities that arise from a lease on the balance sheet. In addition, Topic 842 expands the required quantitative and qualitative disclosures with regards to lease arrangements. The Company will adopt the standard effective January 1, 2019 and expects to elect certain of the practical expedients permitted, including the expedient that permits the Company to retain its existing lease assessment and classification. The Company is currently working through an adoption plan and evaluating the anticipated impact on the Company's results of operations, cash flows and financial position. While the Company is currently evaluating the impact the new guidance will have on its financial position and results of operations, the Company expects to recognize lease liabilities and right of use assets. The extent of the increase to assets and liabilities associated with these amounts remains to be determined pending the Company’s review of its existing lease contracts and service contracts which may contain embedded leases. While this review is still in process, the Company believes the adoption of Topic 842 may be material to its financial statements. The Company is continuing to monitor potential changes to Topic 842 that have been proposed by the FASB and will assess any necessary changes to the implementation as the guidance is updated.</w:t>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Note 3 — </w:t>
      </w:r>
      <w:r>
        <w:rPr>
          <w:rFonts w:ascii="Arial" w:cs="Arial" w:eastAsia="Arial" w:hAnsi="Arial"/>
          <w:sz w:val="12"/>
          <w:szCs w:val="12"/>
          <w:b w:val="1"/>
          <w:bCs w:val="1"/>
          <w:i w:val="1"/>
          <w:iCs w:val="1"/>
          <w:color w:val="auto"/>
        </w:rPr>
        <w:t>Business Acquisitions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2018 Acquisitions</w:t>
      </w:r>
    </w:p>
    <w:p>
      <w:pPr>
        <w:spacing w:after="0" w:line="110" w:lineRule="exact"/>
        <w:rPr>
          <w:sz w:val="20"/>
          <w:szCs w:val="20"/>
          <w:color w:val="auto"/>
        </w:rPr>
      </w:pPr>
    </w:p>
    <w:p>
      <w:pPr>
        <w:jc w:val="both"/>
        <w:ind w:firstLine="270"/>
        <w:spacing w:after="0" w:line="285" w:lineRule="auto"/>
        <w:rPr>
          <w:sz w:val="20"/>
          <w:szCs w:val="20"/>
          <w:color w:val="auto"/>
        </w:rPr>
      </w:pPr>
      <w:r>
        <w:rPr>
          <w:rFonts w:ascii="Arial" w:cs="Arial" w:eastAsia="Arial" w:hAnsi="Arial"/>
          <w:sz w:val="11"/>
          <w:szCs w:val="11"/>
          <w:b w:val="1"/>
          <w:bCs w:val="1"/>
          <w:i w:val="1"/>
          <w:iCs w:val="1"/>
          <w:color w:val="auto"/>
        </w:rPr>
        <w:t xml:space="preserve">UPMC Thermal Project Asset Acquisition </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On June 19, 2018, upon reaching substantial completion, the Company acquired from NRG the UPMC Thermal Project for cash consideration of $84 million, subject to working capital</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 xml:space="preserve">adjustments. The Company also recorded a payable of $4 million to be paid to NRG upon final completion of the project pursuant to the EPC agreement, as discussed in Note 12, </w:t>
      </w:r>
      <w:r>
        <w:rPr>
          <w:rFonts w:ascii="Arial" w:cs="Arial" w:eastAsia="Arial" w:hAnsi="Arial"/>
          <w:sz w:val="11"/>
          <w:szCs w:val="11"/>
          <w:i w:val="1"/>
          <w:iCs w:val="1"/>
          <w:color w:val="auto"/>
        </w:rPr>
        <w:t>Related Party Transactions</w:t>
      </w:r>
      <w:r>
        <w:rPr>
          <w:rFonts w:ascii="Arial" w:cs="Arial" w:eastAsia="Arial" w:hAnsi="Arial"/>
          <w:sz w:val="11"/>
          <w:szCs w:val="11"/>
          <w:color w:val="auto"/>
        </w:rPr>
        <w:t xml:space="preserve">. The project adds 73 MWt of thermal equivalent capacity and 7.5 MW of emergency backup thermal capacity to the Company's portfolio. The transaction is reflected in the Company's Thermal segment. The acquisition was funded with the proceeds from the sale of the Series E Notes and Series F Notes, as further described in Note 7, </w:t>
      </w:r>
      <w:r>
        <w:rPr>
          <w:rFonts w:ascii="Arial" w:cs="Arial" w:eastAsia="Arial" w:hAnsi="Arial"/>
          <w:sz w:val="11"/>
          <w:szCs w:val="11"/>
          <w:i w:val="1"/>
          <w:iCs w:val="1"/>
          <w:color w:val="auto"/>
        </w:rPr>
        <w:t>Long-term Debt</w:t>
      </w:r>
      <w:r>
        <w:rPr>
          <w:rFonts w:ascii="Arial" w:cs="Arial" w:eastAsia="Arial" w:hAnsi="Arial"/>
          <w:sz w:val="11"/>
          <w:szCs w:val="11"/>
          <w:color w:val="auto"/>
        </w:rPr>
        <w:t xml:space="preserve">. The assets transferred to the Company relate to interests under common control by NRG and were recorded at book value in accordance with ASC 805-50, </w:t>
      </w:r>
      <w:r>
        <w:rPr>
          <w:rFonts w:ascii="Arial" w:cs="Arial" w:eastAsia="Arial" w:hAnsi="Arial"/>
          <w:sz w:val="11"/>
          <w:szCs w:val="11"/>
          <w:i w:val="1"/>
          <w:iCs w:val="1"/>
          <w:color w:val="auto"/>
        </w:rPr>
        <w:t>Business Combinations - Related Issues</w:t>
      </w:r>
      <w:r>
        <w:rPr>
          <w:rFonts w:ascii="Arial" w:cs="Arial" w:eastAsia="Arial" w:hAnsi="Arial"/>
          <w:sz w:val="11"/>
          <w:szCs w:val="11"/>
          <w:color w:val="auto"/>
        </w:rPr>
        <w:t>. The difference between the purchase price and book value of the assets was recorded as a distribution to NRG and decreased the balance of its noncontrolling interest. The acquisition was</w:t>
      </w:r>
      <w:r>
        <w:rPr>
          <w:rFonts w:ascii="Arial" w:cs="Arial" w:eastAsia="Arial" w:hAnsi="Arial"/>
          <w:sz w:val="11"/>
          <w:szCs w:val="11"/>
          <w:i w:val="1"/>
          <w:iCs w:val="1"/>
          <w:color w:val="auto"/>
        </w:rPr>
        <w:t xml:space="preserve"> </w:t>
      </w:r>
      <w:r>
        <w:rPr>
          <w:rFonts w:ascii="Arial" w:cs="Arial" w:eastAsia="Arial" w:hAnsi="Arial"/>
          <w:sz w:val="11"/>
          <w:szCs w:val="11"/>
          <w:color w:val="auto"/>
        </w:rPr>
        <w:t>determined to be an asset acquisition and not a business combination, therefore no recast of the historical financial information was deemed necessary.</w:t>
      </w:r>
    </w:p>
    <w:p>
      <w:pPr>
        <w:spacing w:after="0" w:line="72" w:lineRule="exact"/>
        <w:rPr>
          <w:sz w:val="20"/>
          <w:szCs w:val="20"/>
          <w:color w:val="auto"/>
        </w:rPr>
      </w:pPr>
    </w:p>
    <w:p>
      <w:pPr>
        <w:jc w:val="both"/>
        <w:ind w:firstLine="270"/>
        <w:spacing w:after="0" w:line="331" w:lineRule="auto"/>
        <w:rPr>
          <w:sz w:val="20"/>
          <w:szCs w:val="20"/>
          <w:color w:val="auto"/>
        </w:rPr>
      </w:pPr>
      <w:r>
        <w:rPr>
          <w:rFonts w:ascii="Arial" w:cs="Arial" w:eastAsia="Arial" w:hAnsi="Arial"/>
          <w:sz w:val="11"/>
          <w:szCs w:val="11"/>
          <w:b w:val="1"/>
          <w:bCs w:val="1"/>
          <w:i w:val="1"/>
          <w:iCs w:val="1"/>
          <w:color w:val="auto"/>
        </w:rPr>
        <w:t xml:space="preserve">Central CA Fuel Cell 1, LLC </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On April 18, 2018, the Company acquired the Central CA Fuel Cell 1, LLC project in Tulare, California from FuelCell Energy Finance, Inc., for cash consideration of $11 million, subject to working</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capital adjustments. The project adds 2.8 MW of thermal capacity to the Company's portfolio, with a 20-year PPA contract with the City of Tulare. The transaction is reflected in the Company's Thermal segment.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480"/>
          </w:cols>
          <w:pgMar w:left="220" w:top="509" w:right="199" w:bottom="1440" w:gutter="0" w:footer="0" w:header="0"/>
        </w:sectPr>
      </w:pPr>
    </w:p>
    <w:bookmarkStart w:id="18" w:name="page19"/>
    <w:bookmarkEnd w:id="18"/>
    <w:p>
      <w:pPr>
        <w:jc w:val="both"/>
        <w:ind w:firstLine="270"/>
        <w:spacing w:after="0" w:line="315" w:lineRule="auto"/>
        <w:rPr>
          <w:sz w:val="20"/>
          <w:szCs w:val="20"/>
          <w:color w:val="auto"/>
        </w:rPr>
      </w:pPr>
      <w:r>
        <w:rPr>
          <w:rFonts w:ascii="Arial" w:cs="Arial" w:eastAsia="Arial" w:hAnsi="Arial"/>
          <w:sz w:val="10"/>
          <w:szCs w:val="10"/>
          <w:b w:val="1"/>
          <w:bCs w:val="1"/>
          <w:i w:val="1"/>
          <w:iCs w:val="1"/>
          <w:color w:val="auto"/>
        </w:rPr>
        <w:t xml:space="preserve">Buckthorn Solar Drop Down Asset </w:t>
      </w:r>
      <w:r>
        <w:rPr>
          <w:rFonts w:ascii="Arial" w:cs="Arial" w:eastAsia="Arial" w:hAnsi="Arial"/>
          <w:sz w:val="10"/>
          <w:szCs w:val="10"/>
          <w:b w:val="1"/>
          <w:bCs w:val="1"/>
          <w:color w:val="auto"/>
        </w:rPr>
        <w:t>—</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On March 30, 2018, the Company acquired 100% of NRG's interests in Buckthorn Renewables, LLC, which owned a 154 MW construction-stage utility-scale solar generation project located in</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 xml:space="preserve">Texas, or the Buckthorn Solar Drop Down Asset, for cash consideration of approximately $42 million, subject to working capital adjustments. The Company also assumed non-recourse debt of $183 million and non-controlling interest of $19 million (as of acquisition date) attributable to the Class A member, as further described below. The Company converted $132 million of non-recourse debt to a term loan and the remainder of the outstanding debt was paid down with the contribution from the Class A member in the amount of $80 million upon the project reaching substantial completion in May 2018. The purchase price for the Buckthorn Solar Drop Down Asset was funded with cash on hand and borrowings from the Company's revolving credit facility. The assets and liabilities transferred to the Company relate to interests under common control by NRG and were recorded at historical cost in accordance with ASC 805-50, </w:t>
      </w:r>
      <w:r>
        <w:rPr>
          <w:rFonts w:ascii="Arial" w:cs="Arial" w:eastAsia="Arial" w:hAnsi="Arial"/>
          <w:sz w:val="10"/>
          <w:szCs w:val="10"/>
          <w:i w:val="1"/>
          <w:iCs w:val="1"/>
          <w:color w:val="auto"/>
        </w:rPr>
        <w:t>Business</w:t>
      </w:r>
      <w:r>
        <w:rPr>
          <w:rFonts w:ascii="Arial" w:cs="Arial" w:eastAsia="Arial" w:hAnsi="Arial"/>
          <w:sz w:val="10"/>
          <w:szCs w:val="10"/>
          <w:color w:val="auto"/>
        </w:rPr>
        <w:t xml:space="preserve"> </w:t>
      </w:r>
      <w:r>
        <w:rPr>
          <w:rFonts w:ascii="Arial" w:cs="Arial" w:eastAsia="Arial" w:hAnsi="Arial"/>
          <w:sz w:val="10"/>
          <w:szCs w:val="10"/>
          <w:i w:val="1"/>
          <w:iCs w:val="1"/>
          <w:color w:val="auto"/>
        </w:rPr>
        <w:t>Combinations - Related Issues</w:t>
      </w:r>
      <w:r>
        <w:rPr>
          <w:rFonts w:ascii="Arial" w:cs="Arial" w:eastAsia="Arial" w:hAnsi="Arial"/>
          <w:sz w:val="10"/>
          <w:szCs w:val="10"/>
          <w:color w:val="auto"/>
        </w:rPr>
        <w:t>. The difference between the cash paid and historical value of the entities' equity was recorded as a distribution to NRG and decreased the balance of its noncontrolling interest. Since the transaction constituted</w:t>
      </w:r>
      <w:r>
        <w:rPr>
          <w:rFonts w:ascii="Arial" w:cs="Arial" w:eastAsia="Arial" w:hAnsi="Arial"/>
          <w:sz w:val="10"/>
          <w:szCs w:val="10"/>
          <w:i w:val="1"/>
          <w:iCs w:val="1"/>
          <w:color w:val="auto"/>
        </w:rPr>
        <w:t xml:space="preserve"> </w:t>
      </w:r>
      <w:r>
        <w:rPr>
          <w:rFonts w:ascii="Arial" w:cs="Arial" w:eastAsia="Arial" w:hAnsi="Arial"/>
          <w:sz w:val="10"/>
          <w:szCs w:val="10"/>
          <w:color w:val="auto"/>
        </w:rPr>
        <w:t>a transfer of net assets under common control, the guidance requires retrospective combination of the entities for all periods presented as if the combination had been in effect since the inception of common control.</w:t>
      </w:r>
    </w:p>
    <w:p>
      <w:pPr>
        <w:spacing w:after="0" w:line="64"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2"/>
          <w:szCs w:val="12"/>
          <w:color w:val="auto"/>
        </w:rPr>
        <w:t>Buckthorn Solar Portfolio, LLC, a wholly owned subsidiary of Buckthorn Renewables, LLC, is the Class B member in a tax equity partnership, Buckthorn Holdings, LLC, the owner of the Buckthorn Solar Drop Down Asset. The Class A member is a tax equity investor, or TE investor, who receives 99% of allocations of taxable income and other items through the six month anniversary of the placed in service date, at which time the allocations change to 67% through the last calendar year before the flip point, and then back to 99% through the flip point (which occurs when the TE Investor obtains a specified return on its initial investment), at which time the allocations to the TE Investor change to 5% for all the periods thereafter. Before the flip point, the TE investor would receive a priority distribution of distributable cash, as defined, plus a percentage of remaining distributable cash after the priority distribution subject to a percentage cap.</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project sells power under a 25-year PPA to the City of Georgetown, Texas, which commenced in July 2018.</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following is a summary of net assets transferred in connection with the acquisition of the Buckthorn Solar Drop Down Asset as of March 31, 2018:</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98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481"/>
              <w:spacing w:after="0"/>
              <w:rPr>
                <w:sz w:val="20"/>
                <w:szCs w:val="20"/>
                <w:color w:val="auto"/>
              </w:rPr>
            </w:pPr>
            <w:r>
              <w:rPr>
                <w:rFonts w:ascii="Arial" w:cs="Arial" w:eastAsia="Arial" w:hAnsi="Arial"/>
                <w:sz w:val="10"/>
                <w:szCs w:val="10"/>
                <w:b w:val="1"/>
                <w:bCs w:val="1"/>
                <w:color w:val="auto"/>
              </w:rPr>
              <w:t>(In millions)</w:t>
            </w:r>
          </w:p>
        </w:tc>
      </w:tr>
      <w:tr>
        <w:trPr>
          <w:trHeight w:val="164"/>
        </w:trPr>
        <w:tc>
          <w:tcPr>
            <w:tcW w:w="9840" w:type="dxa"/>
            <w:vAlign w:val="bottom"/>
          </w:tcPr>
          <w:p>
            <w:pPr>
              <w:ind w:left="20"/>
              <w:spacing w:after="0"/>
              <w:rPr>
                <w:sz w:val="20"/>
                <w:szCs w:val="20"/>
                <w:color w:val="auto"/>
              </w:rPr>
            </w:pPr>
            <w:r>
              <w:rPr>
                <w:rFonts w:ascii="Arial" w:cs="Arial" w:eastAsia="Arial" w:hAnsi="Arial"/>
                <w:sz w:val="12"/>
                <w:szCs w:val="12"/>
                <w:color w:val="auto"/>
              </w:rPr>
              <w:t>Assets:</w:t>
            </w: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89"/>
        </w:trPr>
        <w:tc>
          <w:tcPr>
            <w:tcW w:w="9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Current assets</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20</w:t>
            </w:r>
          </w:p>
        </w:tc>
      </w:tr>
      <w:tr>
        <w:trPr>
          <w:trHeight w:val="171"/>
        </w:trPr>
        <w:tc>
          <w:tcPr>
            <w:tcW w:w="9840" w:type="dxa"/>
            <w:vAlign w:val="bottom"/>
          </w:tcPr>
          <w:p>
            <w:pPr>
              <w:ind w:left="20"/>
              <w:spacing w:after="0"/>
              <w:rPr>
                <w:sz w:val="20"/>
                <w:szCs w:val="20"/>
                <w:color w:val="auto"/>
              </w:rPr>
            </w:pPr>
            <w:r>
              <w:rPr>
                <w:rFonts w:ascii="Arial" w:cs="Arial" w:eastAsia="Arial" w:hAnsi="Arial"/>
                <w:sz w:val="12"/>
                <w:szCs w:val="12"/>
                <w:color w:val="auto"/>
              </w:rPr>
              <w:t>Property, plant and equipment</w:t>
            </w:r>
          </w:p>
        </w:tc>
        <w:tc>
          <w:tcPr>
            <w:tcW w:w="320" w:type="dxa"/>
            <w:vAlign w:val="bottom"/>
          </w:tcPr>
          <w:p>
            <w:pPr>
              <w:spacing w:after="0"/>
              <w:rPr>
                <w:sz w:val="14"/>
                <w:szCs w:val="14"/>
                <w:color w:val="auto"/>
              </w:rPr>
            </w:pPr>
          </w:p>
        </w:tc>
        <w:tc>
          <w:tcPr>
            <w:tcW w:w="1280" w:type="dxa"/>
            <w:vAlign w:val="bottom"/>
          </w:tcPr>
          <w:p>
            <w:pPr>
              <w:jc w:val="right"/>
              <w:ind w:right="41"/>
              <w:spacing w:after="0"/>
              <w:rPr>
                <w:sz w:val="20"/>
                <w:szCs w:val="20"/>
                <w:color w:val="auto"/>
              </w:rPr>
            </w:pPr>
            <w:r>
              <w:rPr>
                <w:rFonts w:ascii="Arial" w:cs="Arial" w:eastAsia="Arial" w:hAnsi="Arial"/>
                <w:sz w:val="12"/>
                <w:szCs w:val="12"/>
                <w:color w:val="auto"/>
              </w:rPr>
              <w:t>212</w:t>
            </w:r>
          </w:p>
        </w:tc>
      </w:tr>
      <w:tr>
        <w:trPr>
          <w:trHeight w:val="180"/>
        </w:trPr>
        <w:tc>
          <w:tcPr>
            <w:tcW w:w="9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Non-current assets</w:t>
            </w:r>
          </w:p>
        </w:tc>
        <w:tc>
          <w:tcPr>
            <w:tcW w:w="32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3</w:t>
            </w:r>
          </w:p>
        </w:tc>
      </w:tr>
      <w:tr>
        <w:trPr>
          <w:trHeight w:val="169"/>
        </w:trPr>
        <w:tc>
          <w:tcPr>
            <w:tcW w:w="984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Total assets</w:t>
            </w:r>
          </w:p>
        </w:tc>
        <w:tc>
          <w:tcPr>
            <w:tcW w:w="3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235</w:t>
            </w:r>
          </w:p>
        </w:tc>
      </w:tr>
      <w:tr>
        <w:trPr>
          <w:trHeight w:val="178"/>
        </w:trPr>
        <w:tc>
          <w:tcPr>
            <w:tcW w:w="9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Liabilities:</w:t>
            </w:r>
          </w:p>
        </w:tc>
        <w:tc>
          <w:tcPr>
            <w:tcW w:w="3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80"/>
        </w:trPr>
        <w:tc>
          <w:tcPr>
            <w:tcW w:w="9840" w:type="dxa"/>
            <w:vAlign w:val="bottom"/>
          </w:tcPr>
          <w:p>
            <w:pPr>
              <w:ind w:left="20"/>
              <w:spacing w:after="0" w:line="180" w:lineRule="exact"/>
              <w:rPr>
                <w:sz w:val="20"/>
                <w:szCs w:val="20"/>
                <w:color w:val="auto"/>
              </w:rPr>
            </w:pPr>
            <w:r>
              <w:rPr>
                <w:rFonts w:ascii="Arial" w:cs="Arial" w:eastAsia="Arial" w:hAnsi="Arial"/>
                <w:sz w:val="12"/>
                <w:szCs w:val="12"/>
                <w:color w:val="auto"/>
              </w:rPr>
              <w:t xml:space="preserve">Debt (Current and non-current) </w:t>
            </w:r>
            <w:r>
              <w:rPr>
                <w:rFonts w:ascii="Arial" w:cs="Arial" w:eastAsia="Arial" w:hAnsi="Arial"/>
                <w:sz w:val="16"/>
                <w:szCs w:val="16"/>
                <w:color w:val="auto"/>
                <w:vertAlign w:val="superscript"/>
              </w:rPr>
              <w:t>(a)</w:t>
            </w:r>
          </w:p>
        </w:tc>
        <w:tc>
          <w:tcPr>
            <w:tcW w:w="320" w:type="dxa"/>
            <w:vAlign w:val="bottom"/>
          </w:tcPr>
          <w:p>
            <w:pPr>
              <w:spacing w:after="0"/>
              <w:rPr>
                <w:sz w:val="15"/>
                <w:szCs w:val="15"/>
                <w:color w:val="auto"/>
              </w:rPr>
            </w:pPr>
          </w:p>
        </w:tc>
        <w:tc>
          <w:tcPr>
            <w:tcW w:w="1280" w:type="dxa"/>
            <w:vAlign w:val="bottom"/>
          </w:tcPr>
          <w:p>
            <w:pPr>
              <w:jc w:val="right"/>
              <w:ind w:right="41"/>
              <w:spacing w:after="0"/>
              <w:rPr>
                <w:sz w:val="20"/>
                <w:szCs w:val="20"/>
                <w:color w:val="auto"/>
              </w:rPr>
            </w:pPr>
            <w:r>
              <w:rPr>
                <w:rFonts w:ascii="Arial" w:cs="Arial" w:eastAsia="Arial" w:hAnsi="Arial"/>
                <w:sz w:val="12"/>
                <w:szCs w:val="12"/>
                <w:color w:val="auto"/>
              </w:rPr>
              <w:t>176</w:t>
            </w:r>
          </w:p>
        </w:tc>
      </w:tr>
      <w:tr>
        <w:trPr>
          <w:trHeight w:val="171"/>
        </w:trPr>
        <w:tc>
          <w:tcPr>
            <w:tcW w:w="9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current and non-current liabilities</w:t>
            </w:r>
          </w:p>
        </w:tc>
        <w:tc>
          <w:tcPr>
            <w:tcW w:w="32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15</w:t>
            </w:r>
          </w:p>
        </w:tc>
      </w:tr>
      <w:tr>
        <w:trPr>
          <w:trHeight w:val="169"/>
        </w:trPr>
        <w:tc>
          <w:tcPr>
            <w:tcW w:w="984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Total liabilities</w:t>
            </w:r>
          </w:p>
        </w:tc>
        <w:tc>
          <w:tcPr>
            <w:tcW w:w="3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191</w:t>
            </w:r>
          </w:p>
        </w:tc>
      </w:tr>
      <w:tr>
        <w:trPr>
          <w:trHeight w:val="169"/>
        </w:trPr>
        <w:tc>
          <w:tcPr>
            <w:tcW w:w="98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Less: noncontrolling interest</w:t>
            </w:r>
          </w:p>
        </w:tc>
        <w:tc>
          <w:tcPr>
            <w:tcW w:w="32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19</w:t>
            </w:r>
          </w:p>
        </w:tc>
      </w:tr>
      <w:tr>
        <w:trPr>
          <w:trHeight w:val="185"/>
        </w:trPr>
        <w:tc>
          <w:tcPr>
            <w:tcW w:w="9840" w:type="dxa"/>
            <w:vAlign w:val="bottom"/>
          </w:tcPr>
          <w:p>
            <w:pPr>
              <w:ind w:left="240"/>
              <w:spacing w:after="0"/>
              <w:rPr>
                <w:sz w:val="20"/>
                <w:szCs w:val="20"/>
                <w:color w:val="auto"/>
              </w:rPr>
            </w:pPr>
            <w:r>
              <w:rPr>
                <w:rFonts w:ascii="Arial" w:cs="Arial" w:eastAsia="Arial" w:hAnsi="Arial"/>
                <w:sz w:val="12"/>
                <w:szCs w:val="12"/>
                <w:color w:val="auto"/>
              </w:rPr>
              <w:t>Net assets acquired</w:t>
            </w: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141859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18590" cy="571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vertAlign w:val="superscript"/>
        </w:rPr>
        <w:t>(a)</w:t>
      </w:r>
      <w:r>
        <w:rPr>
          <w:rFonts w:ascii="Arial" w:cs="Arial" w:eastAsia="Arial" w:hAnsi="Arial"/>
          <w:sz w:val="11"/>
          <w:szCs w:val="11"/>
          <w:color w:val="auto"/>
        </w:rPr>
        <w:t xml:space="preserve"> Net of $7 million of net debt issuance costs.</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2017 Acquisitions</w:t>
      </w:r>
    </w:p>
    <w:p>
      <w:pPr>
        <w:spacing w:after="0" w:line="110" w:lineRule="exact"/>
        <w:rPr>
          <w:sz w:val="20"/>
          <w:szCs w:val="20"/>
          <w:color w:val="auto"/>
        </w:rPr>
      </w:pPr>
    </w:p>
    <w:p>
      <w:pPr>
        <w:jc w:val="both"/>
        <w:ind w:firstLine="270"/>
        <w:spacing w:after="0" w:line="283" w:lineRule="auto"/>
        <w:rPr>
          <w:sz w:val="20"/>
          <w:szCs w:val="20"/>
          <w:color w:val="auto"/>
        </w:rPr>
      </w:pPr>
      <w:r>
        <w:rPr>
          <w:rFonts w:ascii="Arial" w:cs="Arial" w:eastAsia="Arial" w:hAnsi="Arial"/>
          <w:sz w:val="12"/>
          <w:szCs w:val="12"/>
          <w:b w:val="1"/>
          <w:bCs w:val="1"/>
          <w:i w:val="1"/>
          <w:iCs w:val="1"/>
          <w:color w:val="auto"/>
        </w:rPr>
        <w:t xml:space="preserve">November 2017 Drop Down Assets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On November 1, 2017, the Company acquired a 38 MW solar portfolio primarily comprised of assets from NRG's Solar Power Partners (SPP) funds and other projects developed by NRG, for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cash consideration of $74 million, including working capital adjustments, plus assumed non-recourse debt of $26 million.</w:t>
      </w:r>
    </w:p>
    <w:p>
      <w:pPr>
        <w:spacing w:after="0" w:line="75"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2"/>
          <w:szCs w:val="12"/>
          <w:color w:val="auto"/>
        </w:rPr>
        <w:t xml:space="preserve">The purchase price for the November 2017 Drop Down Assets was funded with cash on hand. The assets and liabilities transferred to the Company relate to interests under common control by NRG and were recorded at historical cost in accordance with ASC 805-50, </w:t>
      </w:r>
      <w:r>
        <w:rPr>
          <w:rFonts w:ascii="Arial" w:cs="Arial" w:eastAsia="Arial" w:hAnsi="Arial"/>
          <w:sz w:val="12"/>
          <w:szCs w:val="12"/>
          <w:i w:val="1"/>
          <w:iCs w:val="1"/>
          <w:color w:val="auto"/>
        </w:rPr>
        <w:t>Business Combinations - Related Issues</w:t>
      </w:r>
      <w:r>
        <w:rPr>
          <w:rFonts w:ascii="Arial" w:cs="Arial" w:eastAsia="Arial" w:hAnsi="Arial"/>
          <w:sz w:val="12"/>
          <w:szCs w:val="12"/>
          <w:color w:val="auto"/>
        </w:rPr>
        <w:t>. The difference between the cash paid and historical value of the entities' equity was recorded as a contribution from NRG and increased the balance of its noncontrolling interest. Since the transaction constituted a transfer of net assets under common control, the guidance requires retrospective combination of the entities for all periods presented as if the combination has been in effect since the inception of common control.</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1480"/>
          </w:cols>
          <w:pgMar w:left="220" w:top="505" w:right="199" w:bottom="1440" w:gutter="0" w:footer="0" w:header="0"/>
        </w:sectPr>
      </w:pPr>
    </w:p>
    <w:bookmarkStart w:id="19" w:name="page20"/>
    <w:bookmarkEnd w:id="19"/>
    <w:p>
      <w:pPr>
        <w:jc w:val="both"/>
        <w:ind w:left="8" w:firstLine="270"/>
        <w:spacing w:after="0" w:line="267" w:lineRule="auto"/>
        <w:rPr>
          <w:sz w:val="20"/>
          <w:szCs w:val="20"/>
          <w:color w:val="auto"/>
        </w:rPr>
      </w:pPr>
      <w:r>
        <w:rPr>
          <w:rFonts w:ascii="Arial" w:cs="Arial" w:eastAsia="Arial" w:hAnsi="Arial"/>
          <w:sz w:val="12"/>
          <w:szCs w:val="12"/>
          <w:b w:val="1"/>
          <w:bCs w:val="1"/>
          <w:i w:val="1"/>
          <w:iCs w:val="1"/>
          <w:color w:val="auto"/>
        </w:rPr>
        <w:t xml:space="preserve">August 2017 Drop Down Assets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On August 1, 2017, the Company acquired the remaining 25% interest in NRG Wind TE Holdco, a portfolio of 12 wind projects, from NRG for total cash consideration of $44 million, including</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working capital adjustments. The purchase agreement also included potential additional payments to NRG dependent upon actual energy prices for merchant periods beginning in 2027, which were estimated and accrued as contingent consideration in the amount of $8 million.</w:t>
      </w:r>
    </w:p>
    <w:p>
      <w:pPr>
        <w:spacing w:after="0" w:line="84" w:lineRule="exact"/>
        <w:rPr>
          <w:sz w:val="20"/>
          <w:szCs w:val="20"/>
          <w:color w:val="auto"/>
        </w:rPr>
      </w:pPr>
    </w:p>
    <w:p>
      <w:pPr>
        <w:jc w:val="both"/>
        <w:ind w:left="8" w:firstLine="270"/>
        <w:spacing w:after="0" w:line="286" w:lineRule="auto"/>
        <w:rPr>
          <w:sz w:val="20"/>
          <w:szCs w:val="20"/>
          <w:color w:val="auto"/>
        </w:rPr>
      </w:pPr>
      <w:r>
        <w:rPr>
          <w:rFonts w:ascii="Arial" w:cs="Arial" w:eastAsia="Arial" w:hAnsi="Arial"/>
          <w:sz w:val="11"/>
          <w:szCs w:val="11"/>
          <w:color w:val="auto"/>
        </w:rPr>
        <w:t xml:space="preserve">The Company originally acquired 75% of NRG Wind TE Holdco on November 3, 2015, or November 2015 Drop Down Assets, which were consolidated with 25% of the net assets recorded as noncontrolling interest. The assets and liabilities transferred to the Company related to interests under common control by NRG and were recorded at historical cost in accordance with ASC 805-50, </w:t>
      </w:r>
      <w:r>
        <w:rPr>
          <w:rFonts w:ascii="Arial" w:cs="Arial" w:eastAsia="Arial" w:hAnsi="Arial"/>
          <w:sz w:val="11"/>
          <w:szCs w:val="11"/>
          <w:i w:val="1"/>
          <w:iCs w:val="1"/>
          <w:color w:val="auto"/>
        </w:rPr>
        <w:t>Business Combination - Related Issues.</w:t>
      </w:r>
      <w:r>
        <w:rPr>
          <w:rFonts w:ascii="Arial" w:cs="Arial" w:eastAsia="Arial" w:hAnsi="Arial"/>
          <w:sz w:val="11"/>
          <w:szCs w:val="11"/>
          <w:color w:val="auto"/>
        </w:rPr>
        <w:t xml:space="preserve"> As the Company had reflected NRG's 25% ownership of NRG Wind TE Holdco in noncontrolling interest, the difference between the cash paid of $44 million, net of the contingent consideration of $8 million, and the historical value of the remaining 25% of $87 million as of July 31, 2017, was recorded as an adjustment to NRG's noncontrolling interest. Since the transaction constituted a transfer of entities under common control, the accounting guidance requires retrospective combination of the entities for all periods presented as if the combination has been in effect from the beginning of the financial statement period or from the date the entities were under common control (if later than the beginning of the financial statement period).</w:t>
      </w:r>
    </w:p>
    <w:p>
      <w:pPr>
        <w:spacing w:after="0" w:line="75" w:lineRule="exact"/>
        <w:rPr>
          <w:sz w:val="20"/>
          <w:szCs w:val="20"/>
          <w:color w:val="auto"/>
        </w:rPr>
      </w:pPr>
    </w:p>
    <w:p>
      <w:pPr>
        <w:jc w:val="both"/>
        <w:ind w:left="8" w:right="20" w:firstLine="270"/>
        <w:spacing w:after="0" w:line="276" w:lineRule="auto"/>
        <w:rPr>
          <w:sz w:val="20"/>
          <w:szCs w:val="20"/>
          <w:color w:val="auto"/>
        </w:rPr>
      </w:pPr>
      <w:r>
        <w:rPr>
          <w:rFonts w:ascii="Arial" w:cs="Arial" w:eastAsia="Arial" w:hAnsi="Arial"/>
          <w:sz w:val="12"/>
          <w:szCs w:val="12"/>
          <w:color w:val="auto"/>
        </w:rPr>
        <w:t>The following tables present a summary of the Company's historical information combining the financial information for the Buckthorn Solar Drop Down Asset, November 2017 Drop Down Assets and August 2017 Drop Down Assets transferred in connection with the acquisition:</w:t>
      </w:r>
    </w:p>
    <w:p>
      <w:pPr>
        <w:spacing w:after="0" w:line="169" w:lineRule="exact"/>
        <w:rPr>
          <w:sz w:val="20"/>
          <w:szCs w:val="20"/>
          <w:color w:val="auto"/>
        </w:rPr>
      </w:pPr>
    </w:p>
    <w:tbl>
      <w:tblPr>
        <w:tblLayout w:type="fixed"/>
        <w:tblInd w:w="8" w:type="dxa"/>
        <w:tblCellMar>
          <w:top w:w="0" w:type="dxa"/>
          <w:left w:w="0" w:type="dxa"/>
          <w:bottom w:w="0" w:type="dxa"/>
          <w:right w:w="0" w:type="dxa"/>
        </w:tblCellMar>
      </w:tblPr>
      <w:tr>
        <w:trPr>
          <w:trHeight w:val="140"/>
        </w:trPr>
        <w:tc>
          <w:tcPr>
            <w:tcW w:w="4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40" w:type="dxa"/>
            <w:vAlign w:val="bottom"/>
            <w:gridSpan w:val="6"/>
          </w:tcPr>
          <w:p>
            <w:pPr>
              <w:jc w:val="right"/>
              <w:spacing w:after="0"/>
              <w:rPr>
                <w:sz w:val="20"/>
                <w:szCs w:val="20"/>
                <w:color w:val="auto"/>
              </w:rPr>
            </w:pPr>
            <w:r>
              <w:rPr>
                <w:rFonts w:ascii="Arial" w:cs="Arial" w:eastAsia="Arial" w:hAnsi="Arial"/>
                <w:sz w:val="11"/>
                <w:szCs w:val="11"/>
                <w:b w:val="1"/>
                <w:bCs w:val="1"/>
                <w:color w:val="auto"/>
                <w:w w:val="88"/>
              </w:rPr>
              <w:t>Three months ended June 30, 2017</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46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4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spacing w:after="0"/>
              <w:rPr>
                <w:sz w:val="20"/>
                <w:szCs w:val="20"/>
                <w:color w:val="auto"/>
              </w:rPr>
            </w:pPr>
            <w:r>
              <w:rPr>
                <w:rFonts w:ascii="Arial" w:cs="Arial" w:eastAsia="Arial" w:hAnsi="Arial"/>
                <w:sz w:val="11"/>
                <w:szCs w:val="11"/>
                <w:b w:val="1"/>
                <w:bCs w:val="1"/>
                <w:color w:val="auto"/>
                <w:w w:val="90"/>
              </w:rPr>
              <w:t>Buckthorn Solar Drop</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0"/>
              </w:rPr>
              <w:t>November 2017 Drop</w:t>
            </w:r>
          </w:p>
        </w:tc>
        <w:tc>
          <w:tcPr>
            <w:tcW w:w="80" w:type="dxa"/>
            <w:vAlign w:val="bottom"/>
          </w:tcPr>
          <w:p>
            <w:pPr>
              <w:spacing w:after="0"/>
              <w:rPr>
                <w:sz w:val="11"/>
                <w:szCs w:val="11"/>
                <w:color w:val="auto"/>
              </w:rPr>
            </w:pPr>
          </w:p>
        </w:tc>
        <w:tc>
          <w:tcPr>
            <w:tcW w:w="128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w w:val="93"/>
              </w:rPr>
              <w:t>August 2017 Drop Down</w:t>
            </w: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4600" w:type="dxa"/>
            <w:vAlign w:val="bottom"/>
          </w:tcPr>
          <w:p>
            <w:pPr>
              <w:spacing w:after="0"/>
              <w:rPr>
                <w:sz w:val="2"/>
                <w:szCs w:val="2"/>
                <w:color w:val="auto"/>
              </w:rPr>
            </w:pPr>
          </w:p>
        </w:tc>
        <w:tc>
          <w:tcPr>
            <w:tcW w:w="1380" w:type="dxa"/>
            <w:vAlign w:val="bottom"/>
            <w:gridSpan w:val="3"/>
            <w:vMerge w:val="restart"/>
          </w:tcPr>
          <w:p>
            <w:pPr>
              <w:ind w:left="60"/>
              <w:spacing w:after="0" w:line="163" w:lineRule="exact"/>
              <w:rPr>
                <w:sz w:val="20"/>
                <w:szCs w:val="20"/>
                <w:color w:val="auto"/>
              </w:rPr>
            </w:pPr>
            <w:r>
              <w:rPr>
                <w:rFonts w:ascii="Arial" w:cs="Arial" w:eastAsia="Arial" w:hAnsi="Arial"/>
                <w:sz w:val="10"/>
                <w:szCs w:val="10"/>
                <w:b w:val="1"/>
                <w:bCs w:val="1"/>
                <w:color w:val="auto"/>
              </w:rPr>
              <w:t xml:space="preserve">As Previously Reported </w:t>
            </w:r>
            <w:r>
              <w:rPr>
                <w:rFonts w:ascii="Arial" w:cs="Arial" w:eastAsia="Arial" w:hAnsi="Arial"/>
                <w:sz w:val="17"/>
                <w:szCs w:val="17"/>
                <w:b w:val="1"/>
                <w:bCs w:val="1"/>
                <w:color w:val="auto"/>
                <w:vertAlign w:val="superscript"/>
              </w:rPr>
              <w:t>(a)</w:t>
            </w:r>
          </w:p>
        </w:tc>
        <w:tc>
          <w:tcPr>
            <w:tcW w:w="100" w:type="dxa"/>
            <w:vAlign w:val="bottom"/>
          </w:tcPr>
          <w:p>
            <w:pPr>
              <w:spacing w:after="0"/>
              <w:rPr>
                <w:sz w:val="2"/>
                <w:szCs w:val="2"/>
                <w:color w:val="auto"/>
              </w:rPr>
            </w:pPr>
          </w:p>
        </w:tc>
        <w:tc>
          <w:tcPr>
            <w:tcW w:w="1120" w:type="dxa"/>
            <w:vAlign w:val="bottom"/>
            <w:vMerge w:val="restart"/>
          </w:tcPr>
          <w:p>
            <w:pPr>
              <w:jc w:val="center"/>
              <w:ind w:right="6"/>
              <w:spacing w:after="0"/>
              <w:rPr>
                <w:sz w:val="20"/>
                <w:szCs w:val="20"/>
                <w:color w:val="auto"/>
              </w:rPr>
            </w:pPr>
            <w:r>
              <w:rPr>
                <w:rFonts w:ascii="Arial" w:cs="Arial" w:eastAsia="Arial" w:hAnsi="Arial"/>
                <w:sz w:val="11"/>
                <w:szCs w:val="11"/>
                <w:b w:val="1"/>
                <w:bCs w:val="1"/>
                <w:color w:val="auto"/>
                <w:w w:val="85"/>
              </w:rPr>
              <w:t>Down Asset</w:t>
            </w: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83"/>
              </w:rPr>
              <w:t>Down Assets</w:t>
            </w:r>
          </w:p>
        </w:tc>
        <w:tc>
          <w:tcPr>
            <w:tcW w:w="8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7"/>
        </w:trPr>
        <w:tc>
          <w:tcPr>
            <w:tcW w:w="4600" w:type="dxa"/>
            <w:vAlign w:val="bottom"/>
          </w:tcPr>
          <w:p>
            <w:pPr>
              <w:spacing w:after="0"/>
              <w:rPr>
                <w:sz w:val="11"/>
                <w:szCs w:val="11"/>
                <w:color w:val="auto"/>
              </w:rPr>
            </w:pPr>
          </w:p>
        </w:tc>
        <w:tc>
          <w:tcPr>
            <w:tcW w:w="138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5"/>
              </w:rPr>
              <w:t>Assets</w:t>
            </w:r>
          </w:p>
        </w:tc>
        <w:tc>
          <w:tcPr>
            <w:tcW w:w="120" w:type="dxa"/>
            <w:vAlign w:val="bottom"/>
          </w:tcPr>
          <w:p>
            <w:pPr>
              <w:spacing w:after="0"/>
              <w:rPr>
                <w:sz w:val="11"/>
                <w:szCs w:val="11"/>
                <w:color w:val="auto"/>
              </w:rPr>
            </w:pPr>
          </w:p>
        </w:tc>
        <w:tc>
          <w:tcPr>
            <w:tcW w:w="1240" w:type="dxa"/>
            <w:vAlign w:val="bottom"/>
          </w:tcPr>
          <w:p>
            <w:pPr>
              <w:jc w:val="right"/>
              <w:ind w:right="126"/>
              <w:spacing w:after="0"/>
              <w:rPr>
                <w:sz w:val="20"/>
                <w:szCs w:val="20"/>
                <w:color w:val="auto"/>
              </w:rPr>
            </w:pPr>
            <w:r>
              <w:rPr>
                <w:rFonts w:ascii="Arial" w:cs="Arial" w:eastAsia="Arial" w:hAnsi="Arial"/>
                <w:sz w:val="10"/>
                <w:szCs w:val="10"/>
                <w:b w:val="1"/>
                <w:bCs w:val="1"/>
                <w:color w:val="auto"/>
                <w:w w:val="97"/>
              </w:rPr>
              <w:t>As Currently Reported</w:t>
            </w:r>
          </w:p>
        </w:tc>
        <w:tc>
          <w:tcPr>
            <w:tcW w:w="0" w:type="dxa"/>
            <w:vAlign w:val="bottom"/>
          </w:tcPr>
          <w:p>
            <w:pPr>
              <w:spacing w:after="0"/>
              <w:rPr>
                <w:sz w:val="1"/>
                <w:szCs w:val="1"/>
                <w:color w:val="auto"/>
              </w:rPr>
            </w:pPr>
          </w:p>
        </w:tc>
      </w:tr>
      <w:tr>
        <w:trPr>
          <w:trHeight w:val="165"/>
        </w:trPr>
        <w:tc>
          <w:tcPr>
            <w:tcW w:w="4600" w:type="dxa"/>
            <w:vAlign w:val="bottom"/>
          </w:tcPr>
          <w:p>
            <w:pPr>
              <w:ind w:left="20"/>
              <w:spacing w:after="0"/>
              <w:rPr>
                <w:sz w:val="20"/>
                <w:szCs w:val="20"/>
                <w:color w:val="auto"/>
              </w:rPr>
            </w:pPr>
            <w:r>
              <w:rPr>
                <w:rFonts w:ascii="Arial" w:cs="Arial" w:eastAsia="Arial" w:hAnsi="Arial"/>
                <w:sz w:val="10"/>
                <w:szCs w:val="10"/>
                <w:b w:val="1"/>
                <w:bCs w:val="1"/>
                <w:color w:val="auto"/>
              </w:rPr>
              <w:t>(In millions)</w:t>
            </w:r>
          </w:p>
        </w:tc>
        <w:tc>
          <w:tcPr>
            <w:tcW w:w="5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operating revenues</w:t>
            </w:r>
          </w:p>
        </w:tc>
        <w:tc>
          <w:tcPr>
            <w:tcW w:w="5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284</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11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288</w:t>
            </w:r>
          </w:p>
        </w:tc>
        <w:tc>
          <w:tcPr>
            <w:tcW w:w="0" w:type="dxa"/>
            <w:vAlign w:val="bottom"/>
          </w:tcPr>
          <w:p>
            <w:pPr>
              <w:spacing w:after="0"/>
              <w:rPr>
                <w:sz w:val="1"/>
                <w:szCs w:val="1"/>
                <w:color w:val="auto"/>
              </w:rPr>
            </w:pPr>
          </w:p>
        </w:tc>
      </w:tr>
      <w:tr>
        <w:trPr>
          <w:trHeight w:val="158"/>
        </w:trPr>
        <w:tc>
          <w:tcPr>
            <w:tcW w:w="4600" w:type="dxa"/>
            <w:vAlign w:val="bottom"/>
          </w:tcPr>
          <w:p>
            <w:pPr>
              <w:ind w:left="20"/>
              <w:spacing w:after="0"/>
              <w:rPr>
                <w:sz w:val="20"/>
                <w:szCs w:val="20"/>
                <w:color w:val="auto"/>
              </w:rPr>
            </w:pPr>
            <w:r>
              <w:rPr>
                <w:rFonts w:ascii="Arial" w:cs="Arial" w:eastAsia="Arial" w:hAnsi="Arial"/>
                <w:sz w:val="11"/>
                <w:szCs w:val="11"/>
                <w:color w:val="auto"/>
              </w:rPr>
              <w:t>Operating income</w:t>
            </w:r>
          </w:p>
        </w:tc>
        <w:tc>
          <w:tcPr>
            <w:tcW w:w="520" w:type="dxa"/>
            <w:vAlign w:val="bottom"/>
          </w:tcPr>
          <w:p>
            <w:pPr>
              <w:spacing w:after="0"/>
              <w:rPr>
                <w:sz w:val="13"/>
                <w:szCs w:val="13"/>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122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240" w:type="dxa"/>
            <w:vAlign w:val="bottom"/>
          </w:tcPr>
          <w:p>
            <w:pPr>
              <w:jc w:val="right"/>
              <w:ind w:right="66"/>
              <w:spacing w:after="0"/>
              <w:rPr>
                <w:sz w:val="20"/>
                <w:szCs w:val="20"/>
                <w:color w:val="auto"/>
              </w:rPr>
            </w:pPr>
            <w:r>
              <w:rPr>
                <w:rFonts w:ascii="Arial" w:cs="Arial" w:eastAsia="Arial" w:hAnsi="Arial"/>
                <w:sz w:val="11"/>
                <w:szCs w:val="11"/>
                <w:color w:val="auto"/>
              </w:rPr>
              <w:t>125</w:t>
            </w:r>
          </w:p>
        </w:tc>
        <w:tc>
          <w:tcPr>
            <w:tcW w:w="0" w:type="dxa"/>
            <w:vAlign w:val="bottom"/>
          </w:tcPr>
          <w:p>
            <w:pPr>
              <w:spacing w:after="0"/>
              <w:rPr>
                <w:sz w:val="1"/>
                <w:szCs w:val="1"/>
                <w:color w:val="auto"/>
              </w:rPr>
            </w:pPr>
          </w:p>
        </w:tc>
      </w:tr>
      <w:tr>
        <w:trPr>
          <w:trHeight w:val="22"/>
        </w:trPr>
        <w:tc>
          <w:tcPr>
            <w:tcW w:w="4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 (loss)</w:t>
            </w:r>
          </w:p>
        </w:tc>
        <w:tc>
          <w:tcPr>
            <w:tcW w:w="5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45</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44</w:t>
            </w:r>
          </w:p>
        </w:tc>
        <w:tc>
          <w:tcPr>
            <w:tcW w:w="0" w:type="dxa"/>
            <w:vAlign w:val="bottom"/>
          </w:tcPr>
          <w:p>
            <w:pPr>
              <w:spacing w:after="0"/>
              <w:rPr>
                <w:sz w:val="1"/>
                <w:szCs w:val="1"/>
                <w:color w:val="auto"/>
              </w:rPr>
            </w:pPr>
          </w:p>
        </w:tc>
      </w:tr>
      <w:tr>
        <w:trPr>
          <w:trHeight w:val="158"/>
        </w:trPr>
        <w:tc>
          <w:tcPr>
            <w:tcW w:w="4600" w:type="dxa"/>
            <w:vAlign w:val="bottom"/>
          </w:tcPr>
          <w:p>
            <w:pPr>
              <w:ind w:left="20"/>
              <w:spacing w:after="0"/>
              <w:rPr>
                <w:sz w:val="20"/>
                <w:szCs w:val="20"/>
                <w:color w:val="auto"/>
              </w:rPr>
            </w:pPr>
            <w:r>
              <w:rPr>
                <w:rFonts w:ascii="Arial" w:cs="Arial" w:eastAsia="Arial" w:hAnsi="Arial"/>
                <w:sz w:val="11"/>
                <w:szCs w:val="11"/>
                <w:color w:val="auto"/>
              </w:rPr>
              <w:t>Less: Pre-acquisition net (loss) income of Drop Down Assets</w:t>
            </w:r>
          </w:p>
        </w:tc>
        <w:tc>
          <w:tcPr>
            <w:tcW w:w="520" w:type="dxa"/>
            <w:vAlign w:val="bottom"/>
          </w:tcPr>
          <w:p>
            <w:pPr>
              <w:spacing w:after="0"/>
              <w:rPr>
                <w:sz w:val="13"/>
                <w:szCs w:val="1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(3)</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2"/>
        </w:trPr>
        <w:tc>
          <w:tcPr>
            <w:tcW w:w="4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Less: Income (loss) attributable to noncontrolling interests</w:t>
            </w:r>
          </w:p>
        </w:tc>
        <w:tc>
          <w:tcPr>
            <w:tcW w:w="5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58"/>
        </w:trPr>
        <w:tc>
          <w:tcPr>
            <w:tcW w:w="4600" w:type="dxa"/>
            <w:vAlign w:val="bottom"/>
          </w:tcPr>
          <w:p>
            <w:pPr>
              <w:ind w:left="20"/>
              <w:spacing w:after="0"/>
              <w:rPr>
                <w:sz w:val="20"/>
                <w:szCs w:val="20"/>
                <w:color w:val="auto"/>
              </w:rPr>
            </w:pPr>
            <w:r>
              <w:rPr>
                <w:rFonts w:ascii="Arial" w:cs="Arial" w:eastAsia="Arial" w:hAnsi="Arial"/>
                <w:sz w:val="11"/>
                <w:szCs w:val="11"/>
                <w:color w:val="auto"/>
              </w:rPr>
              <w:t>Net income attributable to NRG Yield, Inc.</w:t>
            </w:r>
          </w:p>
        </w:tc>
        <w:tc>
          <w:tcPr>
            <w:tcW w:w="520" w:type="dxa"/>
            <w:vAlign w:val="bottom"/>
          </w:tcPr>
          <w:p>
            <w:pPr>
              <w:spacing w:after="0"/>
              <w:rPr>
                <w:sz w:val="13"/>
                <w:szCs w:val="13"/>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28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240" w:type="dxa"/>
            <w:vAlign w:val="bottom"/>
          </w:tcPr>
          <w:p>
            <w:pPr>
              <w:jc w:val="right"/>
              <w:ind w:right="66"/>
              <w:spacing w:after="0"/>
              <w:rPr>
                <w:sz w:val="20"/>
                <w:szCs w:val="20"/>
                <w:color w:val="auto"/>
              </w:rPr>
            </w:pPr>
            <w:r>
              <w:rPr>
                <w:rFonts w:ascii="Arial" w:cs="Arial" w:eastAsia="Arial" w:hAnsi="Arial"/>
                <w:sz w:val="11"/>
                <w:szCs w:val="11"/>
                <w:color w:val="auto"/>
              </w:rPr>
              <w:t>28</w:t>
            </w:r>
          </w:p>
        </w:tc>
        <w:tc>
          <w:tcPr>
            <w:tcW w:w="0" w:type="dxa"/>
            <w:vAlign w:val="bottom"/>
          </w:tcPr>
          <w:p>
            <w:pPr>
              <w:spacing w:after="0"/>
              <w:rPr>
                <w:sz w:val="1"/>
                <w:szCs w:val="1"/>
                <w:color w:val="auto"/>
              </w:rPr>
            </w:pPr>
          </w:p>
        </w:tc>
      </w:tr>
      <w:tr>
        <w:trPr>
          <w:trHeight w:val="306"/>
        </w:trPr>
        <w:tc>
          <w:tcPr>
            <w:tcW w:w="4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gridSpan w:val="5"/>
          </w:tcPr>
          <w:p>
            <w:pPr>
              <w:jc w:val="right"/>
              <w:ind w:right="10"/>
              <w:spacing w:after="0"/>
              <w:rPr>
                <w:sz w:val="20"/>
                <w:szCs w:val="20"/>
                <w:color w:val="auto"/>
              </w:rPr>
            </w:pPr>
            <w:r>
              <w:rPr>
                <w:rFonts w:ascii="Arial" w:cs="Arial" w:eastAsia="Arial" w:hAnsi="Arial"/>
                <w:sz w:val="11"/>
                <w:szCs w:val="11"/>
                <w:b w:val="1"/>
                <w:bCs w:val="1"/>
                <w:color w:val="auto"/>
                <w:w w:val="88"/>
              </w:rPr>
              <w:t>Six months ended June 30, 2017</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6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36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4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spacing w:after="0"/>
              <w:rPr>
                <w:sz w:val="20"/>
                <w:szCs w:val="20"/>
                <w:color w:val="auto"/>
              </w:rPr>
            </w:pPr>
            <w:r>
              <w:rPr>
                <w:rFonts w:ascii="Arial" w:cs="Arial" w:eastAsia="Arial" w:hAnsi="Arial"/>
                <w:sz w:val="11"/>
                <w:szCs w:val="11"/>
                <w:b w:val="1"/>
                <w:bCs w:val="1"/>
                <w:color w:val="auto"/>
                <w:w w:val="90"/>
              </w:rPr>
              <w:t>Buckthorn Solar Drop</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0"/>
              </w:rPr>
              <w:t>November 2017 Drop</w:t>
            </w:r>
          </w:p>
        </w:tc>
        <w:tc>
          <w:tcPr>
            <w:tcW w:w="136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88"/>
              </w:rPr>
              <w:t>August 2017 Drop Down</w:t>
            </w: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600" w:type="dxa"/>
            <w:vAlign w:val="bottom"/>
          </w:tcPr>
          <w:p>
            <w:pPr>
              <w:spacing w:after="0"/>
              <w:rPr>
                <w:sz w:val="14"/>
                <w:szCs w:val="14"/>
                <w:color w:val="auto"/>
              </w:rPr>
            </w:pPr>
          </w:p>
        </w:tc>
        <w:tc>
          <w:tcPr>
            <w:tcW w:w="1380" w:type="dxa"/>
            <w:vAlign w:val="bottom"/>
            <w:gridSpan w:val="3"/>
          </w:tcPr>
          <w:p>
            <w:pPr>
              <w:ind w:left="60"/>
              <w:spacing w:after="0" w:line="163" w:lineRule="exact"/>
              <w:rPr>
                <w:sz w:val="20"/>
                <w:szCs w:val="20"/>
                <w:color w:val="auto"/>
              </w:rPr>
            </w:pPr>
            <w:r>
              <w:rPr>
                <w:rFonts w:ascii="Arial" w:cs="Arial" w:eastAsia="Arial" w:hAnsi="Arial"/>
                <w:sz w:val="10"/>
                <w:szCs w:val="10"/>
                <w:b w:val="1"/>
                <w:bCs w:val="1"/>
                <w:color w:val="auto"/>
              </w:rPr>
              <w:t xml:space="preserve">As Previously Reported </w:t>
            </w:r>
            <w:r>
              <w:rPr>
                <w:rFonts w:ascii="Arial" w:cs="Arial" w:eastAsia="Arial" w:hAnsi="Arial"/>
                <w:sz w:val="17"/>
                <w:szCs w:val="17"/>
                <w:b w:val="1"/>
                <w:bCs w:val="1"/>
                <w:color w:val="auto"/>
                <w:vertAlign w:val="superscript"/>
              </w:rPr>
              <w:t>(a)</w:t>
            </w:r>
          </w:p>
        </w:tc>
        <w:tc>
          <w:tcPr>
            <w:tcW w:w="100" w:type="dxa"/>
            <w:vAlign w:val="bottom"/>
          </w:tcPr>
          <w:p>
            <w:pPr>
              <w:spacing w:after="0"/>
              <w:rPr>
                <w:sz w:val="14"/>
                <w:szCs w:val="14"/>
                <w:color w:val="auto"/>
              </w:rPr>
            </w:pPr>
          </w:p>
        </w:tc>
        <w:tc>
          <w:tcPr>
            <w:tcW w:w="1120" w:type="dxa"/>
            <w:vAlign w:val="bottom"/>
          </w:tcPr>
          <w:p>
            <w:pPr>
              <w:jc w:val="center"/>
              <w:ind w:right="6"/>
              <w:spacing w:after="0"/>
              <w:rPr>
                <w:sz w:val="20"/>
                <w:szCs w:val="20"/>
                <w:color w:val="auto"/>
              </w:rPr>
            </w:pPr>
            <w:r>
              <w:rPr>
                <w:rFonts w:ascii="Arial" w:cs="Arial" w:eastAsia="Arial" w:hAnsi="Arial"/>
                <w:sz w:val="11"/>
                <w:szCs w:val="11"/>
                <w:b w:val="1"/>
                <w:bCs w:val="1"/>
                <w:color w:val="auto"/>
                <w:w w:val="85"/>
              </w:rPr>
              <w:t>Down Asset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3"/>
              </w:rPr>
              <w:t>Down Assets</w:t>
            </w:r>
          </w:p>
        </w:tc>
        <w:tc>
          <w:tcPr>
            <w:tcW w:w="8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77"/>
              </w:rPr>
              <w:t>Assets</w:t>
            </w:r>
          </w:p>
        </w:tc>
        <w:tc>
          <w:tcPr>
            <w:tcW w:w="120" w:type="dxa"/>
            <w:vAlign w:val="bottom"/>
          </w:tcPr>
          <w:p>
            <w:pPr>
              <w:spacing w:after="0"/>
              <w:rPr>
                <w:sz w:val="14"/>
                <w:szCs w:val="14"/>
                <w:color w:val="auto"/>
              </w:rPr>
            </w:pPr>
          </w:p>
        </w:tc>
        <w:tc>
          <w:tcPr>
            <w:tcW w:w="1240" w:type="dxa"/>
            <w:vAlign w:val="bottom"/>
          </w:tcPr>
          <w:p>
            <w:pPr>
              <w:jc w:val="right"/>
              <w:ind w:right="126"/>
              <w:spacing w:after="0"/>
              <w:rPr>
                <w:sz w:val="20"/>
                <w:szCs w:val="20"/>
                <w:color w:val="auto"/>
              </w:rPr>
            </w:pPr>
            <w:r>
              <w:rPr>
                <w:rFonts w:ascii="Arial" w:cs="Arial" w:eastAsia="Arial" w:hAnsi="Arial"/>
                <w:sz w:val="10"/>
                <w:szCs w:val="10"/>
                <w:b w:val="1"/>
                <w:bCs w:val="1"/>
                <w:color w:val="auto"/>
                <w:w w:val="97"/>
              </w:rPr>
              <w:t>As Currently Reported</w:t>
            </w:r>
          </w:p>
        </w:tc>
        <w:tc>
          <w:tcPr>
            <w:tcW w:w="0" w:type="dxa"/>
            <w:vAlign w:val="bottom"/>
          </w:tcPr>
          <w:p>
            <w:pPr>
              <w:spacing w:after="0"/>
              <w:rPr>
                <w:sz w:val="1"/>
                <w:szCs w:val="1"/>
                <w:color w:val="auto"/>
              </w:rPr>
            </w:pPr>
          </w:p>
        </w:tc>
      </w:tr>
      <w:tr>
        <w:trPr>
          <w:trHeight w:val="165"/>
        </w:trPr>
        <w:tc>
          <w:tcPr>
            <w:tcW w:w="4600" w:type="dxa"/>
            <w:vAlign w:val="bottom"/>
          </w:tcPr>
          <w:p>
            <w:pPr>
              <w:ind w:left="20"/>
              <w:spacing w:after="0"/>
              <w:rPr>
                <w:sz w:val="20"/>
                <w:szCs w:val="20"/>
                <w:color w:val="auto"/>
              </w:rPr>
            </w:pPr>
            <w:r>
              <w:rPr>
                <w:rFonts w:ascii="Arial" w:cs="Arial" w:eastAsia="Arial" w:hAnsi="Arial"/>
                <w:sz w:val="10"/>
                <w:szCs w:val="10"/>
                <w:b w:val="1"/>
                <w:bCs w:val="1"/>
                <w:color w:val="auto"/>
              </w:rPr>
              <w:t>(In millions)</w:t>
            </w:r>
          </w:p>
        </w:tc>
        <w:tc>
          <w:tcPr>
            <w:tcW w:w="5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operating revenues</w:t>
            </w:r>
          </w:p>
        </w:tc>
        <w:tc>
          <w:tcPr>
            <w:tcW w:w="5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502</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11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509</w:t>
            </w:r>
          </w:p>
        </w:tc>
        <w:tc>
          <w:tcPr>
            <w:tcW w:w="0" w:type="dxa"/>
            <w:vAlign w:val="bottom"/>
          </w:tcPr>
          <w:p>
            <w:pPr>
              <w:spacing w:after="0"/>
              <w:rPr>
                <w:sz w:val="1"/>
                <w:szCs w:val="1"/>
                <w:color w:val="auto"/>
              </w:rPr>
            </w:pPr>
          </w:p>
        </w:tc>
      </w:tr>
      <w:tr>
        <w:trPr>
          <w:trHeight w:val="158"/>
        </w:trPr>
        <w:tc>
          <w:tcPr>
            <w:tcW w:w="4600" w:type="dxa"/>
            <w:vAlign w:val="bottom"/>
          </w:tcPr>
          <w:p>
            <w:pPr>
              <w:ind w:left="20"/>
              <w:spacing w:after="0"/>
              <w:rPr>
                <w:sz w:val="20"/>
                <w:szCs w:val="20"/>
                <w:color w:val="auto"/>
              </w:rPr>
            </w:pPr>
            <w:r>
              <w:rPr>
                <w:rFonts w:ascii="Arial" w:cs="Arial" w:eastAsia="Arial" w:hAnsi="Arial"/>
                <w:sz w:val="11"/>
                <w:szCs w:val="11"/>
                <w:color w:val="auto"/>
              </w:rPr>
              <w:t>Operating income</w:t>
            </w:r>
          </w:p>
        </w:tc>
        <w:tc>
          <w:tcPr>
            <w:tcW w:w="520" w:type="dxa"/>
            <w:vAlign w:val="bottom"/>
          </w:tcPr>
          <w:p>
            <w:pPr>
              <w:spacing w:after="0"/>
              <w:rPr>
                <w:sz w:val="13"/>
                <w:szCs w:val="13"/>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176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240" w:type="dxa"/>
            <w:vAlign w:val="bottom"/>
          </w:tcPr>
          <w:p>
            <w:pPr>
              <w:jc w:val="right"/>
              <w:ind w:right="66"/>
              <w:spacing w:after="0"/>
              <w:rPr>
                <w:sz w:val="20"/>
                <w:szCs w:val="20"/>
                <w:color w:val="auto"/>
              </w:rPr>
            </w:pPr>
            <w:r>
              <w:rPr>
                <w:rFonts w:ascii="Arial" w:cs="Arial" w:eastAsia="Arial" w:hAnsi="Arial"/>
                <w:sz w:val="11"/>
                <w:szCs w:val="11"/>
                <w:color w:val="auto"/>
              </w:rPr>
              <w:t>179</w:t>
            </w:r>
          </w:p>
        </w:tc>
        <w:tc>
          <w:tcPr>
            <w:tcW w:w="0" w:type="dxa"/>
            <w:vAlign w:val="bottom"/>
          </w:tcPr>
          <w:p>
            <w:pPr>
              <w:spacing w:after="0"/>
              <w:rPr>
                <w:sz w:val="1"/>
                <w:szCs w:val="1"/>
                <w:color w:val="auto"/>
              </w:rPr>
            </w:pPr>
          </w:p>
        </w:tc>
      </w:tr>
      <w:tr>
        <w:trPr>
          <w:trHeight w:val="22"/>
        </w:trPr>
        <w:tc>
          <w:tcPr>
            <w:tcW w:w="4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 (loss)</w:t>
            </w:r>
          </w:p>
        </w:tc>
        <w:tc>
          <w:tcPr>
            <w:tcW w:w="5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44</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42</w:t>
            </w:r>
          </w:p>
        </w:tc>
        <w:tc>
          <w:tcPr>
            <w:tcW w:w="0" w:type="dxa"/>
            <w:vAlign w:val="bottom"/>
          </w:tcPr>
          <w:p>
            <w:pPr>
              <w:spacing w:after="0"/>
              <w:rPr>
                <w:sz w:val="1"/>
                <w:szCs w:val="1"/>
                <w:color w:val="auto"/>
              </w:rPr>
            </w:pPr>
          </w:p>
        </w:tc>
      </w:tr>
      <w:tr>
        <w:trPr>
          <w:trHeight w:val="158"/>
        </w:trPr>
        <w:tc>
          <w:tcPr>
            <w:tcW w:w="4600" w:type="dxa"/>
            <w:vAlign w:val="bottom"/>
          </w:tcPr>
          <w:p>
            <w:pPr>
              <w:ind w:left="20"/>
              <w:spacing w:after="0"/>
              <w:rPr>
                <w:sz w:val="20"/>
                <w:szCs w:val="20"/>
                <w:color w:val="auto"/>
              </w:rPr>
            </w:pPr>
            <w:r>
              <w:rPr>
                <w:rFonts w:ascii="Arial" w:cs="Arial" w:eastAsia="Arial" w:hAnsi="Arial"/>
                <w:sz w:val="11"/>
                <w:szCs w:val="11"/>
                <w:color w:val="auto"/>
              </w:rPr>
              <w:t>Less: Pre-acquisition net income (loss) of Drop Down Assets</w:t>
            </w:r>
          </w:p>
        </w:tc>
        <w:tc>
          <w:tcPr>
            <w:tcW w:w="520" w:type="dxa"/>
            <w:vAlign w:val="bottom"/>
          </w:tcPr>
          <w:p>
            <w:pPr>
              <w:spacing w:after="0"/>
              <w:rPr>
                <w:sz w:val="13"/>
                <w:szCs w:val="13"/>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12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(3)</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ind w:right="66"/>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22"/>
        </w:trPr>
        <w:tc>
          <w:tcPr>
            <w:tcW w:w="4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Less: Income (loss) attributable to noncontrolling interests</w:t>
            </w:r>
          </w:p>
        </w:tc>
        <w:tc>
          <w:tcPr>
            <w:tcW w:w="5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58"/>
        </w:trPr>
        <w:tc>
          <w:tcPr>
            <w:tcW w:w="4600" w:type="dxa"/>
            <w:vAlign w:val="bottom"/>
          </w:tcPr>
          <w:p>
            <w:pPr>
              <w:ind w:left="20"/>
              <w:spacing w:after="0"/>
              <w:rPr>
                <w:sz w:val="20"/>
                <w:szCs w:val="20"/>
                <w:color w:val="auto"/>
              </w:rPr>
            </w:pPr>
            <w:r>
              <w:rPr>
                <w:rFonts w:ascii="Arial" w:cs="Arial" w:eastAsia="Arial" w:hAnsi="Arial"/>
                <w:sz w:val="11"/>
                <w:szCs w:val="11"/>
                <w:color w:val="auto"/>
              </w:rPr>
              <w:t>Net income attributable to NRG Yield, Inc.</w:t>
            </w:r>
          </w:p>
        </w:tc>
        <w:tc>
          <w:tcPr>
            <w:tcW w:w="520" w:type="dxa"/>
            <w:vAlign w:val="bottom"/>
          </w:tcPr>
          <w:p>
            <w:pPr>
              <w:spacing w:after="0"/>
              <w:rPr>
                <w:sz w:val="13"/>
                <w:szCs w:val="13"/>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25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240" w:type="dxa"/>
            <w:vAlign w:val="bottom"/>
          </w:tcPr>
          <w:p>
            <w:pPr>
              <w:jc w:val="right"/>
              <w:ind w:right="66"/>
              <w:spacing w:after="0"/>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141859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18590" cy="5715"/>
                    </a:xfrm>
                    <a:prstGeom prst="rect">
                      <a:avLst/>
                    </a:prstGeom>
                    <a:noFill/>
                  </pic:spPr>
                </pic:pic>
              </a:graphicData>
            </a:graphic>
          </wp:anchor>
        </w:drawing>
      </w:r>
    </w:p>
    <w:p>
      <w:pPr>
        <w:spacing w:after="0" w:line="150" w:lineRule="exact"/>
        <w:rPr>
          <w:sz w:val="20"/>
          <w:szCs w:val="20"/>
          <w:color w:val="auto"/>
        </w:rPr>
      </w:pPr>
    </w:p>
    <w:p>
      <w:pPr>
        <w:ind w:left="128" w:hanging="128"/>
        <w:spacing w:after="0"/>
        <w:tabs>
          <w:tab w:leader="none" w:pos="128" w:val="left"/>
        </w:tabs>
        <w:numPr>
          <w:ilvl w:val="0"/>
          <w:numId w:val="10"/>
        </w:numPr>
        <w:rPr>
          <w:rFonts w:ascii="Arial" w:cs="Arial" w:eastAsia="Arial" w:hAnsi="Arial"/>
          <w:sz w:val="15"/>
          <w:szCs w:val="15"/>
          <w:color w:val="auto"/>
          <w:vertAlign w:val="superscript"/>
        </w:rPr>
      </w:pPr>
      <w:r>
        <w:rPr>
          <w:rFonts w:ascii="Arial" w:cs="Arial" w:eastAsia="Arial" w:hAnsi="Arial"/>
          <w:sz w:val="10"/>
          <w:szCs w:val="10"/>
          <w:color w:val="auto"/>
        </w:rPr>
        <w:t>As previously reported in the Company's Form 10-Q for the quarter ended June 30, 2017.</w:t>
      </w:r>
    </w:p>
    <w:p>
      <w:pPr>
        <w:spacing w:after="0" w:line="99" w:lineRule="exact"/>
        <w:rPr>
          <w:sz w:val="20"/>
          <w:szCs w:val="20"/>
          <w:color w:val="auto"/>
        </w:rPr>
      </w:pPr>
    </w:p>
    <w:p>
      <w:pPr>
        <w:jc w:val="both"/>
        <w:ind w:left="8" w:firstLine="270"/>
        <w:spacing w:after="0" w:line="287" w:lineRule="auto"/>
        <w:rPr>
          <w:sz w:val="20"/>
          <w:szCs w:val="20"/>
          <w:color w:val="auto"/>
        </w:rPr>
      </w:pPr>
      <w:r>
        <w:rPr>
          <w:rFonts w:ascii="Arial" w:cs="Arial" w:eastAsia="Arial" w:hAnsi="Arial"/>
          <w:sz w:val="11"/>
          <w:szCs w:val="11"/>
          <w:b w:val="1"/>
          <w:bCs w:val="1"/>
          <w:i w:val="1"/>
          <w:iCs w:val="1"/>
          <w:color w:val="auto"/>
        </w:rPr>
        <w:t xml:space="preserve">March 2017 Drop Down Assets </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On March 27, 2017, the Company acquired the following interests from NRG: (i) Agua Caliente Borrower 2 LLC, which owns a 16% interest (approximately 31% of NRG's 51% interest) in the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Agua Caliente solar farm, one of the ROFO Assets, representing ownership of approximately 46 net MW of capacity and (ii) NRG's interests in the Utah Solar Portfolio. Agua Caliente is located in Yuma County, AZ and sells power subject to a 25-year PPA with Pacific Gas and Electric, with 22 years remaining on that contract. The seven utility-scale solar farms in the Utah Solar Portfolio are owned by the following entities: Four Brothers Capital, LLC, Iron Springs Capital, LLC, and Granite Mountain Capital, LLC. These utility-scale solar farms achieved commercial operations in 2016, sell power subject to 20-year PPAs with PacifiCorp, a subsidiary of Berkshire Hathaway and are part of a tax equity structure with Dominion Solar Projects III, Inc., or Dominion, through which the Company is entitled to receive 50% of cash to be distributed, as further described below. The Company paid cash consideration</w:t>
      </w:r>
    </w:p>
    <w:p>
      <w:pPr>
        <w:spacing w:after="0" w:line="23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1488"/>
          </w:cols>
          <w:pgMar w:left="212" w:top="505" w:right="199" w:bottom="1440" w:gutter="0" w:footer="0" w:header="0"/>
        </w:sectPr>
      </w:pPr>
    </w:p>
    <w:bookmarkStart w:id="20" w:name="page21"/>
    <w:bookmarkEnd w:id="20"/>
    <w:p>
      <w:pPr>
        <w:jc w:val="both"/>
        <w:spacing w:after="0" w:line="263" w:lineRule="auto"/>
        <w:rPr>
          <w:sz w:val="20"/>
          <w:szCs w:val="20"/>
          <w:color w:val="auto"/>
        </w:rPr>
      </w:pPr>
      <w:r>
        <w:rPr>
          <w:rFonts w:ascii="Arial" w:cs="Arial" w:eastAsia="Arial" w:hAnsi="Arial"/>
          <w:sz w:val="12"/>
          <w:szCs w:val="12"/>
          <w:color w:val="auto"/>
        </w:rPr>
        <w:t xml:space="preserve">of $128 million, which includes $3 million of final net working capital adjustment received by the Company from NRG. The acquisition of the March 2017 Drop Down Assets was funded with cash on hand. The Company recorded the acquired interests as equity method investments. The Company also assumed non-recourse debt of $41 million and $287 million on Agua Caliente Borrower 2 LLC and the Utah Solar Portfolio, respectively, as well as its pro-rata share of non-recourse project-level debt of Agua Caliente Solar LLC, as further described in Note 4, </w:t>
      </w:r>
      <w:r>
        <w:rPr>
          <w:rFonts w:ascii="Arial" w:cs="Arial" w:eastAsia="Arial" w:hAnsi="Arial"/>
          <w:sz w:val="12"/>
          <w:szCs w:val="12"/>
          <w:i w:val="1"/>
          <w:iCs w:val="1"/>
          <w:color w:val="auto"/>
        </w:rPr>
        <w:t>Investments Accounted for by the Equity Method and Variable Interest Entities</w:t>
      </w:r>
      <w:r>
        <w:rPr>
          <w:rFonts w:ascii="Arial" w:cs="Arial" w:eastAsia="Arial" w:hAnsi="Arial"/>
          <w:sz w:val="12"/>
          <w:szCs w:val="12"/>
          <w:color w:val="auto"/>
        </w:rPr>
        <w:t>.</w:t>
      </w:r>
    </w:p>
    <w:p>
      <w:pPr>
        <w:spacing w:after="0" w:line="87" w:lineRule="exact"/>
        <w:rPr>
          <w:sz w:val="20"/>
          <w:szCs w:val="20"/>
          <w:color w:val="auto"/>
        </w:rPr>
      </w:pPr>
    </w:p>
    <w:p>
      <w:pPr>
        <w:jc w:val="both"/>
        <w:ind w:firstLine="261"/>
        <w:spacing w:after="0" w:line="259" w:lineRule="auto"/>
        <w:rPr>
          <w:sz w:val="20"/>
          <w:szCs w:val="20"/>
          <w:color w:val="auto"/>
        </w:rPr>
      </w:pPr>
      <w:r>
        <w:rPr>
          <w:rFonts w:ascii="Arial" w:cs="Arial" w:eastAsia="Arial" w:hAnsi="Arial"/>
          <w:sz w:val="12"/>
          <w:szCs w:val="12"/>
          <w:color w:val="auto"/>
        </w:rPr>
        <w:t xml:space="preserve">The assets and liabilities transferred to the Company relate to interests under common control by NRG and were recorded at historical cost in accordance with ASC 805-50, </w:t>
      </w:r>
      <w:r>
        <w:rPr>
          <w:rFonts w:ascii="Arial" w:cs="Arial" w:eastAsia="Arial" w:hAnsi="Arial"/>
          <w:sz w:val="12"/>
          <w:szCs w:val="12"/>
          <w:i w:val="1"/>
          <w:iCs w:val="1"/>
          <w:color w:val="auto"/>
        </w:rPr>
        <w:t>Business Combination - Related Issues.</w:t>
      </w:r>
      <w:r>
        <w:rPr>
          <w:rFonts w:ascii="Arial" w:cs="Arial" w:eastAsia="Arial" w:hAnsi="Arial"/>
          <w:sz w:val="12"/>
          <w:szCs w:val="12"/>
          <w:color w:val="auto"/>
        </w:rPr>
        <w:t xml:space="preserve"> The difference between the cash paid and the historical value of the entities' equity of $8 million was recorded as an adjustment to NRG's noncontrolling interest. Since the transaction constituted a transfer of entities under common control, the accounting guidance requires retrospective combination of the entities for all periods presented as if the combination has been in effect from the beginning of the financial statement period or from the date the entities were under common control (if later than the beginning of the financial statement period).</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Note 4 — </w:t>
      </w:r>
      <w:r>
        <w:rPr>
          <w:rFonts w:ascii="Arial" w:cs="Arial" w:eastAsia="Arial" w:hAnsi="Arial"/>
          <w:sz w:val="12"/>
          <w:szCs w:val="12"/>
          <w:b w:val="1"/>
          <w:bCs w:val="1"/>
          <w:i w:val="1"/>
          <w:iCs w:val="1"/>
          <w:color w:val="auto"/>
        </w:rPr>
        <w:t>Investments Accounted for by the Equity Method and Variable Interest Entities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Entities that are Consolidated</w:t>
      </w:r>
    </w:p>
    <w:p>
      <w:pPr>
        <w:spacing w:after="0" w:line="114"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auto"/>
        </w:rPr>
        <w:t xml:space="preserve">The Company has a controlling financial interest in certain entities which have been identified as VIEs under ASC 810, </w:t>
      </w:r>
      <w:r>
        <w:rPr>
          <w:rFonts w:ascii="Arial" w:cs="Arial" w:eastAsia="Arial" w:hAnsi="Arial"/>
          <w:sz w:val="12"/>
          <w:szCs w:val="12"/>
          <w:i w:val="1"/>
          <w:iCs w:val="1"/>
          <w:color w:val="auto"/>
        </w:rPr>
        <w:t>Consolidations,</w:t>
      </w:r>
      <w:r>
        <w:rPr>
          <w:rFonts w:ascii="Arial" w:cs="Arial" w:eastAsia="Arial" w:hAnsi="Arial"/>
          <w:sz w:val="12"/>
          <w:szCs w:val="12"/>
          <w:color w:val="auto"/>
        </w:rPr>
        <w:t xml:space="preserve"> or ASC 810. These arrangements are primarily related to tax equity arrangements entered into with third parties in order to monetize certain tax credits associated with wind facilities, as further described in Note 5, </w:t>
      </w:r>
      <w:r>
        <w:rPr>
          <w:rFonts w:ascii="Arial" w:cs="Arial" w:eastAsia="Arial" w:hAnsi="Arial"/>
          <w:sz w:val="12"/>
          <w:szCs w:val="12"/>
          <w:i w:val="1"/>
          <w:iCs w:val="1"/>
          <w:color w:val="auto"/>
        </w:rPr>
        <w:t>Investments Accounted for by the Equity Method and Variable Interest Entities,</w:t>
      </w:r>
      <w:r>
        <w:rPr>
          <w:rFonts w:ascii="Arial" w:cs="Arial" w:eastAsia="Arial" w:hAnsi="Arial"/>
          <w:sz w:val="12"/>
          <w:szCs w:val="12"/>
          <w:color w:val="auto"/>
        </w:rPr>
        <w:t xml:space="preserve"> to the consolidated financial statements included in the Company's 2017 Form 10-K.</w:t>
      </w:r>
    </w:p>
    <w:p>
      <w:pPr>
        <w:spacing w:after="0" w:line="83" w:lineRule="exact"/>
        <w:rPr>
          <w:sz w:val="20"/>
          <w:szCs w:val="20"/>
          <w:color w:val="auto"/>
        </w:rPr>
      </w:pPr>
    </w:p>
    <w:p>
      <w:pPr>
        <w:jc w:val="both"/>
        <w:ind w:firstLine="270"/>
        <w:spacing w:after="0" w:line="254" w:lineRule="auto"/>
        <w:rPr>
          <w:sz w:val="20"/>
          <w:szCs w:val="20"/>
          <w:color w:val="auto"/>
        </w:rPr>
      </w:pPr>
      <w:r>
        <w:rPr>
          <w:rFonts w:ascii="Arial" w:cs="Arial" w:eastAsia="Arial" w:hAnsi="Arial"/>
          <w:sz w:val="12"/>
          <w:szCs w:val="12"/>
          <w:b w:val="1"/>
          <w:bCs w:val="1"/>
          <w:i w:val="1"/>
          <w:iCs w:val="1"/>
          <w:color w:val="auto"/>
        </w:rPr>
        <w:t xml:space="preserve">Buckthorn Renewables, LLC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As described in Note 3,</w:t>
      </w:r>
      <w:r>
        <w:rPr>
          <w:rFonts w:ascii="Arial" w:cs="Arial" w:eastAsia="Arial" w:hAnsi="Arial"/>
          <w:sz w:val="12"/>
          <w:szCs w:val="12"/>
          <w:b w:val="1"/>
          <w:bCs w:val="1"/>
          <w:i w:val="1"/>
          <w:iCs w:val="1"/>
          <w:color w:val="auto"/>
        </w:rPr>
        <w:t xml:space="preserve"> </w:t>
      </w:r>
      <w:r>
        <w:rPr>
          <w:rFonts w:ascii="Arial" w:cs="Arial" w:eastAsia="Arial" w:hAnsi="Arial"/>
          <w:sz w:val="12"/>
          <w:szCs w:val="12"/>
          <w:i w:val="1"/>
          <w:iCs w:val="1"/>
          <w:color w:val="auto"/>
        </w:rPr>
        <w:t>Business Acquisitions</w:t>
      </w:r>
      <w:r>
        <w:rPr>
          <w:rFonts w:ascii="Arial" w:cs="Arial" w:eastAsia="Arial" w:hAnsi="Arial"/>
          <w:sz w:val="12"/>
          <w:szCs w:val="12"/>
          <w:color w:val="auto"/>
        </w:rPr>
        <w:t>, on March 30, 2018, the Company acquired 100% of NRG’s interest in a 154 MW construction-stage utility-scale solar generation project, Buckthorn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Renewables, LLC, which owns 100% interest in Buckthorn Solar Portfolio, LLC, which in turn owns 100% of the Class B membership interests in Buckthorn Holdings, LLC for total consideration of approximately $42 million, subject to working capital adjustments. The Company also assumed non-recourse debt of $183 million and non-controlling interest of $19 million attributable to the Class A member, as further described below. On May 31, 2018, $132 million of non-recourse debt was converted to a term loan with an expected maturity of May 2025, and the remainder of the non-recourse debt was repaid with final proceeds from the Class A member upon the project reaching substantial completion in May 2018. Buckthorn Holdings, LLC is a tax equity fund, which is a variable interest entity that is consolidated by Buckthorn Solar Portfolio, LLC. The Company is the primary beneficiary, through its position as managing member, and indirectly consolidates Buckthorn Holdings, LLC through Buckthorn Solar Portfolio, LLC. The Class A member is a tax equity investor who made its initial capital contribution of $19 million on March 30, 2018, which is reflected as noncontrolling interest on the Company’s consolidated balance sheet. The project achieved substantial completion in May 2018, at which time the remaining contributions in the amount of $80 million were funded. The Company utilizes the HLBV method to determine the net income or loss allocated to the tax equity investor noncontrolling interest. The Company recorded $51 million of loss attributable to its non-controlling interest in Buckthorn Renewables, LLC during the period ended June 30, 2018.</w:t>
      </w:r>
    </w:p>
    <w:p>
      <w:pPr>
        <w:spacing w:after="0" w:line="95" w:lineRule="exact"/>
        <w:rPr>
          <w:sz w:val="20"/>
          <w:szCs w:val="20"/>
          <w:color w:val="auto"/>
        </w:rPr>
      </w:pPr>
    </w:p>
    <w:p>
      <w:pPr>
        <w:ind w:left="260"/>
        <w:spacing w:after="0"/>
        <w:rPr>
          <w:sz w:val="20"/>
          <w:szCs w:val="20"/>
          <w:color w:val="auto"/>
        </w:rPr>
      </w:pPr>
      <w:r>
        <w:rPr>
          <w:rFonts w:ascii="Arial" w:cs="Arial" w:eastAsia="Arial" w:hAnsi="Arial"/>
          <w:sz w:val="12"/>
          <w:szCs w:val="12"/>
          <w:color w:val="auto"/>
        </w:rPr>
        <w:t>Summarized financial information for the Company's consolidated VIEs consisted of the following as of June 30, 2018:</w:t>
      </w:r>
    </w:p>
    <w:p>
      <w:pPr>
        <w:spacing w:after="0" w:line="93" w:lineRule="exact"/>
        <w:rPr>
          <w:sz w:val="20"/>
          <w:szCs w:val="20"/>
          <w:color w:val="auto"/>
        </w:rPr>
      </w:pPr>
    </w:p>
    <w:tbl>
      <w:tblPr>
        <w:tblLayout w:type="fixed"/>
        <w:tblInd w:w="560" w:type="dxa"/>
        <w:tblCellMar>
          <w:top w:w="0" w:type="dxa"/>
          <w:left w:w="0" w:type="dxa"/>
          <w:bottom w:w="0" w:type="dxa"/>
          <w:right w:w="0" w:type="dxa"/>
        </w:tblCellMar>
      </w:tblPr>
      <w:tr>
        <w:trPr>
          <w:trHeight w:val="115"/>
        </w:trPr>
        <w:tc>
          <w:tcPr>
            <w:tcW w:w="5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0"/>
                <w:szCs w:val="10"/>
                <w:b w:val="1"/>
                <w:bCs w:val="1"/>
                <w:color w:val="auto"/>
                <w:w w:val="89"/>
              </w:rPr>
              <w:t>Buckthorn Renewables,</w:t>
            </w:r>
          </w:p>
        </w:tc>
      </w:tr>
      <w:tr>
        <w:trPr>
          <w:trHeight w:val="128"/>
        </w:trPr>
        <w:tc>
          <w:tcPr>
            <w:tcW w:w="5480" w:type="dxa"/>
            <w:vAlign w:val="bottom"/>
          </w:tcPr>
          <w:p>
            <w:pPr>
              <w:ind w:left="20"/>
              <w:spacing w:after="0"/>
              <w:rPr>
                <w:sz w:val="20"/>
                <w:szCs w:val="20"/>
                <w:color w:val="auto"/>
              </w:rPr>
            </w:pPr>
            <w:r>
              <w:rPr>
                <w:rFonts w:ascii="Arial" w:cs="Arial" w:eastAsia="Arial" w:hAnsi="Arial"/>
                <w:sz w:val="10"/>
                <w:szCs w:val="10"/>
                <w:b w:val="1"/>
                <w:bCs w:val="1"/>
                <w:color w:val="auto"/>
              </w:rPr>
              <w:t>(In millions)</w:t>
            </w:r>
          </w:p>
        </w:tc>
        <w:tc>
          <w:tcPr>
            <w:tcW w:w="100" w:type="dxa"/>
            <w:vAlign w:val="bottom"/>
          </w:tcPr>
          <w:p>
            <w:pPr>
              <w:spacing w:after="0"/>
              <w:rPr>
                <w:sz w:val="11"/>
                <w:szCs w:val="11"/>
                <w:color w:val="auto"/>
              </w:rPr>
            </w:pPr>
          </w:p>
        </w:tc>
        <w:tc>
          <w:tcPr>
            <w:tcW w:w="1160" w:type="dxa"/>
            <w:vAlign w:val="bottom"/>
            <w:gridSpan w:val="2"/>
          </w:tcPr>
          <w:p>
            <w:pPr>
              <w:ind w:left="20"/>
              <w:spacing w:after="0"/>
              <w:rPr>
                <w:sz w:val="20"/>
                <w:szCs w:val="20"/>
                <w:color w:val="auto"/>
              </w:rPr>
            </w:pPr>
            <w:r>
              <w:rPr>
                <w:rFonts w:ascii="Arial" w:cs="Arial" w:eastAsia="Arial" w:hAnsi="Arial"/>
                <w:sz w:val="10"/>
                <w:szCs w:val="10"/>
                <w:b w:val="1"/>
                <w:bCs w:val="1"/>
                <w:color w:val="auto"/>
              </w:rPr>
              <w:t>NRG Wind TE Holdco</w:t>
            </w:r>
          </w:p>
        </w:tc>
        <w:tc>
          <w:tcPr>
            <w:tcW w:w="100" w:type="dxa"/>
            <w:vAlign w:val="bottom"/>
          </w:tcPr>
          <w:p>
            <w:pPr>
              <w:spacing w:after="0"/>
              <w:rPr>
                <w:sz w:val="11"/>
                <w:szCs w:val="11"/>
                <w:color w:val="auto"/>
              </w:rPr>
            </w:pPr>
          </w:p>
        </w:tc>
        <w:tc>
          <w:tcPr>
            <w:tcW w:w="1140" w:type="dxa"/>
            <w:vAlign w:val="bottom"/>
            <w:gridSpan w:val="2"/>
          </w:tcPr>
          <w:p>
            <w:pPr>
              <w:ind w:left="20"/>
              <w:spacing w:after="0"/>
              <w:rPr>
                <w:sz w:val="20"/>
                <w:szCs w:val="20"/>
                <w:color w:val="auto"/>
              </w:rPr>
            </w:pPr>
            <w:r>
              <w:rPr>
                <w:rFonts w:ascii="Arial" w:cs="Arial" w:eastAsia="Arial" w:hAnsi="Arial"/>
                <w:sz w:val="10"/>
                <w:szCs w:val="10"/>
                <w:b w:val="1"/>
                <w:bCs w:val="1"/>
                <w:color w:val="auto"/>
              </w:rPr>
              <w:t>Alta Wind TE Holdco</w:t>
            </w:r>
          </w:p>
        </w:tc>
        <w:tc>
          <w:tcPr>
            <w:tcW w:w="900" w:type="dxa"/>
            <w:vAlign w:val="bottom"/>
          </w:tcPr>
          <w:p>
            <w:pPr>
              <w:jc w:val="right"/>
              <w:spacing w:after="0"/>
              <w:rPr>
                <w:sz w:val="20"/>
                <w:szCs w:val="20"/>
                <w:color w:val="auto"/>
              </w:rPr>
            </w:pPr>
            <w:r>
              <w:rPr>
                <w:rFonts w:ascii="Arial" w:cs="Arial" w:eastAsia="Arial" w:hAnsi="Arial"/>
                <w:sz w:val="10"/>
                <w:szCs w:val="10"/>
                <w:b w:val="1"/>
                <w:bCs w:val="1"/>
                <w:color w:val="auto"/>
              </w:rPr>
              <w:t>Spring Canyon</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ind w:right="401"/>
              <w:spacing w:after="0"/>
              <w:rPr>
                <w:sz w:val="20"/>
                <w:szCs w:val="20"/>
                <w:color w:val="auto"/>
              </w:rPr>
            </w:pPr>
            <w:r>
              <w:rPr>
                <w:rFonts w:ascii="Arial" w:cs="Arial" w:eastAsia="Arial" w:hAnsi="Arial"/>
                <w:sz w:val="10"/>
                <w:szCs w:val="10"/>
                <w:b w:val="1"/>
                <w:bCs w:val="1"/>
                <w:color w:val="auto"/>
              </w:rPr>
              <w:t>LLC</w:t>
            </w:r>
          </w:p>
        </w:tc>
      </w:tr>
      <w:tr>
        <w:trPr>
          <w:trHeight w:val="173"/>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Other current and non-current assets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163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23</w:t>
            </w: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ind w:right="764"/>
              <w:spacing w:after="0"/>
              <w:rPr>
                <w:sz w:val="20"/>
                <w:szCs w:val="20"/>
                <w:color w:val="auto"/>
              </w:rPr>
            </w:pPr>
            <w:r>
              <w:rPr>
                <w:rFonts w:ascii="Arial" w:cs="Arial" w:eastAsia="Arial" w:hAnsi="Arial"/>
                <w:sz w:val="12"/>
                <w:szCs w:val="12"/>
                <w:color w:val="auto"/>
                <w:w w:val="89"/>
              </w:rPr>
              <w:t>$</w:t>
            </w:r>
          </w:p>
        </w:tc>
        <w:tc>
          <w:tcPr>
            <w:tcW w:w="24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24</w:t>
            </w:r>
          </w:p>
        </w:tc>
      </w:tr>
      <w:tr>
        <w:trPr>
          <w:trHeight w:val="171"/>
        </w:trPr>
        <w:tc>
          <w:tcPr>
            <w:tcW w:w="5480" w:type="dxa"/>
            <w:vAlign w:val="bottom"/>
          </w:tcPr>
          <w:p>
            <w:pPr>
              <w:ind w:left="20"/>
              <w:spacing w:after="0"/>
              <w:rPr>
                <w:sz w:val="20"/>
                <w:szCs w:val="20"/>
                <w:color w:val="auto"/>
              </w:rPr>
            </w:pPr>
            <w:r>
              <w:rPr>
                <w:rFonts w:ascii="Arial" w:cs="Arial" w:eastAsia="Arial" w:hAnsi="Arial"/>
                <w:sz w:val="12"/>
                <w:szCs w:val="12"/>
                <w:color w:val="auto"/>
              </w:rPr>
              <w:t>Property, plant and equipment</w:t>
            </w:r>
          </w:p>
        </w:tc>
        <w:tc>
          <w:tcPr>
            <w:tcW w:w="100" w:type="dxa"/>
            <w:vAlign w:val="bottom"/>
          </w:tcPr>
          <w:p>
            <w:pPr>
              <w:spacing w:after="0"/>
              <w:rPr>
                <w:sz w:val="14"/>
                <w:szCs w:val="14"/>
                <w:color w:val="auto"/>
              </w:rPr>
            </w:pPr>
          </w:p>
        </w:tc>
        <w:tc>
          <w:tcPr>
            <w:tcW w:w="1060" w:type="dxa"/>
            <w:vAlign w:val="bottom"/>
          </w:tcPr>
          <w:p>
            <w:pPr>
              <w:jc w:val="right"/>
              <w:ind w:right="61"/>
              <w:spacing w:after="0"/>
              <w:rPr>
                <w:sz w:val="20"/>
                <w:szCs w:val="20"/>
                <w:color w:val="auto"/>
              </w:rPr>
            </w:pPr>
            <w:r>
              <w:rPr>
                <w:rFonts w:ascii="Arial" w:cs="Arial" w:eastAsia="Arial" w:hAnsi="Arial"/>
                <w:sz w:val="12"/>
                <w:szCs w:val="12"/>
                <w:color w:val="auto"/>
              </w:rPr>
              <w:t>362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21"/>
              <w:spacing w:after="0"/>
              <w:rPr>
                <w:sz w:val="20"/>
                <w:szCs w:val="20"/>
                <w:color w:val="auto"/>
              </w:rPr>
            </w:pPr>
            <w:r>
              <w:rPr>
                <w:rFonts w:ascii="Arial" w:cs="Arial" w:eastAsia="Arial" w:hAnsi="Arial"/>
                <w:sz w:val="12"/>
                <w:szCs w:val="12"/>
                <w:color w:val="auto"/>
              </w:rPr>
              <w:t>423</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jc w:val="right"/>
              <w:ind w:right="40"/>
              <w:spacing w:after="0"/>
              <w:rPr>
                <w:sz w:val="20"/>
                <w:szCs w:val="20"/>
                <w:color w:val="auto"/>
              </w:rPr>
            </w:pPr>
            <w:r>
              <w:rPr>
                <w:rFonts w:ascii="Arial" w:cs="Arial" w:eastAsia="Arial" w:hAnsi="Arial"/>
                <w:sz w:val="12"/>
                <w:szCs w:val="12"/>
                <w:color w:val="auto"/>
                <w:w w:val="89"/>
              </w:rPr>
              <w:t>93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41"/>
              <w:spacing w:after="0"/>
              <w:rPr>
                <w:sz w:val="20"/>
                <w:szCs w:val="20"/>
                <w:color w:val="auto"/>
              </w:rPr>
            </w:pPr>
            <w:r>
              <w:rPr>
                <w:rFonts w:ascii="Arial" w:cs="Arial" w:eastAsia="Arial" w:hAnsi="Arial"/>
                <w:sz w:val="12"/>
                <w:szCs w:val="12"/>
                <w:color w:val="auto"/>
              </w:rPr>
              <w:t>226</w:t>
            </w:r>
          </w:p>
        </w:tc>
      </w:tr>
      <w:tr>
        <w:trPr>
          <w:trHeight w:val="180"/>
        </w:trPr>
        <w:tc>
          <w:tcPr>
            <w:tcW w:w="548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Intangible assets</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256</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99"/>
              </w:rPr>
              <w:t>—</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w:t>
            </w:r>
          </w:p>
        </w:tc>
      </w:tr>
      <w:tr>
        <w:trPr>
          <w:trHeight w:val="169"/>
        </w:trPr>
        <w:tc>
          <w:tcPr>
            <w:tcW w:w="5480" w:type="dxa"/>
            <w:vAlign w:val="bottom"/>
          </w:tcPr>
          <w:p>
            <w:pPr>
              <w:ind w:left="180"/>
              <w:spacing w:after="0"/>
              <w:rPr>
                <w:sz w:val="20"/>
                <w:szCs w:val="20"/>
                <w:color w:val="auto"/>
              </w:rPr>
            </w:pPr>
            <w:r>
              <w:rPr>
                <w:rFonts w:ascii="Arial" w:cs="Arial" w:eastAsia="Arial" w:hAnsi="Arial"/>
                <w:sz w:val="12"/>
                <w:szCs w:val="12"/>
                <w:color w:val="auto"/>
              </w:rPr>
              <w:t>Total assets</w:t>
            </w: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61"/>
              <w:spacing w:after="0"/>
              <w:rPr>
                <w:sz w:val="20"/>
                <w:szCs w:val="20"/>
                <w:color w:val="auto"/>
              </w:rPr>
            </w:pPr>
            <w:r>
              <w:rPr>
                <w:rFonts w:ascii="Arial" w:cs="Arial" w:eastAsia="Arial" w:hAnsi="Arial"/>
                <w:sz w:val="12"/>
                <w:szCs w:val="12"/>
                <w:color w:val="auto"/>
              </w:rPr>
              <w:t>527</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21"/>
              <w:spacing w:after="0"/>
              <w:rPr>
                <w:sz w:val="20"/>
                <w:szCs w:val="20"/>
                <w:color w:val="auto"/>
              </w:rPr>
            </w:pPr>
            <w:r>
              <w:rPr>
                <w:rFonts w:ascii="Arial" w:cs="Arial" w:eastAsia="Arial" w:hAnsi="Arial"/>
                <w:sz w:val="12"/>
                <w:szCs w:val="12"/>
                <w:color w:val="auto"/>
              </w:rPr>
              <w:t>702</w:t>
            </w:r>
          </w:p>
        </w:tc>
        <w:tc>
          <w:tcPr>
            <w:tcW w:w="10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jc w:val="right"/>
              <w:ind w:right="40"/>
              <w:spacing w:after="0"/>
              <w:rPr>
                <w:sz w:val="20"/>
                <w:szCs w:val="20"/>
                <w:color w:val="auto"/>
              </w:rPr>
            </w:pPr>
            <w:r>
              <w:rPr>
                <w:rFonts w:ascii="Arial" w:cs="Arial" w:eastAsia="Arial" w:hAnsi="Arial"/>
                <w:sz w:val="12"/>
                <w:szCs w:val="12"/>
                <w:color w:val="auto"/>
                <w:w w:val="89"/>
              </w:rPr>
              <w:t>94</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41"/>
              <w:spacing w:after="0"/>
              <w:rPr>
                <w:sz w:val="20"/>
                <w:szCs w:val="20"/>
                <w:color w:val="auto"/>
              </w:rPr>
            </w:pPr>
            <w:r>
              <w:rPr>
                <w:rFonts w:ascii="Arial" w:cs="Arial" w:eastAsia="Arial" w:hAnsi="Arial"/>
                <w:sz w:val="12"/>
                <w:szCs w:val="12"/>
                <w:color w:val="auto"/>
              </w:rPr>
              <w:t>250</w:t>
            </w:r>
          </w:p>
        </w:tc>
      </w:tr>
      <w:tr>
        <w:trPr>
          <w:trHeight w:val="180"/>
        </w:trPr>
        <w:tc>
          <w:tcPr>
            <w:tcW w:w="54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Current and non-current liabilities</w:t>
            </w:r>
          </w:p>
        </w:tc>
        <w:tc>
          <w:tcPr>
            <w:tcW w:w="1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184</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9</w:t>
            </w:r>
          </w:p>
        </w:tc>
        <w:tc>
          <w:tcPr>
            <w:tcW w:w="1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141</w:t>
            </w:r>
          </w:p>
        </w:tc>
      </w:tr>
      <w:tr>
        <w:trPr>
          <w:trHeight w:val="169"/>
        </w:trPr>
        <w:tc>
          <w:tcPr>
            <w:tcW w:w="5480" w:type="dxa"/>
            <w:vAlign w:val="bottom"/>
          </w:tcPr>
          <w:p>
            <w:pPr>
              <w:ind w:left="180"/>
              <w:spacing w:after="0"/>
              <w:rPr>
                <w:sz w:val="20"/>
                <w:szCs w:val="20"/>
                <w:color w:val="auto"/>
              </w:rPr>
            </w:pPr>
            <w:r>
              <w:rPr>
                <w:rFonts w:ascii="Arial" w:cs="Arial" w:eastAsia="Arial" w:hAnsi="Arial"/>
                <w:sz w:val="12"/>
                <w:szCs w:val="12"/>
                <w:color w:val="auto"/>
              </w:rPr>
              <w:t>Total liabilities</w:t>
            </w:r>
          </w:p>
        </w:tc>
        <w:tc>
          <w:tcPr>
            <w:tcW w:w="100" w:type="dxa"/>
            <w:vAlign w:val="bottom"/>
          </w:tcPr>
          <w:p>
            <w:pPr>
              <w:spacing w:after="0"/>
              <w:rPr>
                <w:sz w:val="14"/>
                <w:szCs w:val="14"/>
                <w:color w:val="auto"/>
              </w:rPr>
            </w:pPr>
          </w:p>
        </w:tc>
        <w:tc>
          <w:tcPr>
            <w:tcW w:w="1060" w:type="dxa"/>
            <w:vAlign w:val="bottom"/>
          </w:tcPr>
          <w:p>
            <w:pPr>
              <w:jc w:val="right"/>
              <w:ind w:right="61"/>
              <w:spacing w:after="0"/>
              <w:rPr>
                <w:sz w:val="20"/>
                <w:szCs w:val="20"/>
                <w:color w:val="auto"/>
              </w:rPr>
            </w:pPr>
            <w:r>
              <w:rPr>
                <w:rFonts w:ascii="Arial" w:cs="Arial" w:eastAsia="Arial" w:hAnsi="Arial"/>
                <w:sz w:val="12"/>
                <w:szCs w:val="12"/>
                <w:color w:val="auto"/>
              </w:rPr>
              <w:t>184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21"/>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jc w:val="right"/>
              <w:ind w:right="40"/>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41"/>
              <w:spacing w:after="0"/>
              <w:rPr>
                <w:sz w:val="20"/>
                <w:szCs w:val="20"/>
                <w:color w:val="auto"/>
              </w:rPr>
            </w:pPr>
            <w:r>
              <w:rPr>
                <w:rFonts w:ascii="Arial" w:cs="Arial" w:eastAsia="Arial" w:hAnsi="Arial"/>
                <w:sz w:val="12"/>
                <w:szCs w:val="12"/>
                <w:color w:val="auto"/>
              </w:rPr>
              <w:t>141</w:t>
            </w:r>
          </w:p>
        </w:tc>
      </w:tr>
      <w:tr>
        <w:trPr>
          <w:trHeight w:val="180"/>
        </w:trPr>
        <w:tc>
          <w:tcPr>
            <w:tcW w:w="54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Noncontrolling interest</w:t>
            </w:r>
          </w:p>
        </w:tc>
        <w:tc>
          <w:tcPr>
            <w:tcW w:w="1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10</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72</w:t>
            </w:r>
          </w:p>
        </w:tc>
        <w:tc>
          <w:tcPr>
            <w:tcW w:w="1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48</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48</w:t>
            </w:r>
          </w:p>
        </w:tc>
      </w:tr>
      <w:tr>
        <w:trPr>
          <w:trHeight w:val="185"/>
        </w:trPr>
        <w:tc>
          <w:tcPr>
            <w:tcW w:w="5480" w:type="dxa"/>
            <w:vAlign w:val="bottom"/>
          </w:tcPr>
          <w:p>
            <w:pPr>
              <w:ind w:left="340"/>
              <w:spacing w:after="0"/>
              <w:rPr>
                <w:sz w:val="20"/>
                <w:szCs w:val="20"/>
                <w:color w:val="auto"/>
              </w:rPr>
            </w:pPr>
            <w:r>
              <w:rPr>
                <w:rFonts w:ascii="Arial" w:cs="Arial" w:eastAsia="Arial" w:hAnsi="Arial"/>
                <w:sz w:val="12"/>
                <w:szCs w:val="12"/>
                <w:color w:val="auto"/>
              </w:rPr>
              <w:t>Net assets less noncontrolling interests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333</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621</w:t>
            </w:r>
          </w:p>
        </w:tc>
        <w:tc>
          <w:tcPr>
            <w:tcW w:w="100" w:type="dxa"/>
            <w:vAlign w:val="bottom"/>
          </w:tcPr>
          <w:p>
            <w:pPr>
              <w:spacing w:after="0"/>
              <w:rPr>
                <w:sz w:val="16"/>
                <w:szCs w:val="16"/>
                <w:color w:val="auto"/>
              </w:rPr>
            </w:pPr>
          </w:p>
        </w:tc>
        <w:tc>
          <w:tcPr>
            <w:tcW w:w="900" w:type="dxa"/>
            <w:vAlign w:val="bottom"/>
            <w:tcBorders>
              <w:bottom w:val="single" w:sz="8" w:color="auto"/>
            </w:tcBorders>
          </w:tcPr>
          <w:p>
            <w:pPr>
              <w:jc w:val="right"/>
              <w:ind w:right="764"/>
              <w:spacing w:after="0"/>
              <w:rPr>
                <w:sz w:val="20"/>
                <w:szCs w:val="20"/>
                <w:color w:val="auto"/>
              </w:rPr>
            </w:pPr>
            <w:r>
              <w:rPr>
                <w:rFonts w:ascii="Arial" w:cs="Arial" w:eastAsia="Arial" w:hAnsi="Arial"/>
                <w:sz w:val="12"/>
                <w:szCs w:val="12"/>
                <w:color w:val="auto"/>
                <w:w w:val="89"/>
              </w:rPr>
              <w:t>$</w:t>
            </w:r>
          </w:p>
        </w:tc>
        <w:tc>
          <w:tcPr>
            <w:tcW w:w="2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42</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124"/>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61</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Entities that are not Consolidated</w:t>
      </w:r>
    </w:p>
    <w:p>
      <w:pPr>
        <w:spacing w:after="0" w:line="222" w:lineRule="exact"/>
        <w:rPr>
          <w:sz w:val="20"/>
          <w:szCs w:val="20"/>
          <w:color w:val="auto"/>
        </w:rPr>
      </w:pPr>
    </w:p>
    <w:p>
      <w:pPr>
        <w:ind w:firstLine="270"/>
        <w:spacing w:after="0" w:line="323" w:lineRule="auto"/>
        <w:rPr>
          <w:sz w:val="20"/>
          <w:szCs w:val="20"/>
          <w:color w:val="auto"/>
        </w:rPr>
      </w:pPr>
      <w:r>
        <w:rPr>
          <w:rFonts w:ascii="Arial" w:cs="Arial" w:eastAsia="Arial" w:hAnsi="Arial"/>
          <w:sz w:val="11"/>
          <w:szCs w:val="11"/>
          <w:color w:val="auto"/>
        </w:rPr>
        <w:t xml:space="preserve">The Company has interests in entities that are considered VIEs under ASC 810, but for which it is not considered the primary beneficiary. The Company accounts for its interests in these entities under the equity method of accounting, as further described in Note 5, </w:t>
      </w:r>
      <w:r>
        <w:rPr>
          <w:rFonts w:ascii="Arial" w:cs="Arial" w:eastAsia="Arial" w:hAnsi="Arial"/>
          <w:sz w:val="11"/>
          <w:szCs w:val="11"/>
          <w:i w:val="1"/>
          <w:iCs w:val="1"/>
          <w:color w:val="auto"/>
        </w:rPr>
        <w:t>Investments Accounted for by the Equity Method and Variable Interest Entities,</w:t>
      </w:r>
      <w:r>
        <w:rPr>
          <w:rFonts w:ascii="Arial" w:cs="Arial" w:eastAsia="Arial" w:hAnsi="Arial"/>
          <w:sz w:val="11"/>
          <w:szCs w:val="11"/>
          <w:color w:val="auto"/>
        </w:rPr>
        <w:t xml:space="preserve"> to the consolidated financial statements included in the Company's 2017 Form 10-K.</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1480"/>
          </w:cols>
          <w:pgMar w:left="220" w:top="509" w:right="199" w:bottom="1440" w:gutter="0" w:footer="0" w:header="0"/>
        </w:sectPr>
      </w:pPr>
    </w:p>
    <w:bookmarkStart w:id="21" w:name="page22"/>
    <w:bookmarkEnd w:id="21"/>
    <w:p>
      <w:pPr>
        <w:ind w:left="260"/>
        <w:spacing w:after="0"/>
        <w:rPr>
          <w:sz w:val="20"/>
          <w:szCs w:val="20"/>
          <w:color w:val="auto"/>
        </w:rPr>
      </w:pPr>
      <w:r>
        <w:rPr>
          <w:rFonts w:ascii="Arial" w:cs="Arial" w:eastAsia="Arial" w:hAnsi="Arial"/>
          <w:sz w:val="12"/>
          <w:szCs w:val="12"/>
          <w:color w:val="auto"/>
        </w:rPr>
        <w:t>The Company's maximum exposure to loss as of June 30, 2018, is limited to its equity investment in the unconsolidated entities, as further summarized in the table below:</w:t>
      </w:r>
    </w:p>
    <w:p>
      <w:pPr>
        <w:spacing w:after="0" w:line="109" w:lineRule="exact"/>
        <w:rPr>
          <w:sz w:val="20"/>
          <w:szCs w:val="20"/>
          <w:color w:val="auto"/>
        </w:rPr>
      </w:pPr>
    </w:p>
    <w:tbl>
      <w:tblPr>
        <w:tblLayout w:type="fixed"/>
        <w:tblInd w:w="480" w:type="dxa"/>
        <w:tblCellMar>
          <w:top w:w="0" w:type="dxa"/>
          <w:left w:w="0" w:type="dxa"/>
          <w:bottom w:w="0" w:type="dxa"/>
          <w:right w:w="0" w:type="dxa"/>
        </w:tblCellMar>
      </w:tblPr>
      <w:tr>
        <w:trPr>
          <w:trHeight w:val="128"/>
        </w:trPr>
        <w:tc>
          <w:tcPr>
            <w:tcW w:w="904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(In millions)</w:t>
            </w:r>
          </w:p>
        </w:tc>
        <w:tc>
          <w:tcPr>
            <w:tcW w:w="12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121"/>
              <w:spacing w:after="0"/>
              <w:rPr>
                <w:sz w:val="20"/>
                <w:szCs w:val="20"/>
                <w:color w:val="auto"/>
              </w:rPr>
            </w:pPr>
            <w:r>
              <w:rPr>
                <w:rFonts w:ascii="Arial" w:cs="Arial" w:eastAsia="Arial" w:hAnsi="Arial"/>
                <w:sz w:val="10"/>
                <w:szCs w:val="10"/>
                <w:b w:val="1"/>
                <w:bCs w:val="1"/>
                <w:color w:val="auto"/>
                <w:w w:val="88"/>
              </w:rPr>
              <w:t>Maximum exposure to loss</w:t>
            </w:r>
          </w:p>
        </w:tc>
      </w:tr>
      <w:tr>
        <w:trPr>
          <w:trHeight w:val="173"/>
        </w:trPr>
        <w:tc>
          <w:tcPr>
            <w:tcW w:w="9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Four Brothers Solar, LLC</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209</w:t>
            </w:r>
          </w:p>
        </w:tc>
      </w:tr>
      <w:tr>
        <w:trPr>
          <w:trHeight w:val="171"/>
        </w:trPr>
        <w:tc>
          <w:tcPr>
            <w:tcW w:w="9040" w:type="dxa"/>
            <w:vAlign w:val="bottom"/>
          </w:tcPr>
          <w:p>
            <w:pPr>
              <w:ind w:left="20"/>
              <w:spacing w:after="0"/>
              <w:rPr>
                <w:sz w:val="20"/>
                <w:szCs w:val="20"/>
                <w:color w:val="auto"/>
              </w:rPr>
            </w:pPr>
            <w:r>
              <w:rPr>
                <w:rFonts w:ascii="Arial" w:cs="Arial" w:eastAsia="Arial" w:hAnsi="Arial"/>
                <w:sz w:val="12"/>
                <w:szCs w:val="12"/>
                <w:color w:val="auto"/>
              </w:rPr>
              <w:t>GenConn Energy LLC</w:t>
            </w:r>
          </w:p>
        </w:tc>
        <w:tc>
          <w:tcPr>
            <w:tcW w:w="120" w:type="dxa"/>
            <w:vAlign w:val="bottom"/>
          </w:tcPr>
          <w:p>
            <w:pPr>
              <w:spacing w:after="0"/>
              <w:rPr>
                <w:sz w:val="14"/>
                <w:szCs w:val="14"/>
                <w:color w:val="auto"/>
              </w:rPr>
            </w:pPr>
          </w:p>
        </w:tc>
        <w:tc>
          <w:tcPr>
            <w:tcW w:w="1340" w:type="dxa"/>
            <w:vAlign w:val="bottom"/>
          </w:tcPr>
          <w:p>
            <w:pPr>
              <w:jc w:val="right"/>
              <w:ind w:right="41"/>
              <w:spacing w:after="0"/>
              <w:rPr>
                <w:sz w:val="20"/>
                <w:szCs w:val="20"/>
                <w:color w:val="auto"/>
              </w:rPr>
            </w:pPr>
            <w:r>
              <w:rPr>
                <w:rFonts w:ascii="Arial" w:cs="Arial" w:eastAsia="Arial" w:hAnsi="Arial"/>
                <w:sz w:val="12"/>
                <w:szCs w:val="12"/>
                <w:color w:val="auto"/>
              </w:rPr>
              <w:t>100</w:t>
            </w:r>
          </w:p>
        </w:tc>
      </w:tr>
      <w:tr>
        <w:trPr>
          <w:trHeight w:val="189"/>
        </w:trPr>
        <w:tc>
          <w:tcPr>
            <w:tcW w:w="9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NRG DGPV Holdco 1 LLC</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81</w:t>
            </w:r>
          </w:p>
        </w:tc>
      </w:tr>
      <w:tr>
        <w:trPr>
          <w:trHeight w:val="171"/>
        </w:trPr>
        <w:tc>
          <w:tcPr>
            <w:tcW w:w="9040" w:type="dxa"/>
            <w:vAlign w:val="bottom"/>
          </w:tcPr>
          <w:p>
            <w:pPr>
              <w:ind w:left="20"/>
              <w:spacing w:after="0"/>
              <w:rPr>
                <w:sz w:val="20"/>
                <w:szCs w:val="20"/>
                <w:color w:val="auto"/>
              </w:rPr>
            </w:pPr>
            <w:r>
              <w:rPr>
                <w:rFonts w:ascii="Arial" w:cs="Arial" w:eastAsia="Arial" w:hAnsi="Arial"/>
                <w:sz w:val="12"/>
                <w:szCs w:val="12"/>
                <w:color w:val="auto"/>
              </w:rPr>
              <w:t>Granite Mountain Holdings, LLC</w:t>
            </w:r>
          </w:p>
        </w:tc>
        <w:tc>
          <w:tcPr>
            <w:tcW w:w="120" w:type="dxa"/>
            <w:vAlign w:val="bottom"/>
          </w:tcPr>
          <w:p>
            <w:pPr>
              <w:spacing w:after="0"/>
              <w:rPr>
                <w:sz w:val="14"/>
                <w:szCs w:val="14"/>
                <w:color w:val="auto"/>
              </w:rPr>
            </w:pPr>
          </w:p>
        </w:tc>
        <w:tc>
          <w:tcPr>
            <w:tcW w:w="1340" w:type="dxa"/>
            <w:vAlign w:val="bottom"/>
          </w:tcPr>
          <w:p>
            <w:pPr>
              <w:jc w:val="right"/>
              <w:ind w:right="41"/>
              <w:spacing w:after="0"/>
              <w:rPr>
                <w:sz w:val="20"/>
                <w:szCs w:val="20"/>
                <w:color w:val="auto"/>
              </w:rPr>
            </w:pPr>
            <w:r>
              <w:rPr>
                <w:rFonts w:ascii="Arial" w:cs="Arial" w:eastAsia="Arial" w:hAnsi="Arial"/>
                <w:sz w:val="12"/>
                <w:szCs w:val="12"/>
                <w:color w:val="auto"/>
              </w:rPr>
              <w:t>76</w:t>
            </w:r>
          </w:p>
        </w:tc>
      </w:tr>
      <w:tr>
        <w:trPr>
          <w:trHeight w:val="189"/>
        </w:trPr>
        <w:tc>
          <w:tcPr>
            <w:tcW w:w="9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NRG DGPV Holdco 3 LLC</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75</w:t>
            </w:r>
          </w:p>
        </w:tc>
      </w:tr>
      <w:tr>
        <w:trPr>
          <w:trHeight w:val="171"/>
        </w:trPr>
        <w:tc>
          <w:tcPr>
            <w:tcW w:w="9040" w:type="dxa"/>
            <w:vAlign w:val="bottom"/>
          </w:tcPr>
          <w:p>
            <w:pPr>
              <w:ind w:left="20"/>
              <w:spacing w:after="0"/>
              <w:rPr>
                <w:sz w:val="20"/>
                <w:szCs w:val="20"/>
                <w:color w:val="auto"/>
              </w:rPr>
            </w:pPr>
            <w:r>
              <w:rPr>
                <w:rFonts w:ascii="Arial" w:cs="Arial" w:eastAsia="Arial" w:hAnsi="Arial"/>
                <w:sz w:val="12"/>
                <w:szCs w:val="12"/>
                <w:color w:val="auto"/>
              </w:rPr>
              <w:t>NRG DGPV Holdco 2 LLC</w:t>
            </w:r>
          </w:p>
        </w:tc>
        <w:tc>
          <w:tcPr>
            <w:tcW w:w="120" w:type="dxa"/>
            <w:vAlign w:val="bottom"/>
          </w:tcPr>
          <w:p>
            <w:pPr>
              <w:spacing w:after="0"/>
              <w:rPr>
                <w:sz w:val="14"/>
                <w:szCs w:val="14"/>
                <w:color w:val="auto"/>
              </w:rPr>
            </w:pPr>
          </w:p>
        </w:tc>
        <w:tc>
          <w:tcPr>
            <w:tcW w:w="1340" w:type="dxa"/>
            <w:vAlign w:val="bottom"/>
          </w:tcPr>
          <w:p>
            <w:pPr>
              <w:jc w:val="right"/>
              <w:ind w:right="41"/>
              <w:spacing w:after="0"/>
              <w:rPr>
                <w:sz w:val="20"/>
                <w:szCs w:val="20"/>
                <w:color w:val="auto"/>
              </w:rPr>
            </w:pPr>
            <w:r>
              <w:rPr>
                <w:rFonts w:ascii="Arial" w:cs="Arial" w:eastAsia="Arial" w:hAnsi="Arial"/>
                <w:sz w:val="12"/>
                <w:szCs w:val="12"/>
                <w:color w:val="auto"/>
              </w:rPr>
              <w:t>61</w:t>
            </w:r>
          </w:p>
        </w:tc>
      </w:tr>
      <w:tr>
        <w:trPr>
          <w:trHeight w:val="189"/>
        </w:trPr>
        <w:tc>
          <w:tcPr>
            <w:tcW w:w="9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Iron Springs Holdings, LLC</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53</w:t>
            </w:r>
          </w:p>
        </w:tc>
      </w:tr>
      <w:tr>
        <w:trPr>
          <w:trHeight w:val="162"/>
        </w:trPr>
        <w:tc>
          <w:tcPr>
            <w:tcW w:w="9040" w:type="dxa"/>
            <w:vAlign w:val="bottom"/>
          </w:tcPr>
          <w:p>
            <w:pPr>
              <w:ind w:left="20"/>
              <w:spacing w:after="0"/>
              <w:rPr>
                <w:sz w:val="20"/>
                <w:szCs w:val="20"/>
                <w:color w:val="auto"/>
              </w:rPr>
            </w:pPr>
            <w:r>
              <w:rPr>
                <w:rFonts w:ascii="Arial" w:cs="Arial" w:eastAsia="Arial" w:hAnsi="Arial"/>
                <w:sz w:val="12"/>
                <w:szCs w:val="12"/>
                <w:color w:val="auto"/>
              </w:rPr>
              <w:t>NRG RPV Holdco 1 LLC</w:t>
            </w:r>
          </w:p>
        </w:tc>
        <w:tc>
          <w:tcPr>
            <w:tcW w:w="120" w:type="dxa"/>
            <w:vAlign w:val="bottom"/>
          </w:tcPr>
          <w:p>
            <w:pPr>
              <w:spacing w:after="0"/>
              <w:rPr>
                <w:sz w:val="14"/>
                <w:szCs w:val="14"/>
                <w:color w:val="auto"/>
              </w:rPr>
            </w:pPr>
          </w:p>
        </w:tc>
        <w:tc>
          <w:tcPr>
            <w:tcW w:w="1340" w:type="dxa"/>
            <w:vAlign w:val="bottom"/>
          </w:tcPr>
          <w:p>
            <w:pPr>
              <w:jc w:val="right"/>
              <w:ind w:right="41"/>
              <w:spacing w:after="0"/>
              <w:rPr>
                <w:sz w:val="20"/>
                <w:szCs w:val="20"/>
                <w:color w:val="auto"/>
              </w:rPr>
            </w:pPr>
            <w:r>
              <w:rPr>
                <w:rFonts w:ascii="Arial" w:cs="Arial" w:eastAsia="Arial" w:hAnsi="Arial"/>
                <w:sz w:val="12"/>
                <w:szCs w:val="12"/>
                <w:color w:val="auto"/>
              </w:rPr>
              <w:t>46</w:t>
            </w:r>
          </w:p>
        </w:tc>
      </w:tr>
    </w:tbl>
    <w:p>
      <w:pPr>
        <w:spacing w:after="0" w:line="113" w:lineRule="exact"/>
        <w:rPr>
          <w:sz w:val="20"/>
          <w:szCs w:val="20"/>
          <w:color w:val="auto"/>
        </w:rPr>
      </w:pPr>
    </w:p>
    <w:p>
      <w:pPr>
        <w:jc w:val="both"/>
        <w:ind w:right="20" w:firstLine="270"/>
        <w:spacing w:after="0" w:line="267" w:lineRule="auto"/>
        <w:rPr>
          <w:sz w:val="20"/>
          <w:szCs w:val="20"/>
          <w:color w:val="auto"/>
        </w:rPr>
      </w:pPr>
      <w:r>
        <w:rPr>
          <w:rFonts w:ascii="Arial" w:cs="Arial" w:eastAsia="Arial" w:hAnsi="Arial"/>
          <w:sz w:val="12"/>
          <w:szCs w:val="12"/>
          <w:b w:val="1"/>
          <w:bCs w:val="1"/>
          <w:i w:val="1"/>
          <w:iCs w:val="1"/>
          <w:color w:val="auto"/>
        </w:rPr>
        <w:t xml:space="preserve">NRG DGPV Holdco 1 LLC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Company invested $4 million of cash during the six months ended June 30, 2018 into DGPV Holdco 1 LLC and recorded $3 million due to NRG in accounts payable - affiliate as of June 30, 2018</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to be funded in tranches as the project milestones are completed. The Company owns approximately 52 MW of distributed solar capacity, based on cash to be distributed, with a weighted average remaining contract life of approximately 18 years as of June 30, 2018.</w:t>
      </w:r>
    </w:p>
    <w:p>
      <w:pPr>
        <w:spacing w:after="0" w:line="80" w:lineRule="exact"/>
        <w:rPr>
          <w:sz w:val="20"/>
          <w:szCs w:val="20"/>
          <w:color w:val="auto"/>
        </w:rPr>
      </w:pPr>
    </w:p>
    <w:p>
      <w:pPr>
        <w:jc w:val="both"/>
        <w:ind w:firstLine="270"/>
        <w:spacing w:after="0" w:line="267" w:lineRule="auto"/>
        <w:rPr>
          <w:sz w:val="20"/>
          <w:szCs w:val="20"/>
          <w:color w:val="auto"/>
        </w:rPr>
      </w:pPr>
      <w:r>
        <w:rPr>
          <w:rFonts w:ascii="Arial" w:cs="Arial" w:eastAsia="Arial" w:hAnsi="Arial"/>
          <w:sz w:val="12"/>
          <w:szCs w:val="12"/>
          <w:b w:val="1"/>
          <w:bCs w:val="1"/>
          <w:i w:val="1"/>
          <w:iCs w:val="1"/>
          <w:color w:val="auto"/>
        </w:rPr>
        <w:t xml:space="preserve">NRG DGPV Holdco 3 LLC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Company invested $12 million of cash during the six months ended June 30, 2018 into DGPV Holdco 3 LLC and recorded $10 million due to NRG in accounts payable - affiliate as of June 30,</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2018 to be funded in tranches as the project milestones are completed. The Company owns approximately 59 MW of distributed solar capacity, based on cash to be distributed, with a weighted average remaining contract life of approximately 21 years as of June 30, 2018.</w:t>
      </w:r>
    </w:p>
    <w:p>
      <w:pPr>
        <w:spacing w:after="0" w:line="80" w:lineRule="exact"/>
        <w:rPr>
          <w:sz w:val="20"/>
          <w:szCs w:val="20"/>
          <w:color w:val="auto"/>
        </w:rPr>
      </w:pPr>
    </w:p>
    <w:p>
      <w:pPr>
        <w:jc w:val="both"/>
        <w:ind w:firstLine="270"/>
        <w:spacing w:after="0" w:line="287" w:lineRule="auto"/>
        <w:rPr>
          <w:sz w:val="20"/>
          <w:szCs w:val="20"/>
          <w:color w:val="auto"/>
        </w:rPr>
      </w:pPr>
      <w:r>
        <w:rPr>
          <w:rFonts w:ascii="Arial" w:cs="Arial" w:eastAsia="Arial" w:hAnsi="Arial"/>
          <w:sz w:val="11"/>
          <w:szCs w:val="11"/>
          <w:b w:val="1"/>
          <w:bCs w:val="1"/>
          <w:i w:val="1"/>
          <w:iCs w:val="1"/>
          <w:color w:val="auto"/>
        </w:rPr>
        <w:t xml:space="preserve">Utah Solar Portfolio </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As described in Note 3,</w:t>
      </w:r>
      <w:r>
        <w:rPr>
          <w:rFonts w:ascii="Arial" w:cs="Arial" w:eastAsia="Arial" w:hAnsi="Arial"/>
          <w:sz w:val="11"/>
          <w:szCs w:val="11"/>
          <w:b w:val="1"/>
          <w:bCs w:val="1"/>
          <w:i w:val="1"/>
          <w:iCs w:val="1"/>
          <w:color w:val="auto"/>
        </w:rPr>
        <w:t xml:space="preserve"> </w:t>
      </w:r>
      <w:r>
        <w:rPr>
          <w:rFonts w:ascii="Arial" w:cs="Arial" w:eastAsia="Arial" w:hAnsi="Arial"/>
          <w:sz w:val="11"/>
          <w:szCs w:val="11"/>
          <w:i w:val="1"/>
          <w:iCs w:val="1"/>
          <w:color w:val="auto"/>
        </w:rPr>
        <w:t>Business Acquisitions</w:t>
      </w:r>
      <w:r>
        <w:rPr>
          <w:rFonts w:ascii="Arial" w:cs="Arial" w:eastAsia="Arial" w:hAnsi="Arial"/>
          <w:sz w:val="11"/>
          <w:szCs w:val="11"/>
          <w:color w:val="auto"/>
        </w:rPr>
        <w:t>, on March 27, 2017, as part of the March 2017 Drop Down Assets acquisition, the Company acquired from NRG 100% of the Class A equity interests in the Utah</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Solar Portfolio, comprised of Four Brothers Solar, LLC, Granite Mountain Holdings, LLC, and Iron Springs Holdings, LLC. The Class B interests of the Utah Solar Portfolio are owned by a tax equity investor, who receives 99% of allocations of taxable income and other items until the flip point, which occurs when the tax equity investor obtains a specified return on its initial investment, at which time the allocations to the tax equity investor change to 50%. The Company generally receives 50% of distributable cash throughout the term of the tax-equity arrangements. The three entities comprising the Utah Solar Portfolio are VIEs. As the Company is not the primary beneficiary, the Company uses the equity method of accounting to account for its interests in the Utah Solar Portfolio. The Company utilizes the HLBV method to determine its share of the income or losses in the investees.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Non-recourse project-level debt of unconsolidated affiliates</w:t>
      </w:r>
    </w:p>
    <w:p>
      <w:pPr>
        <w:spacing w:after="0" w:line="110" w:lineRule="exact"/>
        <w:rPr>
          <w:sz w:val="20"/>
          <w:szCs w:val="20"/>
          <w:color w:val="auto"/>
        </w:rPr>
      </w:pPr>
    </w:p>
    <w:p>
      <w:pPr>
        <w:jc w:val="both"/>
        <w:ind w:firstLine="270"/>
        <w:spacing w:after="0" w:line="292" w:lineRule="auto"/>
        <w:rPr>
          <w:sz w:val="20"/>
          <w:szCs w:val="20"/>
          <w:color w:val="auto"/>
        </w:rPr>
      </w:pPr>
      <w:r>
        <w:rPr>
          <w:rFonts w:ascii="Arial" w:cs="Arial" w:eastAsia="Arial" w:hAnsi="Arial"/>
          <w:sz w:val="11"/>
          <w:szCs w:val="11"/>
          <w:b w:val="1"/>
          <w:bCs w:val="1"/>
          <w:i w:val="1"/>
          <w:iCs w:val="1"/>
          <w:color w:val="auto"/>
        </w:rPr>
        <w:t xml:space="preserve">Agua Caliente Financing </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As described in Note 3,</w:t>
      </w:r>
      <w:r>
        <w:rPr>
          <w:rFonts w:ascii="Arial" w:cs="Arial" w:eastAsia="Arial" w:hAnsi="Arial"/>
          <w:sz w:val="11"/>
          <w:szCs w:val="11"/>
          <w:b w:val="1"/>
          <w:bCs w:val="1"/>
          <w:i w:val="1"/>
          <w:iCs w:val="1"/>
          <w:color w:val="auto"/>
        </w:rPr>
        <w:t xml:space="preserve"> </w:t>
      </w:r>
      <w:r>
        <w:rPr>
          <w:rFonts w:ascii="Arial" w:cs="Arial" w:eastAsia="Arial" w:hAnsi="Arial"/>
          <w:sz w:val="11"/>
          <w:szCs w:val="11"/>
          <w:i w:val="1"/>
          <w:iCs w:val="1"/>
          <w:color w:val="auto"/>
        </w:rPr>
        <w:t>Business Acquisitions</w:t>
      </w:r>
      <w:r>
        <w:rPr>
          <w:rFonts w:ascii="Arial" w:cs="Arial" w:eastAsia="Arial" w:hAnsi="Arial"/>
          <w:sz w:val="11"/>
          <w:szCs w:val="11"/>
          <w:color w:val="auto"/>
        </w:rPr>
        <w:t>, on March 27, 2017, the Company acquired a 16% interest in the Agua Caliente solar facility through its acquisition of Agua Caliente Borrower 2 LLC. As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of June 30, 2018, Agua Caliente Solar LLC, the direct owner of the Agua Caliente solar facility, had $812 million outstanding under the Agua Caliente financing agreement with the Federal Financing Bank, or FFB, borrowed to finance the costs of constructing the facility. The Company's pro-rata share of the Agua Caliente financing arrangement was $130 million as of June 30, 2018. Amounts borrowed under the Agua Caliente financing agreement accrue interest at a fixed rate based on U.S. Treasury rates plus a spread of 0.375%, mature in 2037 and are secured by the assets of Agua Caliente Solar LLC. The loans provided by the FFB are guaranteed by the U.S. DOE.</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Note 5 — </w:t>
      </w:r>
      <w:r>
        <w:rPr>
          <w:rFonts w:ascii="Arial" w:cs="Arial" w:eastAsia="Arial" w:hAnsi="Arial"/>
          <w:sz w:val="12"/>
          <w:szCs w:val="12"/>
          <w:b w:val="1"/>
          <w:bCs w:val="1"/>
          <w:i w:val="1"/>
          <w:iCs w:val="1"/>
          <w:color w:val="auto"/>
        </w:rPr>
        <w:t>Fair Value of Financial Instruments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Fair Value Accounting under ASC 820</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2"/>
          <w:szCs w:val="12"/>
          <w:color w:val="auto"/>
        </w:rPr>
        <w:t>ASC 820 establishes a fair value hierarchy that prioritizes the inputs to valuation techniques used to measure fair value into three levels as follows:</w:t>
      </w:r>
    </w:p>
    <w:p>
      <w:pPr>
        <w:spacing w:after="0" w:line="42" w:lineRule="exact"/>
        <w:rPr>
          <w:sz w:val="20"/>
          <w:szCs w:val="20"/>
          <w:color w:val="auto"/>
        </w:rPr>
      </w:pPr>
    </w:p>
    <w:p>
      <w:pPr>
        <w:ind w:left="800" w:hanging="159"/>
        <w:spacing w:after="0"/>
        <w:tabs>
          <w:tab w:leader="none" w:pos="8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Level 1—quoted prices (unadjusted) in active markets for identical assets or liabilities that the Company has the ability to access as of the measurement date.</w:t>
      </w:r>
    </w:p>
    <w:p>
      <w:pPr>
        <w:spacing w:after="0" w:line="42" w:lineRule="exact"/>
        <w:rPr>
          <w:rFonts w:ascii="Arial" w:cs="Arial" w:eastAsia="Arial" w:hAnsi="Arial"/>
          <w:sz w:val="12"/>
          <w:szCs w:val="12"/>
          <w:color w:val="auto"/>
        </w:rPr>
      </w:pPr>
    </w:p>
    <w:p>
      <w:pPr>
        <w:ind w:left="800" w:hanging="159"/>
        <w:spacing w:after="0"/>
        <w:tabs>
          <w:tab w:leader="none" w:pos="8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Level 2—inputs other than quoted prices included within Level 1 that are directly observable for the asset or liability or indirectly observable through corroboration with observable market data.</w:t>
      </w:r>
    </w:p>
    <w:p>
      <w:pPr>
        <w:spacing w:after="0" w:line="42" w:lineRule="exact"/>
        <w:rPr>
          <w:rFonts w:ascii="Arial" w:cs="Arial" w:eastAsia="Arial" w:hAnsi="Arial"/>
          <w:sz w:val="12"/>
          <w:szCs w:val="12"/>
          <w:color w:val="auto"/>
        </w:rPr>
      </w:pPr>
    </w:p>
    <w:p>
      <w:pPr>
        <w:ind w:left="800" w:hanging="159"/>
        <w:spacing w:after="0"/>
        <w:tabs>
          <w:tab w:leader="none" w:pos="8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Level 3—unobservable inputs for the asset or liability only used when there is little, if any, market activity for the asset or liability at the measurement date.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1480"/>
          </w:cols>
          <w:pgMar w:left="220" w:top="509" w:right="199" w:bottom="1440" w:gutter="0" w:footer="0" w:header="0"/>
        </w:sectPr>
      </w:pPr>
    </w:p>
    <w:bookmarkStart w:id="22" w:name="page23"/>
    <w:bookmarkEnd w:id="22"/>
    <w:p>
      <w:pPr>
        <w:ind w:left="268"/>
        <w:spacing w:after="0"/>
        <w:rPr>
          <w:sz w:val="20"/>
          <w:szCs w:val="20"/>
          <w:color w:val="auto"/>
        </w:rPr>
      </w:pPr>
      <w:r>
        <w:rPr>
          <w:rFonts w:ascii="Arial" w:cs="Arial" w:eastAsia="Arial" w:hAnsi="Arial"/>
          <w:sz w:val="10"/>
          <w:szCs w:val="10"/>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137" w:lineRule="exact"/>
        <w:rPr>
          <w:sz w:val="20"/>
          <w:szCs w:val="20"/>
          <w:color w:val="auto"/>
        </w:rPr>
      </w:pPr>
    </w:p>
    <w:p>
      <w:pPr>
        <w:ind w:left="8" w:firstLine="270"/>
        <w:spacing w:after="0" w:line="276" w:lineRule="auto"/>
        <w:rPr>
          <w:sz w:val="20"/>
          <w:szCs w:val="20"/>
          <w:color w:val="auto"/>
        </w:rPr>
      </w:pPr>
      <w:r>
        <w:rPr>
          <w:rFonts w:ascii="Arial" w:cs="Arial" w:eastAsia="Arial" w:hAnsi="Arial"/>
          <w:sz w:val="12"/>
          <w:szCs w:val="12"/>
          <w:color w:val="auto"/>
        </w:rPr>
        <w:t>For cash and cash equivalents, restricted cash, accounts receivable, accounts receivable — affiliate, accounts payable, current portion of the accounts payable — affiliates, accrued expenses and other liabilities, the carrying amounts approximate fair value because of the short-term maturity of those instruments and are classified as Level 1 within the fair value hierarchy.</w:t>
      </w:r>
    </w:p>
    <w:p>
      <w:pPr>
        <w:spacing w:after="0" w:line="79" w:lineRule="exact"/>
        <w:rPr>
          <w:sz w:val="20"/>
          <w:szCs w:val="20"/>
          <w:color w:val="auto"/>
        </w:rPr>
      </w:pPr>
    </w:p>
    <w:p>
      <w:pPr>
        <w:ind w:left="268"/>
        <w:spacing w:after="0"/>
        <w:rPr>
          <w:sz w:val="20"/>
          <w:szCs w:val="20"/>
          <w:color w:val="auto"/>
        </w:rPr>
      </w:pPr>
      <w:r>
        <w:rPr>
          <w:rFonts w:ascii="Arial" w:cs="Arial" w:eastAsia="Arial" w:hAnsi="Arial"/>
          <w:sz w:val="12"/>
          <w:szCs w:val="12"/>
          <w:color w:val="auto"/>
        </w:rPr>
        <w:t>The estimated carrying amounts and fair values of the Company’s recorded financial instruments not carried at fair market value are as follows:</w:t>
      </w:r>
    </w:p>
    <w:p>
      <w:pPr>
        <w:spacing w:after="0" w:line="154"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60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As of June 30, 2018</w:t>
            </w:r>
          </w:p>
        </w:tc>
        <w:tc>
          <w:tcPr>
            <w:tcW w:w="8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460" w:type="dxa"/>
            <w:vAlign w:val="bottom"/>
            <w:tcBorders>
              <w:bottom w:val="single" w:sz="8" w:color="auto"/>
            </w:tcBorders>
            <w:gridSpan w:val="3"/>
          </w:tcPr>
          <w:p>
            <w:pPr>
              <w:jc w:val="right"/>
              <w:ind w:right="744"/>
              <w:spacing w:after="0"/>
              <w:rPr>
                <w:sz w:val="20"/>
                <w:szCs w:val="20"/>
                <w:color w:val="auto"/>
              </w:rPr>
            </w:pPr>
            <w:r>
              <w:rPr>
                <w:rFonts w:ascii="Arial" w:cs="Arial" w:eastAsia="Arial" w:hAnsi="Arial"/>
                <w:sz w:val="10"/>
                <w:szCs w:val="10"/>
                <w:b w:val="1"/>
                <w:bCs w:val="1"/>
                <w:color w:val="auto"/>
              </w:rPr>
              <w:t>As of December 31, 2017</w:t>
            </w:r>
          </w:p>
        </w:tc>
      </w:tr>
      <w:tr>
        <w:trPr>
          <w:trHeight w:val="165"/>
        </w:trPr>
        <w:tc>
          <w:tcPr>
            <w:tcW w:w="60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26"/>
              <w:spacing w:after="0"/>
              <w:rPr>
                <w:sz w:val="20"/>
                <w:szCs w:val="20"/>
                <w:color w:val="auto"/>
              </w:rPr>
            </w:pPr>
            <w:r>
              <w:rPr>
                <w:rFonts w:ascii="Arial" w:cs="Arial" w:eastAsia="Arial" w:hAnsi="Arial"/>
                <w:sz w:val="10"/>
                <w:szCs w:val="10"/>
                <w:b w:val="1"/>
                <w:bCs w:val="1"/>
                <w:color w:val="auto"/>
                <w:w w:val="97"/>
              </w:rPr>
              <w:t>Carrying Amount</w:t>
            </w:r>
          </w:p>
        </w:tc>
        <w:tc>
          <w:tcPr>
            <w:tcW w:w="5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rPr>
              <w:t>Fair Value</w:t>
            </w: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06"/>
              <w:spacing w:after="0"/>
              <w:rPr>
                <w:sz w:val="20"/>
                <w:szCs w:val="20"/>
                <w:color w:val="auto"/>
              </w:rPr>
            </w:pPr>
            <w:r>
              <w:rPr>
                <w:rFonts w:ascii="Arial" w:cs="Arial" w:eastAsia="Arial" w:hAnsi="Arial"/>
                <w:sz w:val="10"/>
                <w:szCs w:val="10"/>
                <w:b w:val="1"/>
                <w:bCs w:val="1"/>
                <w:color w:val="auto"/>
              </w:rPr>
              <w:t>Carrying Amount</w:t>
            </w: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44"/>
              <w:spacing w:after="0"/>
              <w:rPr>
                <w:sz w:val="20"/>
                <w:szCs w:val="20"/>
                <w:color w:val="auto"/>
              </w:rPr>
            </w:pPr>
            <w:r>
              <w:rPr>
                <w:rFonts w:ascii="Arial" w:cs="Arial" w:eastAsia="Arial" w:hAnsi="Arial"/>
                <w:sz w:val="10"/>
                <w:szCs w:val="10"/>
                <w:b w:val="1"/>
                <w:bCs w:val="1"/>
                <w:color w:val="auto"/>
              </w:rPr>
              <w:t>Fair Value</w:t>
            </w:r>
          </w:p>
        </w:tc>
      </w:tr>
      <w:tr>
        <w:trPr>
          <w:trHeight w:val="173"/>
        </w:trPr>
        <w:tc>
          <w:tcPr>
            <w:tcW w:w="6080" w:type="dxa"/>
            <w:vAlign w:val="bottom"/>
          </w:tcPr>
          <w:p>
            <w:pPr>
              <w:ind w:left="20"/>
              <w:spacing w:after="0"/>
              <w:rPr>
                <w:sz w:val="20"/>
                <w:szCs w:val="20"/>
                <w:color w:val="auto"/>
              </w:rPr>
            </w:pPr>
            <w:r>
              <w:rPr>
                <w:rFonts w:ascii="Arial" w:cs="Arial" w:eastAsia="Arial" w:hAnsi="Arial"/>
                <w:sz w:val="10"/>
                <w:szCs w:val="10"/>
                <w:b w:val="1"/>
                <w:bCs w:val="1"/>
                <w:color w:val="auto"/>
              </w:rPr>
              <w:t>(In millions)</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4"/>
        </w:trPr>
        <w:tc>
          <w:tcPr>
            <w:tcW w:w="60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Assets:</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71"/>
        </w:trPr>
        <w:tc>
          <w:tcPr>
            <w:tcW w:w="6080" w:type="dxa"/>
            <w:vAlign w:val="bottom"/>
          </w:tcPr>
          <w:p>
            <w:pPr>
              <w:ind w:left="100"/>
              <w:spacing w:after="0"/>
              <w:rPr>
                <w:sz w:val="20"/>
                <w:szCs w:val="20"/>
                <w:color w:val="auto"/>
              </w:rPr>
            </w:pPr>
            <w:r>
              <w:rPr>
                <w:rFonts w:ascii="Arial" w:cs="Arial" w:eastAsia="Arial" w:hAnsi="Arial"/>
                <w:sz w:val="12"/>
                <w:szCs w:val="12"/>
                <w:color w:val="auto"/>
              </w:rPr>
              <w:t>Notes receivable</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66"/>
              <w:spacing w:after="0"/>
              <w:rPr>
                <w:sz w:val="20"/>
                <w:szCs w:val="20"/>
                <w:color w:val="auto"/>
              </w:rPr>
            </w:pPr>
            <w:r>
              <w:rPr>
                <w:rFonts w:ascii="Arial" w:cs="Arial" w:eastAsia="Arial" w:hAnsi="Arial"/>
                <w:sz w:val="12"/>
                <w:szCs w:val="12"/>
                <w:color w:val="auto"/>
              </w:rPr>
              <w:t>6</w:t>
            </w:r>
          </w:p>
        </w:tc>
        <w:tc>
          <w:tcPr>
            <w:tcW w:w="50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64"/>
              <w:spacing w:after="0"/>
              <w:rPr>
                <w:sz w:val="20"/>
                <w:szCs w:val="20"/>
                <w:color w:val="auto"/>
              </w:rPr>
            </w:pPr>
            <w:r>
              <w:rPr>
                <w:rFonts w:ascii="Arial" w:cs="Arial" w:eastAsia="Arial" w:hAnsi="Arial"/>
                <w:sz w:val="12"/>
                <w:szCs w:val="12"/>
                <w:color w:val="auto"/>
              </w:rPr>
              <w:t>6</w:t>
            </w:r>
          </w:p>
        </w:tc>
        <w:tc>
          <w:tcPr>
            <w:tcW w:w="120" w:type="dxa"/>
            <w:vAlign w:val="bottom"/>
          </w:tcPr>
          <w:p>
            <w:pPr>
              <w:spacing w:after="0"/>
              <w:rPr>
                <w:sz w:val="14"/>
                <w:szCs w:val="14"/>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66"/>
              <w:spacing w:after="0"/>
              <w:rPr>
                <w:sz w:val="20"/>
                <w:szCs w:val="20"/>
                <w:color w:val="auto"/>
              </w:rPr>
            </w:pPr>
            <w:r>
              <w:rPr>
                <w:rFonts w:ascii="Arial" w:cs="Arial" w:eastAsia="Arial" w:hAnsi="Arial"/>
                <w:sz w:val="12"/>
                <w:szCs w:val="12"/>
                <w:color w:val="auto"/>
              </w:rPr>
              <w:t>13</w:t>
            </w:r>
          </w:p>
        </w:tc>
        <w:tc>
          <w:tcPr>
            <w:tcW w:w="3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64"/>
              <w:spacing w:after="0"/>
              <w:rPr>
                <w:sz w:val="20"/>
                <w:szCs w:val="20"/>
                <w:color w:val="auto"/>
              </w:rPr>
            </w:pPr>
            <w:r>
              <w:rPr>
                <w:rFonts w:ascii="Arial" w:cs="Arial" w:eastAsia="Arial" w:hAnsi="Arial"/>
                <w:sz w:val="12"/>
                <w:szCs w:val="12"/>
                <w:color w:val="auto"/>
              </w:rPr>
              <w:t>13</w:t>
            </w:r>
          </w:p>
        </w:tc>
      </w:tr>
      <w:tr>
        <w:trPr>
          <w:trHeight w:val="189"/>
        </w:trPr>
        <w:tc>
          <w:tcPr>
            <w:tcW w:w="60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Liabilities:</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26"/>
        </w:trPr>
        <w:tc>
          <w:tcPr>
            <w:tcW w:w="6080" w:type="dxa"/>
            <w:vAlign w:val="bottom"/>
          </w:tcPr>
          <w:p>
            <w:pPr>
              <w:ind w:left="100"/>
              <w:spacing w:after="0"/>
              <w:rPr>
                <w:sz w:val="20"/>
                <w:szCs w:val="20"/>
                <w:color w:val="auto"/>
              </w:rPr>
            </w:pPr>
            <w:r>
              <w:rPr>
                <w:rFonts w:ascii="Arial" w:cs="Arial" w:eastAsia="Arial" w:hAnsi="Arial"/>
                <w:sz w:val="12"/>
                <w:szCs w:val="12"/>
                <w:color w:val="auto"/>
              </w:rPr>
              <w:t xml:space="preserve">Long-term debt, including current portion </w:t>
            </w:r>
            <w:r>
              <w:rPr>
                <w:rFonts w:ascii="Arial" w:cs="Arial" w:eastAsia="Arial" w:hAnsi="Arial"/>
                <w:sz w:val="16"/>
                <w:szCs w:val="16"/>
                <w:color w:val="auto"/>
                <w:vertAlign w:val="superscript"/>
              </w:rPr>
              <w:t>(a)</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66"/>
              <w:spacing w:after="0"/>
              <w:rPr>
                <w:sz w:val="20"/>
                <w:szCs w:val="20"/>
                <w:color w:val="auto"/>
              </w:rPr>
            </w:pPr>
            <w:r>
              <w:rPr>
                <w:rFonts w:ascii="Arial" w:cs="Arial" w:eastAsia="Arial" w:hAnsi="Arial"/>
                <w:sz w:val="12"/>
                <w:szCs w:val="12"/>
                <w:color w:val="auto"/>
              </w:rPr>
              <w:t>5,957</w:t>
            </w:r>
          </w:p>
        </w:tc>
        <w:tc>
          <w:tcPr>
            <w:tcW w:w="50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64"/>
              <w:spacing w:after="0"/>
              <w:rPr>
                <w:sz w:val="20"/>
                <w:szCs w:val="20"/>
                <w:color w:val="auto"/>
              </w:rPr>
            </w:pPr>
            <w:r>
              <w:rPr>
                <w:rFonts w:ascii="Arial" w:cs="Arial" w:eastAsia="Arial" w:hAnsi="Arial"/>
                <w:sz w:val="12"/>
                <w:szCs w:val="12"/>
                <w:color w:val="auto"/>
              </w:rPr>
              <w:t>5,936</w:t>
            </w:r>
          </w:p>
        </w:tc>
        <w:tc>
          <w:tcPr>
            <w:tcW w:w="120" w:type="dxa"/>
            <w:vAlign w:val="bottom"/>
          </w:tcPr>
          <w:p>
            <w:pPr>
              <w:spacing w:after="0"/>
              <w:rPr>
                <w:sz w:val="19"/>
                <w:szCs w:val="19"/>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66"/>
              <w:spacing w:after="0"/>
              <w:rPr>
                <w:sz w:val="20"/>
                <w:szCs w:val="20"/>
                <w:color w:val="auto"/>
              </w:rPr>
            </w:pPr>
            <w:r>
              <w:rPr>
                <w:rFonts w:ascii="Arial" w:cs="Arial" w:eastAsia="Arial" w:hAnsi="Arial"/>
                <w:sz w:val="12"/>
                <w:szCs w:val="12"/>
                <w:color w:val="auto"/>
              </w:rPr>
              <w:t>6,066</w:t>
            </w:r>
          </w:p>
        </w:tc>
        <w:tc>
          <w:tcPr>
            <w:tcW w:w="3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64"/>
              <w:spacing w:after="0"/>
              <w:rPr>
                <w:sz w:val="20"/>
                <w:szCs w:val="20"/>
                <w:color w:val="auto"/>
              </w:rPr>
            </w:pPr>
            <w:r>
              <w:rPr>
                <w:rFonts w:ascii="Arial" w:cs="Arial" w:eastAsia="Arial" w:hAnsi="Arial"/>
                <w:sz w:val="12"/>
                <w:szCs w:val="12"/>
                <w:color w:val="auto"/>
              </w:rPr>
              <w:t>6,099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1424305"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24305" cy="5715"/>
                    </a:xfrm>
                    <a:prstGeom prst="rect">
                      <a:avLst/>
                    </a:prstGeom>
                    <a:noFill/>
                  </pic:spPr>
                </pic:pic>
              </a:graphicData>
            </a:graphic>
          </wp:anchor>
        </w:drawing>
      </w:r>
    </w:p>
    <w:p>
      <w:pPr>
        <w:spacing w:after="0" w:line="137" w:lineRule="exact"/>
        <w:rPr>
          <w:sz w:val="20"/>
          <w:szCs w:val="20"/>
          <w:color w:val="auto"/>
        </w:rPr>
      </w:pPr>
    </w:p>
    <w:p>
      <w:pPr>
        <w:ind w:left="88" w:hanging="88"/>
        <w:spacing w:after="0"/>
        <w:tabs>
          <w:tab w:leader="none" w:pos="88" w:val="left"/>
        </w:tabs>
        <w:numPr>
          <w:ilvl w:val="0"/>
          <w:numId w:val="12"/>
        </w:numPr>
        <w:rPr>
          <w:rFonts w:ascii="Arial" w:cs="Arial" w:eastAsia="Arial" w:hAnsi="Arial"/>
          <w:sz w:val="6"/>
          <w:szCs w:val="6"/>
          <w:color w:val="auto"/>
        </w:rPr>
      </w:pPr>
      <w:r>
        <w:rPr>
          <w:rFonts w:ascii="Arial" w:cs="Arial" w:eastAsia="Arial" w:hAnsi="Arial"/>
          <w:sz w:val="10"/>
          <w:szCs w:val="10"/>
          <w:color w:val="auto"/>
        </w:rPr>
        <w:t>Excludes deferred financing costs, which are recorded as a reduction to long-term debt on the Company's consolidated balance sheets.</w:t>
      </w:r>
    </w:p>
    <w:p>
      <w:pPr>
        <w:spacing w:after="0" w:line="141" w:lineRule="exact"/>
        <w:rPr>
          <w:sz w:val="20"/>
          <w:szCs w:val="20"/>
          <w:color w:val="auto"/>
        </w:rPr>
      </w:pPr>
    </w:p>
    <w:p>
      <w:pPr>
        <w:jc w:val="both"/>
        <w:ind w:left="8" w:firstLine="270"/>
        <w:spacing w:after="0" w:line="298" w:lineRule="auto"/>
        <w:rPr>
          <w:sz w:val="20"/>
          <w:szCs w:val="20"/>
          <w:color w:val="auto"/>
        </w:rPr>
      </w:pPr>
      <w:r>
        <w:rPr>
          <w:rFonts w:ascii="Arial" w:cs="Arial" w:eastAsia="Arial" w:hAnsi="Arial"/>
          <w:sz w:val="11"/>
          <w:szCs w:val="11"/>
          <w:color w:val="auto"/>
        </w:rPr>
        <w:t>The fair value of the Company's publicly-traded long-term debt is based on quoted market prices and is classified as Level 2 within the fair value hierarchy. The fair value of debt securities,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 as of June 30, 2018 and December 31, 2017:</w:t>
      </w:r>
    </w:p>
    <w:p>
      <w:pPr>
        <w:spacing w:after="0" w:line="217"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60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As of June 30, 2018</w:t>
            </w:r>
          </w:p>
        </w:tc>
        <w:tc>
          <w:tcPr>
            <w:tcW w:w="8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As of December 31, 2017</w:t>
            </w:r>
          </w:p>
        </w:tc>
        <w:tc>
          <w:tcPr>
            <w:tcW w:w="780" w:type="dxa"/>
            <w:vAlign w:val="bottom"/>
            <w:tcBorders>
              <w:bottom w:val="single" w:sz="8" w:color="auto"/>
            </w:tcBorders>
          </w:tcPr>
          <w:p>
            <w:pPr>
              <w:spacing w:after="0"/>
              <w:rPr>
                <w:sz w:val="11"/>
                <w:szCs w:val="11"/>
                <w:color w:val="auto"/>
              </w:rPr>
            </w:pPr>
          </w:p>
        </w:tc>
      </w:tr>
      <w:tr>
        <w:trPr>
          <w:trHeight w:val="169"/>
        </w:trPr>
        <w:tc>
          <w:tcPr>
            <w:tcW w:w="60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0"/>
                <w:szCs w:val="10"/>
                <w:b w:val="1"/>
                <w:bCs w:val="1"/>
                <w:color w:val="auto"/>
              </w:rPr>
              <w:t>Level 2</w:t>
            </w:r>
          </w:p>
        </w:tc>
        <w:tc>
          <w:tcPr>
            <w:tcW w:w="5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Level 3</w:t>
            </w: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28"/>
              <w:spacing w:after="0"/>
              <w:rPr>
                <w:sz w:val="20"/>
                <w:szCs w:val="20"/>
                <w:color w:val="auto"/>
              </w:rPr>
            </w:pPr>
            <w:r>
              <w:rPr>
                <w:rFonts w:ascii="Arial" w:cs="Arial" w:eastAsia="Arial" w:hAnsi="Arial"/>
                <w:sz w:val="10"/>
                <w:szCs w:val="10"/>
                <w:b w:val="1"/>
                <w:bCs w:val="1"/>
                <w:color w:val="auto"/>
              </w:rPr>
              <w:t>Level 2</w:t>
            </w:r>
          </w:p>
        </w:tc>
        <w:tc>
          <w:tcPr>
            <w:tcW w:w="5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26"/>
              <w:spacing w:after="0"/>
              <w:rPr>
                <w:sz w:val="20"/>
                <w:szCs w:val="20"/>
                <w:color w:val="auto"/>
              </w:rPr>
            </w:pPr>
            <w:r>
              <w:rPr>
                <w:rFonts w:ascii="Arial" w:cs="Arial" w:eastAsia="Arial" w:hAnsi="Arial"/>
                <w:sz w:val="10"/>
                <w:szCs w:val="10"/>
                <w:b w:val="1"/>
                <w:bCs w:val="1"/>
                <w:color w:val="auto"/>
                <w:w w:val="82"/>
              </w:rPr>
              <w:t>Level 3</w:t>
            </w:r>
          </w:p>
        </w:tc>
      </w:tr>
      <w:tr>
        <w:trPr>
          <w:trHeight w:val="124"/>
        </w:trPr>
        <w:tc>
          <w:tcPr>
            <w:tcW w:w="6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0"/>
                <w:szCs w:val="10"/>
                <w:b w:val="1"/>
                <w:bCs w:val="1"/>
                <w:color w:val="auto"/>
              </w:rPr>
              <w:t>(In millions)</w:t>
            </w:r>
          </w:p>
        </w:tc>
        <w:tc>
          <w:tcPr>
            <w:tcW w:w="9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84"/>
        </w:trPr>
        <w:tc>
          <w:tcPr>
            <w:tcW w:w="60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Long-term debt, including current portion</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2"/>
                <w:szCs w:val="12"/>
                <w:color w:val="auto"/>
              </w:rPr>
              <w:t>1,456</w:t>
            </w:r>
          </w:p>
        </w:tc>
        <w:tc>
          <w:tcPr>
            <w:tcW w:w="52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2"/>
                <w:szCs w:val="12"/>
                <w:color w:val="auto"/>
              </w:rPr>
              <w:t>4,480</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2"/>
                <w:szCs w:val="12"/>
                <w:color w:val="auto"/>
              </w:rPr>
              <w:t>1,502</w:t>
            </w:r>
          </w:p>
        </w:tc>
        <w:tc>
          <w:tcPr>
            <w:tcW w:w="58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66"/>
              <w:spacing w:after="0"/>
              <w:rPr>
                <w:sz w:val="20"/>
                <w:szCs w:val="20"/>
                <w:color w:val="auto"/>
              </w:rPr>
            </w:pPr>
            <w:r>
              <w:rPr>
                <w:rFonts w:ascii="Arial" w:cs="Arial" w:eastAsia="Arial" w:hAnsi="Arial"/>
                <w:sz w:val="12"/>
                <w:szCs w:val="12"/>
                <w:color w:val="auto"/>
              </w:rPr>
              <w:t>4,597</w:t>
            </w:r>
          </w:p>
        </w:tc>
      </w:tr>
    </w:tbl>
    <w:p>
      <w:pPr>
        <w:spacing w:after="0" w:line="99"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Recurring Fair Value Measurements</w:t>
      </w:r>
    </w:p>
    <w:p>
      <w:pPr>
        <w:spacing w:after="0" w:line="114" w:lineRule="exact"/>
        <w:rPr>
          <w:sz w:val="20"/>
          <w:szCs w:val="20"/>
          <w:color w:val="auto"/>
        </w:rPr>
      </w:pPr>
    </w:p>
    <w:p>
      <w:pPr>
        <w:jc w:val="both"/>
        <w:ind w:left="8" w:right="20" w:firstLine="270"/>
        <w:spacing w:after="0" w:line="276" w:lineRule="auto"/>
        <w:rPr>
          <w:sz w:val="20"/>
          <w:szCs w:val="20"/>
          <w:color w:val="auto"/>
        </w:rPr>
      </w:pPr>
      <w:r>
        <w:rPr>
          <w:rFonts w:ascii="Arial" w:cs="Arial" w:eastAsia="Arial" w:hAnsi="Arial"/>
          <w:sz w:val="12"/>
          <w:szCs w:val="12"/>
          <w:color w:val="auto"/>
        </w:rPr>
        <w:t>The Company records its derivative assets and liabilities at fair value on its consolidated balance sheet. The following table presents assets and liabilities measured and recorded at fair value on the Company's consolidated balance sheets on a recurring basis and their level within the fair value hierarchy:</w:t>
      </w:r>
    </w:p>
    <w:p>
      <w:pPr>
        <w:spacing w:after="0" w:line="190"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7460" w:type="dxa"/>
            <w:vAlign w:val="bottom"/>
          </w:tcPr>
          <w:p>
            <w:pPr>
              <w:spacing w:after="0"/>
              <w:rPr>
                <w:sz w:val="11"/>
                <w:szCs w:val="11"/>
                <w:color w:val="auto"/>
              </w:rPr>
            </w:pPr>
          </w:p>
        </w:tc>
        <w:tc>
          <w:tcPr>
            <w:tcW w:w="1460" w:type="dxa"/>
            <w:vAlign w:val="bottom"/>
            <w:tcBorders>
              <w:bottom w:val="single" w:sz="8" w:color="auto"/>
            </w:tcBorders>
          </w:tcPr>
          <w:p>
            <w:pPr>
              <w:jc w:val="center"/>
              <w:ind w:left="327"/>
              <w:spacing w:after="0"/>
              <w:rPr>
                <w:sz w:val="20"/>
                <w:szCs w:val="20"/>
                <w:color w:val="auto"/>
              </w:rPr>
            </w:pPr>
            <w:r>
              <w:rPr>
                <w:rFonts w:ascii="Arial" w:cs="Arial" w:eastAsia="Arial" w:hAnsi="Arial"/>
                <w:sz w:val="10"/>
                <w:szCs w:val="10"/>
                <w:b w:val="1"/>
                <w:bCs w:val="1"/>
                <w:color w:val="auto"/>
                <w:w w:val="86"/>
              </w:rPr>
              <w:t>As of June 30, 2018</w:t>
            </w:r>
          </w:p>
        </w:tc>
        <w:tc>
          <w:tcPr>
            <w:tcW w:w="3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tcPr>
          <w:p>
            <w:pPr>
              <w:jc w:val="center"/>
              <w:ind w:right="244"/>
              <w:spacing w:after="0"/>
              <w:rPr>
                <w:sz w:val="20"/>
                <w:szCs w:val="20"/>
                <w:color w:val="auto"/>
              </w:rPr>
            </w:pPr>
            <w:r>
              <w:rPr>
                <w:rFonts w:ascii="Arial" w:cs="Arial" w:eastAsia="Arial" w:hAnsi="Arial"/>
                <w:sz w:val="10"/>
                <w:szCs w:val="10"/>
                <w:b w:val="1"/>
                <w:bCs w:val="1"/>
                <w:color w:val="auto"/>
                <w:w w:val="86"/>
              </w:rPr>
              <w:t>As of December 31, 2017</w:t>
            </w:r>
          </w:p>
        </w:tc>
      </w:tr>
      <w:tr>
        <w:trPr>
          <w:trHeight w:val="160"/>
        </w:trPr>
        <w:tc>
          <w:tcPr>
            <w:tcW w:w="7460" w:type="dxa"/>
            <w:vAlign w:val="bottom"/>
          </w:tcPr>
          <w:p>
            <w:pPr>
              <w:spacing w:after="0"/>
              <w:rPr>
                <w:sz w:val="13"/>
                <w:szCs w:val="13"/>
                <w:color w:val="auto"/>
              </w:rPr>
            </w:pPr>
          </w:p>
        </w:tc>
        <w:tc>
          <w:tcPr>
            <w:tcW w:w="1460" w:type="dxa"/>
            <w:vAlign w:val="bottom"/>
            <w:tcBorders>
              <w:bottom w:val="single" w:sz="8" w:color="auto"/>
            </w:tcBorders>
          </w:tcPr>
          <w:p>
            <w:pPr>
              <w:jc w:val="center"/>
              <w:ind w:left="327"/>
              <w:spacing w:after="0"/>
              <w:rPr>
                <w:sz w:val="20"/>
                <w:szCs w:val="20"/>
                <w:color w:val="auto"/>
              </w:rPr>
            </w:pPr>
            <w:r>
              <w:rPr>
                <w:rFonts w:ascii="Arial" w:cs="Arial" w:eastAsia="Arial" w:hAnsi="Arial"/>
                <w:sz w:val="10"/>
                <w:szCs w:val="10"/>
                <w:b w:val="1"/>
                <w:bCs w:val="1"/>
                <w:color w:val="auto"/>
                <w:w w:val="91"/>
              </w:rPr>
              <w:t xml:space="preserve">Fair Value </w:t>
            </w:r>
            <w:r>
              <w:rPr>
                <w:rFonts w:ascii="Arial" w:cs="Arial" w:eastAsia="Arial" w:hAnsi="Arial"/>
                <w:sz w:val="5"/>
                <w:szCs w:val="5"/>
                <w:b w:val="1"/>
                <w:bCs w:val="1"/>
                <w:color w:val="auto"/>
                <w:w w:val="91"/>
              </w:rPr>
              <w:t>(a)</w:t>
            </w:r>
          </w:p>
        </w:tc>
        <w:tc>
          <w:tcPr>
            <w:tcW w:w="3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center"/>
              <w:ind w:right="244"/>
              <w:spacing w:after="0"/>
              <w:rPr>
                <w:sz w:val="20"/>
                <w:szCs w:val="20"/>
                <w:color w:val="auto"/>
              </w:rPr>
            </w:pPr>
            <w:r>
              <w:rPr>
                <w:rFonts w:ascii="Arial" w:cs="Arial" w:eastAsia="Arial" w:hAnsi="Arial"/>
                <w:sz w:val="10"/>
                <w:szCs w:val="10"/>
                <w:b w:val="1"/>
                <w:bCs w:val="1"/>
                <w:color w:val="auto"/>
                <w:w w:val="95"/>
              </w:rPr>
              <w:t xml:space="preserve">Fair Value </w:t>
            </w:r>
            <w:r>
              <w:rPr>
                <w:rFonts w:ascii="Arial" w:cs="Arial" w:eastAsia="Arial" w:hAnsi="Arial"/>
                <w:sz w:val="5"/>
                <w:szCs w:val="5"/>
                <w:b w:val="1"/>
                <w:bCs w:val="1"/>
                <w:color w:val="auto"/>
                <w:w w:val="95"/>
              </w:rPr>
              <w:t>(a)</w:t>
            </w:r>
          </w:p>
        </w:tc>
      </w:tr>
      <w:tr>
        <w:trPr>
          <w:trHeight w:val="160"/>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(In millions)</w:t>
            </w:r>
          </w:p>
        </w:tc>
        <w:tc>
          <w:tcPr>
            <w:tcW w:w="1460" w:type="dxa"/>
            <w:vAlign w:val="bottom"/>
            <w:tcBorders>
              <w:bottom w:val="single" w:sz="8" w:color="auto"/>
            </w:tcBorders>
          </w:tcPr>
          <w:p>
            <w:pPr>
              <w:jc w:val="center"/>
              <w:ind w:left="347"/>
              <w:spacing w:after="0"/>
              <w:rPr>
                <w:sz w:val="20"/>
                <w:szCs w:val="20"/>
                <w:color w:val="auto"/>
              </w:rPr>
            </w:pPr>
            <w:r>
              <w:rPr>
                <w:rFonts w:ascii="Arial" w:cs="Arial" w:eastAsia="Arial" w:hAnsi="Arial"/>
                <w:sz w:val="10"/>
                <w:szCs w:val="10"/>
                <w:b w:val="1"/>
                <w:bCs w:val="1"/>
                <w:color w:val="auto"/>
                <w:w w:val="88"/>
              </w:rPr>
              <w:t>Level 2</w:t>
            </w:r>
          </w:p>
        </w:tc>
        <w:tc>
          <w:tcPr>
            <w:tcW w:w="38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center"/>
              <w:ind w:right="244"/>
              <w:spacing w:after="0"/>
              <w:rPr>
                <w:sz w:val="20"/>
                <w:szCs w:val="20"/>
                <w:color w:val="auto"/>
              </w:rPr>
            </w:pPr>
            <w:r>
              <w:rPr>
                <w:rFonts w:ascii="Arial" w:cs="Arial" w:eastAsia="Arial" w:hAnsi="Arial"/>
                <w:sz w:val="10"/>
                <w:szCs w:val="10"/>
                <w:b w:val="1"/>
                <w:bCs w:val="1"/>
                <w:color w:val="auto"/>
                <w:w w:val="88"/>
              </w:rPr>
              <w:t>Level 2</w:t>
            </w:r>
          </w:p>
        </w:tc>
      </w:tr>
      <w:tr>
        <w:trPr>
          <w:trHeight w:val="173"/>
        </w:trPr>
        <w:tc>
          <w:tcPr>
            <w:tcW w:w="74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Derivative assets:</w:t>
            </w:r>
          </w:p>
        </w:tc>
        <w:tc>
          <w:tcPr>
            <w:tcW w:w="1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r>
      <w:tr>
        <w:trPr>
          <w:trHeight w:val="171"/>
        </w:trPr>
        <w:tc>
          <w:tcPr>
            <w:tcW w:w="7460" w:type="dxa"/>
            <w:vAlign w:val="bottom"/>
          </w:tcPr>
          <w:p>
            <w:pPr>
              <w:jc w:val="center"/>
              <w:ind w:right="5881"/>
              <w:spacing w:after="0"/>
              <w:rPr>
                <w:sz w:val="20"/>
                <w:szCs w:val="20"/>
                <w:color w:val="auto"/>
              </w:rPr>
            </w:pPr>
            <w:r>
              <w:rPr>
                <w:rFonts w:ascii="Arial" w:cs="Arial" w:eastAsia="Arial" w:hAnsi="Arial"/>
                <w:sz w:val="12"/>
                <w:szCs w:val="12"/>
                <w:color w:val="auto"/>
                <w:w w:val="92"/>
              </w:rPr>
              <w:t>Commodity contracts</w:t>
            </w:r>
          </w:p>
        </w:tc>
        <w:tc>
          <w:tcPr>
            <w:tcW w:w="1460" w:type="dxa"/>
            <w:vAlign w:val="bottom"/>
          </w:tcPr>
          <w:p>
            <w:pPr>
              <w:jc w:val="right"/>
              <w:ind w:right="1327"/>
              <w:spacing w:after="0"/>
              <w:rPr>
                <w:sz w:val="20"/>
                <w:szCs w:val="20"/>
                <w:color w:val="auto"/>
              </w:rPr>
            </w:pPr>
            <w:r>
              <w:rPr>
                <w:rFonts w:ascii="Arial" w:cs="Arial" w:eastAsia="Arial" w:hAnsi="Arial"/>
                <w:sz w:val="12"/>
                <w:szCs w:val="12"/>
                <w:color w:val="auto"/>
                <w:w w:val="89"/>
              </w:rPr>
              <w:t>$</w:t>
            </w:r>
          </w:p>
        </w:tc>
        <w:tc>
          <w:tcPr>
            <w:tcW w:w="5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760" w:type="dxa"/>
            <w:vAlign w:val="bottom"/>
          </w:tcPr>
          <w:p>
            <w:pPr>
              <w:jc w:val="right"/>
              <w:ind w:right="64"/>
              <w:spacing w:after="0"/>
              <w:rPr>
                <w:sz w:val="20"/>
                <w:szCs w:val="20"/>
                <w:color w:val="auto"/>
              </w:rPr>
            </w:pPr>
            <w:r>
              <w:rPr>
                <w:rFonts w:ascii="Arial" w:cs="Arial" w:eastAsia="Arial" w:hAnsi="Arial"/>
                <w:sz w:val="12"/>
                <w:szCs w:val="12"/>
                <w:color w:val="auto"/>
              </w:rPr>
              <w:t>1</w:t>
            </w:r>
          </w:p>
        </w:tc>
      </w:tr>
      <w:tr>
        <w:trPr>
          <w:trHeight w:val="180"/>
        </w:trPr>
        <w:tc>
          <w:tcPr>
            <w:tcW w:w="7460" w:type="dxa"/>
            <w:vAlign w:val="bottom"/>
            <w:shd w:val="clear" w:color="auto" w:fill="CCEEFF"/>
          </w:tcPr>
          <w:p>
            <w:pPr>
              <w:jc w:val="center"/>
              <w:ind w:right="5881"/>
              <w:spacing w:after="0"/>
              <w:rPr>
                <w:sz w:val="20"/>
                <w:szCs w:val="20"/>
                <w:color w:val="auto"/>
              </w:rPr>
            </w:pPr>
            <w:r>
              <w:rPr>
                <w:rFonts w:ascii="Arial" w:cs="Arial" w:eastAsia="Arial" w:hAnsi="Arial"/>
                <w:sz w:val="12"/>
                <w:szCs w:val="12"/>
                <w:color w:val="auto"/>
                <w:w w:val="89"/>
              </w:rPr>
              <w:t>Interest rate contracts</w:t>
            </w:r>
          </w:p>
        </w:tc>
        <w:tc>
          <w:tcPr>
            <w:tcW w:w="146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24</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2"/>
                <w:szCs w:val="12"/>
                <w:color w:val="auto"/>
              </w:rPr>
              <w:t>1</w:t>
            </w:r>
          </w:p>
        </w:tc>
      </w:tr>
      <w:tr>
        <w:trPr>
          <w:trHeight w:val="185"/>
        </w:trPr>
        <w:tc>
          <w:tcPr>
            <w:tcW w:w="7460" w:type="dxa"/>
            <w:vAlign w:val="bottom"/>
            <w:tcBorders>
              <w:bottom w:val="single" w:sz="8" w:color="CCEEFF"/>
            </w:tcBorders>
          </w:tcPr>
          <w:p>
            <w:pPr>
              <w:ind w:left="380"/>
              <w:spacing w:after="0"/>
              <w:rPr>
                <w:sz w:val="20"/>
                <w:szCs w:val="20"/>
                <w:color w:val="auto"/>
              </w:rPr>
            </w:pPr>
            <w:r>
              <w:rPr>
                <w:rFonts w:ascii="Arial" w:cs="Arial" w:eastAsia="Arial" w:hAnsi="Arial"/>
                <w:sz w:val="12"/>
                <w:szCs w:val="12"/>
                <w:b w:val="1"/>
                <w:bCs w:val="1"/>
                <w:color w:val="auto"/>
              </w:rPr>
              <w:t>Total assets</w:t>
            </w:r>
          </w:p>
        </w:tc>
        <w:tc>
          <w:tcPr>
            <w:tcW w:w="14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64"/>
              <w:spacing w:after="0"/>
              <w:rPr>
                <w:sz w:val="20"/>
                <w:szCs w:val="20"/>
                <w:color w:val="auto"/>
              </w:rPr>
            </w:pPr>
            <w:r>
              <w:rPr>
                <w:rFonts w:ascii="Arial" w:cs="Arial" w:eastAsia="Arial" w:hAnsi="Arial"/>
                <w:sz w:val="12"/>
                <w:szCs w:val="12"/>
                <w:color w:val="auto"/>
              </w:rPr>
              <w:t>2</w:t>
            </w:r>
          </w:p>
        </w:tc>
      </w:tr>
      <w:tr>
        <w:trPr>
          <w:trHeight w:val="180"/>
        </w:trPr>
        <w:tc>
          <w:tcPr>
            <w:tcW w:w="74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Derivative liabilities:</w:t>
            </w:r>
          </w:p>
        </w:tc>
        <w:tc>
          <w:tcPr>
            <w:tcW w:w="1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r>
      <w:tr>
        <w:trPr>
          <w:trHeight w:val="171"/>
        </w:trPr>
        <w:tc>
          <w:tcPr>
            <w:tcW w:w="7460" w:type="dxa"/>
            <w:vAlign w:val="bottom"/>
          </w:tcPr>
          <w:p>
            <w:pPr>
              <w:jc w:val="center"/>
              <w:ind w:right="5881"/>
              <w:spacing w:after="0"/>
              <w:rPr>
                <w:sz w:val="20"/>
                <w:szCs w:val="20"/>
                <w:color w:val="auto"/>
              </w:rPr>
            </w:pPr>
            <w:r>
              <w:rPr>
                <w:rFonts w:ascii="Arial" w:cs="Arial" w:eastAsia="Arial" w:hAnsi="Arial"/>
                <w:sz w:val="12"/>
                <w:szCs w:val="12"/>
                <w:color w:val="auto"/>
                <w:w w:val="92"/>
              </w:rPr>
              <w:t>Commodity contracts</w:t>
            </w:r>
          </w:p>
        </w:tc>
        <w:tc>
          <w:tcPr>
            <w:tcW w:w="1460" w:type="dxa"/>
            <w:vAlign w:val="bottom"/>
          </w:tcPr>
          <w:p>
            <w:pPr>
              <w:spacing w:after="0"/>
              <w:rPr>
                <w:sz w:val="14"/>
                <w:szCs w:val="14"/>
                <w:color w:val="auto"/>
              </w:rPr>
            </w:pPr>
          </w:p>
        </w:tc>
        <w:tc>
          <w:tcPr>
            <w:tcW w:w="380" w:type="dxa"/>
            <w:vAlign w:val="bottom"/>
          </w:tcPr>
          <w:p>
            <w:pPr>
              <w:jc w:val="right"/>
              <w:ind w:right="60"/>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tcPr>
          <w:p>
            <w:pPr>
              <w:jc w:val="right"/>
              <w:ind w:right="64"/>
              <w:spacing w:after="0"/>
              <w:rPr>
                <w:sz w:val="20"/>
                <w:szCs w:val="20"/>
                <w:color w:val="auto"/>
              </w:rPr>
            </w:pPr>
            <w:r>
              <w:rPr>
                <w:rFonts w:ascii="Arial" w:cs="Arial" w:eastAsia="Arial" w:hAnsi="Arial"/>
                <w:sz w:val="12"/>
                <w:szCs w:val="12"/>
                <w:color w:val="auto"/>
              </w:rPr>
              <w:t>1</w:t>
            </w:r>
          </w:p>
        </w:tc>
      </w:tr>
      <w:tr>
        <w:trPr>
          <w:trHeight w:val="180"/>
        </w:trPr>
        <w:tc>
          <w:tcPr>
            <w:tcW w:w="7460" w:type="dxa"/>
            <w:vAlign w:val="bottom"/>
            <w:shd w:val="clear" w:color="auto" w:fill="CCEEFF"/>
          </w:tcPr>
          <w:p>
            <w:pPr>
              <w:jc w:val="center"/>
              <w:ind w:right="5881"/>
              <w:spacing w:after="0"/>
              <w:rPr>
                <w:sz w:val="20"/>
                <w:szCs w:val="20"/>
                <w:color w:val="auto"/>
              </w:rPr>
            </w:pPr>
            <w:r>
              <w:rPr>
                <w:rFonts w:ascii="Arial" w:cs="Arial" w:eastAsia="Arial" w:hAnsi="Arial"/>
                <w:sz w:val="12"/>
                <w:szCs w:val="12"/>
                <w:color w:val="auto"/>
                <w:w w:val="89"/>
              </w:rPr>
              <w:t>Interest rate contracts</w:t>
            </w:r>
          </w:p>
        </w:tc>
        <w:tc>
          <w:tcPr>
            <w:tcW w:w="146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17</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2"/>
                <w:szCs w:val="12"/>
                <w:color w:val="auto"/>
              </w:rPr>
              <w:t>48</w:t>
            </w:r>
          </w:p>
        </w:tc>
      </w:tr>
      <w:tr>
        <w:trPr>
          <w:trHeight w:val="185"/>
        </w:trPr>
        <w:tc>
          <w:tcPr>
            <w:tcW w:w="7460" w:type="dxa"/>
            <w:vAlign w:val="bottom"/>
          </w:tcPr>
          <w:p>
            <w:pPr>
              <w:jc w:val="center"/>
              <w:ind w:right="5881"/>
              <w:spacing w:after="0"/>
              <w:rPr>
                <w:sz w:val="20"/>
                <w:szCs w:val="20"/>
                <w:color w:val="auto"/>
              </w:rPr>
            </w:pPr>
            <w:r>
              <w:rPr>
                <w:rFonts w:ascii="Arial" w:cs="Arial" w:eastAsia="Arial" w:hAnsi="Arial"/>
                <w:sz w:val="12"/>
                <w:szCs w:val="12"/>
                <w:b w:val="1"/>
                <w:bCs w:val="1"/>
                <w:color w:val="auto"/>
                <w:w w:val="91"/>
              </w:rPr>
              <w:t>Total liabilities</w:t>
            </w:r>
          </w:p>
        </w:tc>
        <w:tc>
          <w:tcPr>
            <w:tcW w:w="1460" w:type="dxa"/>
            <w:vAlign w:val="bottom"/>
            <w:tcBorders>
              <w:bottom w:val="single" w:sz="8" w:color="auto"/>
            </w:tcBorders>
          </w:tcPr>
          <w:p>
            <w:pPr>
              <w:jc w:val="right"/>
              <w:ind w:right="1327"/>
              <w:spacing w:after="0"/>
              <w:rPr>
                <w:sz w:val="20"/>
                <w:szCs w:val="20"/>
                <w:color w:val="auto"/>
              </w:rPr>
            </w:pPr>
            <w:r>
              <w:rPr>
                <w:rFonts w:ascii="Arial" w:cs="Arial" w:eastAsia="Arial" w:hAnsi="Arial"/>
                <w:sz w:val="12"/>
                <w:szCs w:val="12"/>
                <w:color w:val="auto"/>
                <w:w w:val="89"/>
              </w:rPr>
              <w:t>$</w:t>
            </w:r>
          </w:p>
        </w:tc>
        <w:tc>
          <w:tcPr>
            <w:tcW w:w="3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18</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1760" w:type="dxa"/>
            <w:vAlign w:val="bottom"/>
            <w:tcBorders>
              <w:bottom w:val="single" w:sz="8" w:color="auto"/>
            </w:tcBorders>
          </w:tcPr>
          <w:p>
            <w:pPr>
              <w:jc w:val="right"/>
              <w:ind w:right="64"/>
              <w:spacing w:after="0"/>
              <w:rPr>
                <w:sz w:val="20"/>
                <w:szCs w:val="20"/>
                <w:color w:val="auto"/>
              </w:rPr>
            </w:pPr>
            <w:r>
              <w:rPr>
                <w:rFonts w:ascii="Arial" w:cs="Arial" w:eastAsia="Arial" w:hAnsi="Arial"/>
                <w:sz w:val="12"/>
                <w:szCs w:val="12"/>
                <w:color w:val="auto"/>
              </w:rPr>
              <w:t>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131445</wp:posOffset>
            </wp:positionV>
            <wp:extent cx="1424305"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24305" cy="5715"/>
                    </a:xfrm>
                    <a:prstGeom prst="rect">
                      <a:avLst/>
                    </a:prstGeom>
                    <a:noFill/>
                  </pic:spPr>
                </pic:pic>
              </a:graphicData>
            </a:graphic>
          </wp:anchor>
        </w:drawing>
      </w:r>
    </w:p>
    <w:p>
      <w:pPr>
        <w:spacing w:after="0" w:line="214" w:lineRule="exact"/>
        <w:rPr>
          <w:sz w:val="20"/>
          <w:szCs w:val="20"/>
          <w:color w:val="auto"/>
        </w:rPr>
      </w:pPr>
    </w:p>
    <w:p>
      <w:pPr>
        <w:ind w:left="108" w:hanging="108"/>
        <w:spacing w:after="0"/>
        <w:tabs>
          <w:tab w:leader="none" w:pos="108" w:val="left"/>
        </w:tabs>
        <w:numPr>
          <w:ilvl w:val="0"/>
          <w:numId w:val="13"/>
        </w:numPr>
        <w:rPr>
          <w:rFonts w:ascii="Arial" w:cs="Arial" w:eastAsia="Arial" w:hAnsi="Arial"/>
          <w:sz w:val="13"/>
          <w:szCs w:val="13"/>
          <w:color w:val="auto"/>
          <w:vertAlign w:val="superscript"/>
        </w:rPr>
      </w:pPr>
      <w:r>
        <w:rPr>
          <w:rFonts w:ascii="Arial" w:cs="Arial" w:eastAsia="Arial" w:hAnsi="Arial"/>
          <w:sz w:val="10"/>
          <w:szCs w:val="10"/>
          <w:color w:val="auto"/>
        </w:rPr>
        <w:t>There were no derivative assets or liabilities classified as Level 1 or Level 3 as of June 30, 2018 and December 31, 2017.</w:t>
      </w:r>
    </w:p>
    <w:p>
      <w:pPr>
        <w:spacing w:after="0" w:line="25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1488"/>
          </w:cols>
          <w:pgMar w:left="212" w:top="509" w:right="199" w:bottom="1440" w:gutter="0" w:footer="0" w:header="0"/>
        </w:sectPr>
      </w:pPr>
    </w:p>
    <w:bookmarkStart w:id="23" w:name="page24"/>
    <w:bookmarkEnd w:id="23"/>
    <w:p>
      <w:pPr>
        <w:spacing w:after="0"/>
        <w:rPr>
          <w:sz w:val="20"/>
          <w:szCs w:val="20"/>
          <w:color w:val="auto"/>
        </w:rPr>
      </w:pPr>
      <w:r>
        <w:rPr>
          <w:rFonts w:ascii="Arial" w:cs="Arial" w:eastAsia="Arial" w:hAnsi="Arial"/>
          <w:sz w:val="12"/>
          <w:szCs w:val="12"/>
          <w:b w:val="1"/>
          <w:bCs w:val="1"/>
          <w:i w:val="1"/>
          <w:iCs w:val="1"/>
          <w:color w:val="auto"/>
        </w:rPr>
        <w:t>Derivative Fair Value Measurements</w:t>
      </w:r>
    </w:p>
    <w:p>
      <w:pPr>
        <w:spacing w:after="0" w:line="114"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The Company's contracts are non-exchange-traded and valued using prices provided by external sources. For the Company’s energy markets, management receives quotes from multiple sources. To the extent that multiple quotes are received, the prices reflect the average of the bid-ask mid-point prices obtained from all sources believed to provide the most liquid market for the commodity.</w:t>
      </w:r>
    </w:p>
    <w:p>
      <w:pPr>
        <w:spacing w:after="0" w:line="79"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2"/>
          <w:szCs w:val="12"/>
          <w:color w:val="auto"/>
        </w:rPr>
        <w:t>The fair value of each contract is discounted using a risk 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NRG's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June 30, 2018, the credit reserve was $1 million in interest expense. It is possible that future market prices could vary from those used in recording assets and liabilities and such variations could be material.</w:t>
      </w:r>
    </w:p>
    <w:p>
      <w:pPr>
        <w:spacing w:after="0" w:line="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Concentration of Credit Risk</w:t>
      </w:r>
    </w:p>
    <w:p>
      <w:pPr>
        <w:spacing w:after="0" w:line="96"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2"/>
          <w:szCs w:val="12"/>
          <w:color w:val="auto"/>
        </w:rPr>
        <w:t xml:space="preserve">In addition to the credit risk discussion in Note 2, </w:t>
      </w:r>
      <w:r>
        <w:rPr>
          <w:rFonts w:ascii="Arial" w:cs="Arial" w:eastAsia="Arial" w:hAnsi="Arial"/>
          <w:sz w:val="12"/>
          <w:szCs w:val="12"/>
          <w:i w:val="1"/>
          <w:iCs w:val="1"/>
          <w:color w:val="auto"/>
        </w:rPr>
        <w:t>Summary of Significant Accounting Policies</w:t>
      </w:r>
      <w:r>
        <w:rPr>
          <w:rFonts w:ascii="Arial" w:cs="Arial" w:eastAsia="Arial" w:hAnsi="Arial"/>
          <w:sz w:val="12"/>
          <w:szCs w:val="12"/>
          <w:color w:val="auto"/>
        </w:rPr>
        <w:t xml:space="preserve">, </w:t>
      </w:r>
      <w:r>
        <w:rPr>
          <w:rFonts w:ascii="Arial" w:cs="Arial" w:eastAsia="Arial" w:hAnsi="Arial"/>
          <w:sz w:val="12"/>
          <w:szCs w:val="12"/>
          <w:color w:val="231F20"/>
        </w:rPr>
        <w:t>to the</w:t>
      </w:r>
      <w:r>
        <w:rPr>
          <w:rFonts w:ascii="Arial" w:cs="Arial" w:eastAsia="Arial" w:hAnsi="Arial"/>
          <w:sz w:val="12"/>
          <w:szCs w:val="12"/>
          <w:color w:val="auto"/>
        </w:rPr>
        <w:t xml:space="preserve"> consolidated financial statements included in the </w:t>
      </w:r>
      <w:r>
        <w:rPr>
          <w:rFonts w:ascii="Arial" w:cs="Arial" w:eastAsia="Arial" w:hAnsi="Arial"/>
          <w:sz w:val="12"/>
          <w:szCs w:val="12"/>
          <w:color w:val="231F20"/>
        </w:rPr>
        <w:t>Company's</w:t>
      </w:r>
      <w:r>
        <w:rPr>
          <w:rFonts w:ascii="Arial" w:cs="Arial" w:eastAsia="Arial" w:hAnsi="Arial"/>
          <w:sz w:val="12"/>
          <w:szCs w:val="12"/>
          <w:color w:val="auto"/>
        </w:rPr>
        <w:t xml:space="preserve"> 2017 Form 10-K, the following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(ii) daily monitoring of counterparties' credit limits; (iii)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93"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2"/>
          <w:szCs w:val="12"/>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Based on these valuation techniques, as of June 30, 2018, credit risk exposure to these counterparties attributable to the Company's ownership interests was approximately $2.6 billion for the next five years. The majority of these power contracts are with utilities with strong credit quality and public utility commission or other regulatory support. However, such regulated utility counterparties can be impacted by changes in government regulations, which the Company is unable to predict.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1480"/>
          </w:cols>
          <w:pgMar w:left="220" w:top="509" w:right="199" w:bottom="1440" w:gutter="0" w:footer="0" w:header="0"/>
        </w:sectPr>
      </w:pPr>
    </w:p>
    <w:bookmarkStart w:id="24" w:name="page25"/>
    <w:bookmarkEnd w:id="24"/>
    <w:p>
      <w:pPr>
        <w:ind w:left="8"/>
        <w:spacing w:after="0"/>
        <w:rPr>
          <w:sz w:val="20"/>
          <w:szCs w:val="20"/>
          <w:color w:val="auto"/>
        </w:rPr>
      </w:pPr>
      <w:r>
        <w:rPr>
          <w:rFonts w:ascii="Arial" w:cs="Arial" w:eastAsia="Arial" w:hAnsi="Arial"/>
          <w:sz w:val="12"/>
          <w:szCs w:val="12"/>
          <w:b w:val="1"/>
          <w:bCs w:val="1"/>
          <w:color w:val="auto"/>
        </w:rPr>
        <w:t xml:space="preserve">Note 6 — </w:t>
      </w:r>
      <w:r>
        <w:rPr>
          <w:rFonts w:ascii="Arial" w:cs="Arial" w:eastAsia="Arial" w:hAnsi="Arial"/>
          <w:sz w:val="12"/>
          <w:szCs w:val="12"/>
          <w:b w:val="1"/>
          <w:bCs w:val="1"/>
          <w:i w:val="1"/>
          <w:iCs w:val="1"/>
          <w:color w:val="auto"/>
        </w:rPr>
        <w:t>Accounting for Derivative Instruments and Hedging Activities</w:t>
      </w:r>
    </w:p>
    <w:p>
      <w:pPr>
        <w:spacing w:after="0" w:line="118" w:lineRule="exact"/>
        <w:rPr>
          <w:sz w:val="20"/>
          <w:szCs w:val="20"/>
          <w:color w:val="auto"/>
        </w:rPr>
      </w:pPr>
    </w:p>
    <w:p>
      <w:pPr>
        <w:ind w:left="8" w:firstLine="270"/>
        <w:spacing w:after="0" w:line="276" w:lineRule="auto"/>
        <w:rPr>
          <w:sz w:val="20"/>
          <w:szCs w:val="20"/>
          <w:color w:val="auto"/>
        </w:rPr>
      </w:pPr>
      <w:r>
        <w:rPr>
          <w:rFonts w:ascii="Arial" w:cs="Arial" w:eastAsia="Arial" w:hAnsi="Arial"/>
          <w:sz w:val="12"/>
          <w:szCs w:val="12"/>
          <w:color w:val="auto"/>
        </w:rPr>
        <w:t xml:space="preserve">This footnote should be read in conjunction with the complete description under Note 7, </w:t>
      </w:r>
      <w:r>
        <w:rPr>
          <w:rFonts w:ascii="Arial" w:cs="Arial" w:eastAsia="Arial" w:hAnsi="Arial"/>
          <w:sz w:val="12"/>
          <w:szCs w:val="12"/>
          <w:i w:val="1"/>
          <w:iCs w:val="1"/>
          <w:color w:val="auto"/>
        </w:rPr>
        <w:t>Accounting for Derivative Instruments and Hedging Activities</w:t>
      </w:r>
      <w:r>
        <w:rPr>
          <w:rFonts w:ascii="Arial" w:cs="Arial" w:eastAsia="Arial" w:hAnsi="Arial"/>
          <w:sz w:val="12"/>
          <w:szCs w:val="12"/>
          <w:color w:val="auto"/>
        </w:rPr>
        <w:t xml:space="preserve">, </w:t>
      </w:r>
      <w:r>
        <w:rPr>
          <w:rFonts w:ascii="Arial" w:cs="Arial" w:eastAsia="Arial" w:hAnsi="Arial"/>
          <w:sz w:val="12"/>
          <w:szCs w:val="12"/>
          <w:color w:val="231F20"/>
        </w:rPr>
        <w:t>to the</w:t>
      </w:r>
      <w:r>
        <w:rPr>
          <w:rFonts w:ascii="Arial" w:cs="Arial" w:eastAsia="Arial" w:hAnsi="Arial"/>
          <w:sz w:val="12"/>
          <w:szCs w:val="12"/>
          <w:color w:val="auto"/>
        </w:rPr>
        <w:t xml:space="preserve"> consolidated financial statements included in the Company's 2017 Form 10-K.</w:t>
      </w:r>
    </w:p>
    <w:p>
      <w:pPr>
        <w:spacing w:after="0" w:line="79"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Energy-Related Commodities</w:t>
      </w:r>
    </w:p>
    <w:p>
      <w:pPr>
        <w:spacing w:after="0" w:line="114" w:lineRule="exact"/>
        <w:rPr>
          <w:sz w:val="20"/>
          <w:szCs w:val="20"/>
          <w:color w:val="auto"/>
        </w:rPr>
      </w:pPr>
    </w:p>
    <w:p>
      <w:pPr>
        <w:ind w:left="288"/>
        <w:spacing w:after="0"/>
        <w:rPr>
          <w:sz w:val="20"/>
          <w:szCs w:val="20"/>
          <w:color w:val="auto"/>
        </w:rPr>
      </w:pPr>
      <w:r>
        <w:rPr>
          <w:rFonts w:ascii="Arial" w:cs="Arial" w:eastAsia="Arial" w:hAnsi="Arial"/>
          <w:sz w:val="12"/>
          <w:szCs w:val="12"/>
          <w:color w:val="auto"/>
        </w:rPr>
        <w:t>As of June 30, 2018, the Company had energy-related derivative instruments extending through 2020. At June 30, 2018, these contracts were not designated as cash flow or fair value hedges.</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Interest Rate Swaps</w:t>
      </w:r>
    </w:p>
    <w:p>
      <w:pPr>
        <w:spacing w:after="0" w:line="114" w:lineRule="exact"/>
        <w:rPr>
          <w:sz w:val="20"/>
          <w:szCs w:val="20"/>
          <w:color w:val="auto"/>
        </w:rPr>
      </w:pPr>
    </w:p>
    <w:p>
      <w:pPr>
        <w:ind w:left="268"/>
        <w:spacing w:after="0"/>
        <w:rPr>
          <w:sz w:val="20"/>
          <w:szCs w:val="20"/>
          <w:color w:val="auto"/>
        </w:rPr>
      </w:pPr>
      <w:r>
        <w:rPr>
          <w:rFonts w:ascii="Arial" w:cs="Arial" w:eastAsia="Arial" w:hAnsi="Arial"/>
          <w:sz w:val="12"/>
          <w:szCs w:val="12"/>
          <w:color w:val="auto"/>
        </w:rPr>
        <w:t>As of June 30, 2018, the Company had interest rate derivative instruments on non-recourse debt extending through 2041, a portion of which are designated as cash flow hedges.</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Volumetric Underlying Derivative Transactions</w:t>
      </w:r>
    </w:p>
    <w:p>
      <w:pPr>
        <w:spacing w:after="0" w:line="87" w:lineRule="exact"/>
        <w:rPr>
          <w:sz w:val="20"/>
          <w:szCs w:val="20"/>
          <w:color w:val="auto"/>
        </w:rPr>
      </w:pPr>
    </w:p>
    <w:p>
      <w:pPr>
        <w:ind w:left="268"/>
        <w:spacing w:after="0"/>
        <w:rPr>
          <w:sz w:val="20"/>
          <w:szCs w:val="20"/>
          <w:color w:val="auto"/>
        </w:rPr>
      </w:pPr>
      <w:r>
        <w:rPr>
          <w:rFonts w:ascii="Arial" w:cs="Arial" w:eastAsia="Arial" w:hAnsi="Arial"/>
          <w:sz w:val="12"/>
          <w:szCs w:val="12"/>
          <w:color w:val="auto"/>
        </w:rPr>
        <w:t>The following table summarizes the net notional volume buy of the Company's open derivative transactions broken out by commodity:</w:t>
      </w:r>
    </w:p>
    <w:p>
      <w:pPr>
        <w:spacing w:after="0" w:line="154" w:lineRule="exact"/>
        <w:rPr>
          <w:sz w:val="20"/>
          <w:szCs w:val="20"/>
          <w:color w:val="auto"/>
        </w:rPr>
      </w:pPr>
    </w:p>
    <w:tbl>
      <w:tblPr>
        <w:tblLayout w:type="fixed"/>
        <w:tblInd w:w="8"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980" w:type="dxa"/>
            <w:vAlign w:val="bottom"/>
            <w:gridSpan w:val="2"/>
          </w:tcPr>
          <w:p>
            <w:pPr>
              <w:jc w:val="center"/>
              <w:ind w:left="86"/>
              <w:spacing w:after="0"/>
              <w:rPr>
                <w:sz w:val="20"/>
                <w:szCs w:val="20"/>
                <w:color w:val="auto"/>
              </w:rPr>
            </w:pPr>
            <w:r>
              <w:rPr>
                <w:rFonts w:ascii="Arial" w:cs="Arial" w:eastAsia="Arial" w:hAnsi="Arial"/>
                <w:sz w:val="10"/>
                <w:szCs w:val="10"/>
                <w:b w:val="1"/>
                <w:bCs w:val="1"/>
                <w:color w:val="auto"/>
                <w:w w:val="89"/>
              </w:rPr>
              <w:t>Total Volume</w:t>
            </w:r>
          </w:p>
        </w:tc>
        <w:tc>
          <w:tcPr>
            <w:tcW w:w="1460" w:type="dxa"/>
            <w:vAlign w:val="bottom"/>
          </w:tcPr>
          <w:p>
            <w:pPr>
              <w:spacing w:after="0"/>
              <w:rPr>
                <w:sz w:val="10"/>
                <w:szCs w:val="10"/>
                <w:color w:val="auto"/>
              </w:rPr>
            </w:pPr>
          </w:p>
        </w:tc>
      </w:tr>
      <w:tr>
        <w:trPr>
          <w:trHeight w:val="184"/>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1340" w:type="dxa"/>
            <w:vAlign w:val="bottom"/>
            <w:tcBorders>
              <w:bottom w:val="single" w:sz="8" w:color="auto"/>
            </w:tcBorders>
          </w:tcPr>
          <w:p>
            <w:pPr>
              <w:jc w:val="right"/>
              <w:ind w:right="86"/>
              <w:spacing w:after="0"/>
              <w:rPr>
                <w:sz w:val="20"/>
                <w:szCs w:val="20"/>
                <w:color w:val="auto"/>
              </w:rPr>
            </w:pPr>
            <w:r>
              <w:rPr>
                <w:rFonts w:ascii="Arial" w:cs="Arial" w:eastAsia="Arial" w:hAnsi="Arial"/>
                <w:sz w:val="10"/>
                <w:szCs w:val="10"/>
                <w:b w:val="1"/>
                <w:bCs w:val="1"/>
                <w:color w:val="auto"/>
              </w:rPr>
              <w:t>June 30, 2018</w:t>
            </w:r>
          </w:p>
        </w:tc>
        <w:tc>
          <w:tcPr>
            <w:tcW w:w="5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464"/>
              <w:spacing w:after="0"/>
              <w:rPr>
                <w:sz w:val="20"/>
                <w:szCs w:val="20"/>
                <w:color w:val="auto"/>
              </w:rPr>
            </w:pPr>
            <w:r>
              <w:rPr>
                <w:rFonts w:ascii="Arial" w:cs="Arial" w:eastAsia="Arial" w:hAnsi="Arial"/>
                <w:sz w:val="10"/>
                <w:szCs w:val="10"/>
                <w:b w:val="1"/>
                <w:bCs w:val="1"/>
                <w:color w:val="auto"/>
              </w:rPr>
              <w:t>December 31, 2017</w:t>
            </w:r>
          </w:p>
        </w:tc>
      </w:tr>
      <w:tr>
        <w:trPr>
          <w:trHeight w:val="137"/>
        </w:trPr>
        <w:tc>
          <w:tcPr>
            <w:tcW w:w="1400" w:type="dxa"/>
            <w:vAlign w:val="bottom"/>
            <w:gridSpan w:val="3"/>
          </w:tcPr>
          <w:p>
            <w:pPr>
              <w:ind w:left="20"/>
              <w:spacing w:after="0"/>
              <w:rPr>
                <w:sz w:val="20"/>
                <w:szCs w:val="20"/>
                <w:color w:val="auto"/>
              </w:rPr>
            </w:pPr>
            <w:r>
              <w:rPr>
                <w:rFonts w:ascii="Arial" w:cs="Arial" w:eastAsia="Arial" w:hAnsi="Arial"/>
                <w:sz w:val="10"/>
                <w:szCs w:val="10"/>
                <w:b w:val="1"/>
                <w:bCs w:val="1"/>
                <w:color w:val="auto"/>
              </w:rPr>
              <w:t>Commodity</w:t>
            </w:r>
          </w:p>
        </w:tc>
        <w:tc>
          <w:tcPr>
            <w:tcW w:w="6300" w:type="dxa"/>
            <w:vAlign w:val="bottom"/>
            <w:gridSpan w:val="2"/>
          </w:tcPr>
          <w:p>
            <w:pPr>
              <w:spacing w:after="0"/>
              <w:rPr>
                <w:sz w:val="20"/>
                <w:szCs w:val="20"/>
                <w:color w:val="auto"/>
              </w:rPr>
            </w:pPr>
            <w:r>
              <w:rPr>
                <w:rFonts w:ascii="Arial" w:cs="Arial" w:eastAsia="Arial" w:hAnsi="Arial"/>
                <w:sz w:val="10"/>
                <w:szCs w:val="10"/>
                <w:b w:val="1"/>
                <w:bCs w:val="1"/>
                <w:color w:val="auto"/>
              </w:rPr>
              <w:t>Units</w:t>
            </w:r>
          </w:p>
        </w:tc>
        <w:tc>
          <w:tcPr>
            <w:tcW w:w="1340" w:type="dxa"/>
            <w:vAlign w:val="bottom"/>
          </w:tcPr>
          <w:p>
            <w:pPr>
              <w:spacing w:after="0"/>
              <w:rPr>
                <w:sz w:val="11"/>
                <w:szCs w:val="11"/>
                <w:color w:val="auto"/>
              </w:rPr>
            </w:pPr>
          </w:p>
        </w:tc>
        <w:tc>
          <w:tcPr>
            <w:tcW w:w="980" w:type="dxa"/>
            <w:vAlign w:val="bottom"/>
            <w:gridSpan w:val="2"/>
          </w:tcPr>
          <w:p>
            <w:pPr>
              <w:jc w:val="center"/>
              <w:ind w:left="86"/>
              <w:spacing w:after="0"/>
              <w:rPr>
                <w:sz w:val="20"/>
                <w:szCs w:val="20"/>
                <w:color w:val="auto"/>
              </w:rPr>
            </w:pPr>
            <w:r>
              <w:rPr>
                <w:rFonts w:ascii="Arial" w:cs="Arial" w:eastAsia="Arial" w:hAnsi="Arial"/>
                <w:sz w:val="10"/>
                <w:szCs w:val="10"/>
                <w:b w:val="1"/>
                <w:bCs w:val="1"/>
                <w:color w:val="auto"/>
                <w:w w:val="92"/>
              </w:rPr>
              <w:t>(In millions)</w:t>
            </w:r>
          </w:p>
        </w:tc>
        <w:tc>
          <w:tcPr>
            <w:tcW w:w="1460" w:type="dxa"/>
            <w:vAlign w:val="bottom"/>
          </w:tcPr>
          <w:p>
            <w:pPr>
              <w:spacing w:after="0"/>
              <w:rPr>
                <w:sz w:val="11"/>
                <w:szCs w:val="11"/>
                <w:color w:val="auto"/>
              </w:rPr>
            </w:pPr>
          </w:p>
        </w:tc>
      </w:tr>
      <w:tr>
        <w:trPr>
          <w:trHeight w:val="27"/>
        </w:trPr>
        <w:tc>
          <w:tcPr>
            <w:tcW w:w="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80"/>
        </w:trPr>
        <w:tc>
          <w:tcPr>
            <w:tcW w:w="140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Natural Gas</w:t>
            </w:r>
          </w:p>
        </w:tc>
        <w:tc>
          <w:tcPr>
            <w:tcW w:w="6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MMBtu</w:t>
            </w:r>
          </w:p>
        </w:tc>
        <w:tc>
          <w:tcPr>
            <w:tcW w:w="134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66"/>
              <w:spacing w:after="0"/>
              <w:rPr>
                <w:sz w:val="20"/>
                <w:szCs w:val="20"/>
                <w:color w:val="auto"/>
              </w:rPr>
            </w:pPr>
            <w:r>
              <w:rPr>
                <w:rFonts w:ascii="Arial" w:cs="Arial" w:eastAsia="Arial" w:hAnsi="Arial"/>
                <w:sz w:val="12"/>
                <w:szCs w:val="12"/>
                <w:color w:val="auto"/>
              </w:rPr>
              <w:t>1</w:t>
            </w:r>
          </w:p>
        </w:tc>
        <w:tc>
          <w:tcPr>
            <w:tcW w:w="46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2</w:t>
            </w:r>
          </w:p>
        </w:tc>
      </w:tr>
      <w:tr>
        <w:trPr>
          <w:trHeight w:val="162"/>
        </w:trPr>
        <w:tc>
          <w:tcPr>
            <w:tcW w:w="1400" w:type="dxa"/>
            <w:vAlign w:val="bottom"/>
            <w:gridSpan w:val="3"/>
          </w:tcPr>
          <w:p>
            <w:pPr>
              <w:ind w:left="20"/>
              <w:spacing w:after="0"/>
              <w:rPr>
                <w:sz w:val="20"/>
                <w:szCs w:val="20"/>
                <w:color w:val="auto"/>
              </w:rPr>
            </w:pPr>
            <w:r>
              <w:rPr>
                <w:rFonts w:ascii="Arial" w:cs="Arial" w:eastAsia="Arial" w:hAnsi="Arial"/>
                <w:sz w:val="12"/>
                <w:szCs w:val="12"/>
                <w:color w:val="auto"/>
              </w:rPr>
              <w:t>Interest</w:t>
            </w:r>
          </w:p>
        </w:tc>
        <w:tc>
          <w:tcPr>
            <w:tcW w:w="6300" w:type="dxa"/>
            <w:vAlign w:val="bottom"/>
            <w:gridSpan w:val="2"/>
          </w:tcPr>
          <w:p>
            <w:pPr>
              <w:spacing w:after="0"/>
              <w:rPr>
                <w:sz w:val="20"/>
                <w:szCs w:val="20"/>
                <w:color w:val="auto"/>
              </w:rPr>
            </w:pPr>
            <w:r>
              <w:rPr>
                <w:rFonts w:ascii="Arial" w:cs="Arial" w:eastAsia="Arial" w:hAnsi="Arial"/>
                <w:sz w:val="12"/>
                <w:szCs w:val="12"/>
                <w:color w:val="auto"/>
              </w:rPr>
              <w:t>Dollars</w:t>
            </w:r>
          </w:p>
        </w:tc>
        <w:tc>
          <w:tcPr>
            <w:tcW w:w="1340" w:type="dxa"/>
            <w:vAlign w:val="bottom"/>
          </w:tcPr>
          <w:p>
            <w:pPr>
              <w:jc w:val="right"/>
              <w:ind w:right="1206"/>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ind w:right="66"/>
              <w:spacing w:after="0"/>
              <w:rPr>
                <w:sz w:val="20"/>
                <w:szCs w:val="20"/>
                <w:color w:val="auto"/>
              </w:rPr>
            </w:pPr>
            <w:r>
              <w:rPr>
                <w:rFonts w:ascii="Arial" w:cs="Arial" w:eastAsia="Arial" w:hAnsi="Arial"/>
                <w:sz w:val="12"/>
                <w:szCs w:val="12"/>
                <w:color w:val="auto"/>
              </w:rPr>
              <w:t>1,972</w:t>
            </w:r>
          </w:p>
        </w:tc>
        <w:tc>
          <w:tcPr>
            <w:tcW w:w="460" w:type="dxa"/>
            <w:vAlign w:val="bottom"/>
          </w:tcPr>
          <w:p>
            <w:pPr>
              <w:jc w:val="right"/>
              <w:ind w:right="220"/>
              <w:spacing w:after="0"/>
              <w:rPr>
                <w:sz w:val="20"/>
                <w:szCs w:val="20"/>
                <w:color w:val="auto"/>
              </w:rPr>
            </w:pPr>
            <w:r>
              <w:rPr>
                <w:rFonts w:ascii="Arial" w:cs="Arial" w:eastAsia="Arial" w:hAnsi="Arial"/>
                <w:sz w:val="12"/>
                <w:szCs w:val="12"/>
                <w:color w:val="auto"/>
              </w:rPr>
              <w:t>$</w:t>
            </w:r>
          </w:p>
        </w:tc>
        <w:tc>
          <w:tcPr>
            <w:tcW w:w="1460" w:type="dxa"/>
            <w:vAlign w:val="bottom"/>
          </w:tcPr>
          <w:p>
            <w:pPr>
              <w:jc w:val="right"/>
              <w:ind w:right="64"/>
              <w:spacing w:after="0"/>
              <w:rPr>
                <w:sz w:val="20"/>
                <w:szCs w:val="20"/>
                <w:color w:val="auto"/>
              </w:rPr>
            </w:pPr>
            <w:r>
              <w:rPr>
                <w:rFonts w:ascii="Arial" w:cs="Arial" w:eastAsia="Arial" w:hAnsi="Arial"/>
                <w:sz w:val="12"/>
                <w:szCs w:val="12"/>
                <w:color w:val="auto"/>
              </w:rPr>
              <w:t>2,050</w:t>
            </w:r>
          </w:p>
        </w:tc>
      </w:tr>
    </w:tbl>
    <w:p>
      <w:pPr>
        <w:spacing w:after="0" w:line="117"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Fair Value of Derivative Instruments</w:t>
      </w:r>
    </w:p>
    <w:p>
      <w:pPr>
        <w:spacing w:after="0" w:line="96" w:lineRule="exact"/>
        <w:rPr>
          <w:sz w:val="20"/>
          <w:szCs w:val="20"/>
          <w:color w:val="auto"/>
        </w:rPr>
      </w:pPr>
    </w:p>
    <w:p>
      <w:pPr>
        <w:ind w:left="268"/>
        <w:spacing w:after="0"/>
        <w:rPr>
          <w:sz w:val="20"/>
          <w:szCs w:val="20"/>
          <w:color w:val="auto"/>
        </w:rPr>
      </w:pPr>
      <w:r>
        <w:rPr>
          <w:rFonts w:ascii="Arial" w:cs="Arial" w:eastAsia="Arial" w:hAnsi="Arial"/>
          <w:sz w:val="12"/>
          <w:szCs w:val="12"/>
          <w:color w:val="auto"/>
        </w:rPr>
        <w:t>The following table summarizes the fair value within the derivative instrument valuation on the balance sheet:</w:t>
      </w:r>
    </w:p>
    <w:p>
      <w:pPr>
        <w:spacing w:after="0" w:line="145"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494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0"/>
                <w:szCs w:val="10"/>
                <w:b w:val="1"/>
                <w:bCs w:val="1"/>
                <w:color w:val="auto"/>
                <w:w w:val="91"/>
              </w:rPr>
              <w:t>Fair Value</w:t>
            </w:r>
          </w:p>
        </w:tc>
        <w:tc>
          <w:tcPr>
            <w:tcW w:w="1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r>
        <w:trPr>
          <w:trHeight w:val="169"/>
        </w:trPr>
        <w:tc>
          <w:tcPr>
            <w:tcW w:w="494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784"/>
              <w:spacing w:after="0"/>
              <w:rPr>
                <w:sz w:val="20"/>
                <w:szCs w:val="20"/>
                <w:color w:val="auto"/>
              </w:rPr>
            </w:pPr>
            <w:r>
              <w:rPr>
                <w:rFonts w:ascii="Arial" w:cs="Arial" w:eastAsia="Arial" w:hAnsi="Arial"/>
                <w:sz w:val="10"/>
                <w:szCs w:val="10"/>
                <w:b w:val="1"/>
                <w:bCs w:val="1"/>
                <w:color w:val="auto"/>
                <w:w w:val="95"/>
              </w:rPr>
              <w:t xml:space="preserve">Derivative Assets </w:t>
            </w:r>
            <w:r>
              <w:rPr>
                <w:rFonts w:ascii="Arial" w:cs="Arial" w:eastAsia="Arial" w:hAnsi="Arial"/>
                <w:sz w:val="5"/>
                <w:szCs w:val="5"/>
                <w:b w:val="1"/>
                <w:bCs w:val="1"/>
                <w:color w:val="auto"/>
                <w:w w:val="95"/>
              </w:rPr>
              <w:t>(a)</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Derivative Liabilities</w:t>
            </w:r>
          </w:p>
        </w:tc>
        <w:tc>
          <w:tcPr>
            <w:tcW w:w="1200" w:type="dxa"/>
            <w:vAlign w:val="bottom"/>
            <w:tcBorders>
              <w:bottom w:val="single" w:sz="8" w:color="auto"/>
            </w:tcBorders>
          </w:tcPr>
          <w:p>
            <w:pPr>
              <w:spacing w:after="0"/>
              <w:rPr>
                <w:sz w:val="14"/>
                <w:szCs w:val="14"/>
                <w:color w:val="auto"/>
              </w:rPr>
            </w:pPr>
          </w:p>
        </w:tc>
      </w:tr>
      <w:tr>
        <w:trPr>
          <w:trHeight w:val="169"/>
        </w:trPr>
        <w:tc>
          <w:tcPr>
            <w:tcW w:w="4940" w:type="dxa"/>
            <w:vAlign w:val="bottom"/>
          </w:tcPr>
          <w:p>
            <w:pPr>
              <w:spacing w:after="0"/>
              <w:rPr>
                <w:sz w:val="14"/>
                <w:szCs w:val="14"/>
                <w:color w:val="auto"/>
              </w:rPr>
            </w:pPr>
          </w:p>
        </w:tc>
        <w:tc>
          <w:tcPr>
            <w:tcW w:w="1060" w:type="dxa"/>
            <w:vAlign w:val="bottom"/>
            <w:tcBorders>
              <w:bottom w:val="single" w:sz="8" w:color="auto"/>
            </w:tcBorders>
          </w:tcPr>
          <w:p>
            <w:pPr>
              <w:jc w:val="right"/>
              <w:ind w:right="44"/>
              <w:spacing w:after="0"/>
              <w:rPr>
                <w:sz w:val="20"/>
                <w:szCs w:val="20"/>
                <w:color w:val="auto"/>
              </w:rPr>
            </w:pPr>
            <w:r>
              <w:rPr>
                <w:rFonts w:ascii="Arial" w:cs="Arial" w:eastAsia="Arial" w:hAnsi="Arial"/>
                <w:sz w:val="10"/>
                <w:szCs w:val="10"/>
                <w:b w:val="1"/>
                <w:bCs w:val="1"/>
                <w:color w:val="auto"/>
              </w:rPr>
              <w:t>June 30, 2018</w:t>
            </w: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4"/>
              <w:spacing w:after="0"/>
              <w:rPr>
                <w:sz w:val="20"/>
                <w:szCs w:val="20"/>
                <w:color w:val="auto"/>
              </w:rPr>
            </w:pPr>
            <w:r>
              <w:rPr>
                <w:rFonts w:ascii="Arial" w:cs="Arial" w:eastAsia="Arial" w:hAnsi="Arial"/>
                <w:sz w:val="10"/>
                <w:szCs w:val="10"/>
                <w:b w:val="1"/>
                <w:bCs w:val="1"/>
                <w:color w:val="auto"/>
              </w:rPr>
              <w:t>December 31, 2017</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ind w:left="120"/>
              <w:spacing w:after="0"/>
              <w:rPr>
                <w:sz w:val="20"/>
                <w:szCs w:val="20"/>
                <w:color w:val="auto"/>
              </w:rPr>
            </w:pPr>
            <w:r>
              <w:rPr>
                <w:rFonts w:ascii="Arial" w:cs="Arial" w:eastAsia="Arial" w:hAnsi="Arial"/>
                <w:sz w:val="10"/>
                <w:szCs w:val="10"/>
                <w:b w:val="1"/>
                <w:bCs w:val="1"/>
                <w:color w:val="auto"/>
              </w:rPr>
              <w:t>June 30, 2018</w:t>
            </w:r>
          </w:p>
        </w:tc>
        <w:tc>
          <w:tcPr>
            <w:tcW w:w="4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361"/>
              <w:spacing w:after="0"/>
              <w:rPr>
                <w:sz w:val="20"/>
                <w:szCs w:val="20"/>
                <w:color w:val="auto"/>
              </w:rPr>
            </w:pPr>
            <w:r>
              <w:rPr>
                <w:rFonts w:ascii="Arial" w:cs="Arial" w:eastAsia="Arial" w:hAnsi="Arial"/>
                <w:sz w:val="10"/>
                <w:szCs w:val="10"/>
                <w:b w:val="1"/>
                <w:bCs w:val="1"/>
                <w:color w:val="auto"/>
                <w:w w:val="84"/>
              </w:rPr>
              <w:t>December 31, 2017</w:t>
            </w:r>
          </w:p>
        </w:tc>
      </w:tr>
      <w:tr>
        <w:trPr>
          <w:trHeight w:val="160"/>
        </w:trPr>
        <w:tc>
          <w:tcPr>
            <w:tcW w:w="49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gridSpan w:val="3"/>
          </w:tcPr>
          <w:p>
            <w:pPr>
              <w:jc w:val="center"/>
              <w:ind w:right="60"/>
              <w:spacing w:after="0"/>
              <w:rPr>
                <w:sz w:val="20"/>
                <w:szCs w:val="20"/>
                <w:color w:val="auto"/>
              </w:rPr>
            </w:pPr>
            <w:r>
              <w:rPr>
                <w:rFonts w:ascii="Arial" w:cs="Arial" w:eastAsia="Arial" w:hAnsi="Arial"/>
                <w:sz w:val="10"/>
                <w:szCs w:val="10"/>
                <w:b w:val="1"/>
                <w:bCs w:val="1"/>
                <w:color w:val="auto"/>
                <w:w w:val="89"/>
              </w:rPr>
              <w:t>(In millions)</w:t>
            </w: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84"/>
        </w:trPr>
        <w:tc>
          <w:tcPr>
            <w:tcW w:w="49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Derivatives Designated as Cash Flow Hedges:</w:t>
            </w:r>
          </w:p>
        </w:tc>
        <w:tc>
          <w:tcPr>
            <w:tcW w:w="10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71"/>
        </w:trPr>
        <w:tc>
          <w:tcPr>
            <w:tcW w:w="4940" w:type="dxa"/>
            <w:vAlign w:val="bottom"/>
          </w:tcPr>
          <w:p>
            <w:pPr>
              <w:ind w:left="100"/>
              <w:spacing w:after="0"/>
              <w:rPr>
                <w:sz w:val="20"/>
                <w:szCs w:val="20"/>
                <w:color w:val="auto"/>
              </w:rPr>
            </w:pPr>
            <w:r>
              <w:rPr>
                <w:rFonts w:ascii="Arial" w:cs="Arial" w:eastAsia="Arial" w:hAnsi="Arial"/>
                <w:sz w:val="12"/>
                <w:szCs w:val="12"/>
                <w:color w:val="auto"/>
              </w:rPr>
              <w:t>Interest rate contracts current</w:t>
            </w:r>
          </w:p>
        </w:tc>
        <w:tc>
          <w:tcPr>
            <w:tcW w:w="1060" w:type="dxa"/>
            <w:vAlign w:val="bottom"/>
          </w:tcPr>
          <w:p>
            <w:pPr>
              <w:jc w:val="right"/>
              <w:ind w:right="924"/>
              <w:spacing w:after="0"/>
              <w:rPr>
                <w:sz w:val="20"/>
                <w:szCs w:val="20"/>
                <w:color w:val="auto"/>
              </w:rPr>
            </w:pPr>
            <w:r>
              <w:rPr>
                <w:rFonts w:ascii="Arial" w:cs="Arial" w:eastAsia="Arial" w:hAnsi="Arial"/>
                <w:sz w:val="12"/>
                <w:szCs w:val="12"/>
                <w:color w:val="auto"/>
                <w:w w:val="89"/>
              </w:rPr>
              <w:t>$</w:t>
            </w:r>
          </w:p>
        </w:tc>
        <w:tc>
          <w:tcPr>
            <w:tcW w:w="320" w:type="dxa"/>
            <w:vAlign w:val="bottom"/>
          </w:tcPr>
          <w:p>
            <w:pPr>
              <w:jc w:val="right"/>
              <w:ind w:right="61"/>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4"/>
                <w:szCs w:val="14"/>
                <w:color w:val="auto"/>
              </w:rPr>
            </w:pPr>
          </w:p>
        </w:tc>
        <w:tc>
          <w:tcPr>
            <w:tcW w:w="1300" w:type="dxa"/>
            <w:vAlign w:val="bottom"/>
          </w:tcPr>
          <w:p>
            <w:pPr>
              <w:jc w:val="right"/>
              <w:ind w:right="1164"/>
              <w:spacing w:after="0"/>
              <w:rPr>
                <w:sz w:val="20"/>
                <w:szCs w:val="20"/>
                <w:color w:val="auto"/>
              </w:rPr>
            </w:pPr>
            <w:r>
              <w:rPr>
                <w:rFonts w:ascii="Arial" w:cs="Arial" w:eastAsia="Arial" w:hAnsi="Arial"/>
                <w:sz w:val="12"/>
                <w:szCs w:val="12"/>
                <w:color w:val="auto"/>
                <w:w w:val="89"/>
              </w:rPr>
              <w:t>$</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3"/>
          </w:tcPr>
          <w:p>
            <w:pPr>
              <w:jc w:val="center"/>
              <w:ind w:right="2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62"/>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61"/>
              <w:spacing w:after="0"/>
              <w:rPr>
                <w:sz w:val="20"/>
                <w:szCs w:val="20"/>
                <w:color w:val="auto"/>
              </w:rPr>
            </w:pPr>
            <w:r>
              <w:rPr>
                <w:rFonts w:ascii="Arial" w:cs="Arial" w:eastAsia="Arial" w:hAnsi="Arial"/>
                <w:sz w:val="12"/>
                <w:szCs w:val="12"/>
                <w:color w:val="auto"/>
              </w:rPr>
              <w:t>4</w:t>
            </w:r>
          </w:p>
        </w:tc>
      </w:tr>
      <w:tr>
        <w:trPr>
          <w:trHeight w:val="189"/>
        </w:trPr>
        <w:tc>
          <w:tcPr>
            <w:tcW w:w="49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Interest rate contracts long-term</w:t>
            </w:r>
          </w:p>
        </w:tc>
        <w:tc>
          <w:tcPr>
            <w:tcW w:w="106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9</w:t>
            </w:r>
          </w:p>
        </w:tc>
        <w:tc>
          <w:tcPr>
            <w:tcW w:w="120" w:type="dxa"/>
            <w:vAlign w:val="bottom"/>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9</w:t>
            </w:r>
          </w:p>
        </w:tc>
      </w:tr>
      <w:tr>
        <w:trPr>
          <w:trHeight w:val="160"/>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Total Derivatives Designated as Cash Flow Hedges</w:t>
            </w:r>
          </w:p>
        </w:tc>
        <w:tc>
          <w:tcPr>
            <w:tcW w:w="10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10</w:t>
            </w:r>
          </w:p>
        </w:tc>
        <w:tc>
          <w:tcPr>
            <w:tcW w:w="12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6</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13</w:t>
            </w:r>
          </w:p>
        </w:tc>
      </w:tr>
      <w:tr>
        <w:trPr>
          <w:trHeight w:val="178"/>
        </w:trPr>
        <w:tc>
          <w:tcPr>
            <w:tcW w:w="49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Derivatives Not Designated as Cash Flow Hedges:</w:t>
            </w:r>
          </w:p>
        </w:tc>
        <w:tc>
          <w:tcPr>
            <w:tcW w:w="10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71"/>
        </w:trPr>
        <w:tc>
          <w:tcPr>
            <w:tcW w:w="4940" w:type="dxa"/>
            <w:vAlign w:val="bottom"/>
          </w:tcPr>
          <w:p>
            <w:pPr>
              <w:ind w:left="100"/>
              <w:spacing w:after="0"/>
              <w:rPr>
                <w:sz w:val="20"/>
                <w:szCs w:val="20"/>
                <w:color w:val="auto"/>
              </w:rPr>
            </w:pPr>
            <w:r>
              <w:rPr>
                <w:rFonts w:ascii="Arial" w:cs="Arial" w:eastAsia="Arial" w:hAnsi="Arial"/>
                <w:sz w:val="12"/>
                <w:szCs w:val="12"/>
                <w:color w:val="auto"/>
              </w:rPr>
              <w:t>Interest rate contracts current</w:t>
            </w:r>
          </w:p>
        </w:tc>
        <w:tc>
          <w:tcPr>
            <w:tcW w:w="1060" w:type="dxa"/>
            <w:vAlign w:val="bottom"/>
          </w:tcPr>
          <w:p>
            <w:pPr>
              <w:spacing w:after="0"/>
              <w:rPr>
                <w:sz w:val="14"/>
                <w:szCs w:val="14"/>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3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jc w:val="right"/>
              <w:ind w:right="62"/>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jc w:val="right"/>
              <w:ind w:right="61"/>
              <w:spacing w:after="0"/>
              <w:rPr>
                <w:sz w:val="20"/>
                <w:szCs w:val="20"/>
                <w:color w:val="auto"/>
              </w:rPr>
            </w:pPr>
            <w:r>
              <w:rPr>
                <w:rFonts w:ascii="Arial" w:cs="Arial" w:eastAsia="Arial" w:hAnsi="Arial"/>
                <w:sz w:val="12"/>
                <w:szCs w:val="12"/>
                <w:color w:val="auto"/>
              </w:rPr>
              <w:t>13</w:t>
            </w:r>
          </w:p>
        </w:tc>
      </w:tr>
      <w:tr>
        <w:trPr>
          <w:trHeight w:val="189"/>
        </w:trPr>
        <w:tc>
          <w:tcPr>
            <w:tcW w:w="49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Interest rate contracts long-term</w:t>
            </w:r>
          </w:p>
        </w:tc>
        <w:tc>
          <w:tcPr>
            <w:tcW w:w="10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14</w:t>
            </w: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7</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22</w:t>
            </w:r>
          </w:p>
        </w:tc>
      </w:tr>
      <w:tr>
        <w:trPr>
          <w:trHeight w:val="171"/>
        </w:trPr>
        <w:tc>
          <w:tcPr>
            <w:tcW w:w="4940" w:type="dxa"/>
            <w:vAlign w:val="bottom"/>
          </w:tcPr>
          <w:p>
            <w:pPr>
              <w:ind w:left="100"/>
              <w:spacing w:after="0"/>
              <w:rPr>
                <w:sz w:val="20"/>
                <w:szCs w:val="20"/>
                <w:color w:val="auto"/>
              </w:rPr>
            </w:pPr>
            <w:r>
              <w:rPr>
                <w:rFonts w:ascii="Arial" w:cs="Arial" w:eastAsia="Arial" w:hAnsi="Arial"/>
                <w:sz w:val="12"/>
                <w:szCs w:val="12"/>
                <w:color w:val="auto"/>
              </w:rPr>
              <w:t>Commodity contracts current</w:t>
            </w:r>
          </w:p>
        </w:tc>
        <w:tc>
          <w:tcPr>
            <w:tcW w:w="1060" w:type="dxa"/>
            <w:vAlign w:val="bottom"/>
          </w:tcPr>
          <w:p>
            <w:pPr>
              <w:spacing w:after="0"/>
              <w:rPr>
                <w:sz w:val="14"/>
                <w:szCs w:val="14"/>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3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jc w:val="right"/>
              <w:ind w:right="62"/>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jc w:val="right"/>
              <w:ind w:right="61"/>
              <w:spacing w:after="0"/>
              <w:rPr>
                <w:sz w:val="20"/>
                <w:szCs w:val="20"/>
                <w:color w:val="auto"/>
              </w:rPr>
            </w:pPr>
            <w:r>
              <w:rPr>
                <w:rFonts w:ascii="Arial" w:cs="Arial" w:eastAsia="Arial" w:hAnsi="Arial"/>
                <w:sz w:val="12"/>
                <w:szCs w:val="12"/>
                <w:color w:val="auto"/>
              </w:rPr>
              <w:t>1</w:t>
            </w:r>
          </w:p>
        </w:tc>
      </w:tr>
      <w:tr>
        <w:trPr>
          <w:trHeight w:val="169"/>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Total Derivatives Not Designated as Cash Flow Hedges</w:t>
            </w:r>
          </w:p>
        </w:tc>
        <w:tc>
          <w:tcPr>
            <w:tcW w:w="1060" w:type="dxa"/>
            <w:vAlign w:val="bottom"/>
            <w:tcBorders>
              <w:top w:val="single" w:sz="8" w:color="auto"/>
              <w:bottom w:val="single" w:sz="8" w:color="auto"/>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14</w:t>
            </w:r>
          </w:p>
        </w:tc>
        <w:tc>
          <w:tcPr>
            <w:tcW w:w="12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bottom w:val="single" w:sz="8" w:color="auto"/>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spacing w:after="0"/>
              <w:rPr>
                <w:sz w:val="14"/>
                <w:szCs w:val="14"/>
                <w:color w:val="auto"/>
              </w:rPr>
            </w:pPr>
          </w:p>
        </w:tc>
        <w:tc>
          <w:tcPr>
            <w:tcW w:w="120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12</w:t>
            </w:r>
          </w:p>
        </w:tc>
        <w:tc>
          <w:tcPr>
            <w:tcW w:w="1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spacing w:after="0"/>
              <w:rPr>
                <w:sz w:val="14"/>
                <w:szCs w:val="14"/>
                <w:color w:val="auto"/>
              </w:rPr>
            </w:pPr>
          </w:p>
        </w:tc>
        <w:tc>
          <w:tcPr>
            <w:tcW w:w="120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36</w:t>
            </w:r>
          </w:p>
        </w:tc>
      </w:tr>
      <w:tr>
        <w:trPr>
          <w:trHeight w:val="185"/>
        </w:trPr>
        <w:tc>
          <w:tcPr>
            <w:tcW w:w="4940" w:type="dxa"/>
            <w:vAlign w:val="bottom"/>
          </w:tcPr>
          <w:p>
            <w:pPr>
              <w:ind w:left="20"/>
              <w:spacing w:after="0"/>
              <w:rPr>
                <w:sz w:val="20"/>
                <w:szCs w:val="20"/>
                <w:color w:val="auto"/>
              </w:rPr>
            </w:pPr>
            <w:r>
              <w:rPr>
                <w:rFonts w:ascii="Arial" w:cs="Arial" w:eastAsia="Arial" w:hAnsi="Arial"/>
                <w:sz w:val="12"/>
                <w:szCs w:val="12"/>
                <w:b w:val="1"/>
                <w:bCs w:val="1"/>
                <w:color w:val="auto"/>
              </w:rPr>
              <w:t>Total Derivatives</w:t>
            </w:r>
          </w:p>
        </w:tc>
        <w:tc>
          <w:tcPr>
            <w:tcW w:w="1060" w:type="dxa"/>
            <w:vAlign w:val="bottom"/>
            <w:tcBorders>
              <w:bottom w:val="single" w:sz="8" w:color="auto"/>
            </w:tcBorders>
          </w:tcPr>
          <w:p>
            <w:pPr>
              <w:jc w:val="right"/>
              <w:ind w:right="924"/>
              <w:spacing w:after="0"/>
              <w:rPr>
                <w:sz w:val="20"/>
                <w:szCs w:val="20"/>
                <w:color w:val="auto"/>
              </w:rPr>
            </w:pPr>
            <w:r>
              <w:rPr>
                <w:rFonts w:ascii="Arial" w:cs="Arial" w:eastAsia="Arial" w:hAnsi="Arial"/>
                <w:sz w:val="12"/>
                <w:szCs w:val="12"/>
                <w:color w:val="auto"/>
                <w:w w:val="89"/>
              </w:rPr>
              <w:t>$</w:t>
            </w:r>
          </w:p>
        </w:tc>
        <w:tc>
          <w:tcPr>
            <w:tcW w:w="3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24</w:t>
            </w:r>
          </w:p>
        </w:tc>
        <w:tc>
          <w:tcPr>
            <w:tcW w:w="120" w:type="dxa"/>
            <w:vAlign w:val="bottom"/>
          </w:tcPr>
          <w:p>
            <w:pPr>
              <w:spacing w:after="0"/>
              <w:rPr>
                <w:sz w:val="16"/>
                <w:szCs w:val="16"/>
                <w:color w:val="auto"/>
              </w:rPr>
            </w:pPr>
          </w:p>
        </w:tc>
        <w:tc>
          <w:tcPr>
            <w:tcW w:w="1300" w:type="dxa"/>
            <w:vAlign w:val="bottom"/>
            <w:tcBorders>
              <w:bottom w:val="single" w:sz="8" w:color="auto"/>
            </w:tcBorders>
          </w:tcPr>
          <w:p>
            <w:pPr>
              <w:jc w:val="right"/>
              <w:ind w:right="1164"/>
              <w:spacing w:after="0"/>
              <w:rPr>
                <w:sz w:val="20"/>
                <w:szCs w:val="20"/>
                <w:color w:val="auto"/>
              </w:rPr>
            </w:pPr>
            <w:r>
              <w:rPr>
                <w:rFonts w:ascii="Arial" w:cs="Arial" w:eastAsia="Arial" w:hAnsi="Arial"/>
                <w:sz w:val="12"/>
                <w:szCs w:val="12"/>
                <w:color w:val="auto"/>
                <w:w w:val="89"/>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jc w:val="center"/>
              <w:ind w:right="24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18</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49</w:t>
            </w:r>
          </w:p>
        </w:tc>
      </w:tr>
    </w:tbl>
    <w:p>
      <w:pPr>
        <w:spacing w:after="0" w:line="168" w:lineRule="exact"/>
        <w:rPr>
          <w:sz w:val="20"/>
          <w:szCs w:val="20"/>
          <w:color w:val="auto"/>
        </w:rPr>
      </w:pPr>
    </w:p>
    <w:p>
      <w:pPr>
        <w:ind w:left="88" w:hanging="88"/>
        <w:spacing w:after="0"/>
        <w:tabs>
          <w:tab w:leader="none" w:pos="88" w:val="left"/>
        </w:tabs>
        <w:numPr>
          <w:ilvl w:val="0"/>
          <w:numId w:val="14"/>
        </w:numPr>
        <w:rPr>
          <w:rFonts w:ascii="Arial" w:cs="Arial" w:eastAsia="Arial" w:hAnsi="Arial"/>
          <w:sz w:val="6"/>
          <w:szCs w:val="6"/>
          <w:color w:val="auto"/>
        </w:rPr>
      </w:pPr>
      <w:r>
        <w:rPr>
          <w:rFonts w:ascii="Arial" w:cs="Arial" w:eastAsia="Arial" w:hAnsi="Arial"/>
          <w:sz w:val="10"/>
          <w:szCs w:val="10"/>
          <w:color w:val="auto"/>
        </w:rPr>
        <w:t>Derivative Assets balances classified as current are included within the prepayments and other current assets line item of the consolidated balance sheets as of June 30, 2018 and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142430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24305" cy="5715"/>
                    </a:xfrm>
                    <a:prstGeom prst="rect">
                      <a:avLst/>
                    </a:prstGeom>
                    <a:noFill/>
                  </pic:spPr>
                </pic:pic>
              </a:graphicData>
            </a:graphic>
          </wp:anchor>
        </w:drawing>
      </w:r>
    </w:p>
    <w:p>
      <w:pPr>
        <w:spacing w:after="0" w:line="39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1488"/>
          </w:cols>
          <w:pgMar w:left="212" w:top="505" w:right="199" w:bottom="1440" w:gutter="0" w:footer="0" w:header="0"/>
        </w:sectPr>
      </w:pPr>
    </w:p>
    <w:bookmarkStart w:id="25" w:name="page26"/>
    <w:bookmarkEnd w:id="25"/>
    <w:p>
      <w:pPr>
        <w:ind w:left="8" w:right="20" w:firstLine="270"/>
        <w:spacing w:after="0" w:line="323" w:lineRule="auto"/>
        <w:rPr>
          <w:sz w:val="20"/>
          <w:szCs w:val="20"/>
          <w:color w:val="auto"/>
        </w:rPr>
      </w:pPr>
      <w:r>
        <w:rPr>
          <w:rFonts w:ascii="Arial" w:cs="Arial" w:eastAsia="Arial" w:hAnsi="Arial"/>
          <w:sz w:val="11"/>
          <w:szCs w:val="11"/>
          <w:color w:val="auto"/>
        </w:rPr>
        <w:t>The Company has elected to present derivative assets and liabilities on the balance sheet on a trade-by-trade basis and does not offset amounts at the counterparty master agreement level. As of June 30, 2018 and December 31, 2017, there was no outstanding collateral paid or received. The following tables summarize the offsetting of derivatives by the counterparty master agreement level as of June 30, 2018 and December 31, 2017:</w:t>
      </w:r>
    </w:p>
    <w:p>
      <w:pPr>
        <w:spacing w:after="0" w:line="70"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5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As of June 30, 2018</w:t>
            </w:r>
          </w:p>
        </w:tc>
        <w:tc>
          <w:tcPr>
            <w:tcW w:w="200" w:type="dxa"/>
            <w:vAlign w:val="bottom"/>
          </w:tcPr>
          <w:p>
            <w:pPr>
              <w:spacing w:after="0"/>
              <w:rPr>
                <w:sz w:val="10"/>
                <w:szCs w:val="10"/>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84"/>
              </w:rPr>
              <w:t>Gross Amounts of Recognized</w:t>
            </w:r>
          </w:p>
        </w:tc>
        <w:tc>
          <w:tcPr>
            <w:tcW w:w="2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740" w:type="dxa"/>
            <w:vAlign w:val="bottom"/>
            <w:vMerge w:val="continue"/>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0"/>
                <w:szCs w:val="10"/>
                <w:b w:val="1"/>
                <w:bCs w:val="1"/>
                <w:color w:val="auto"/>
                <w:w w:val="83"/>
              </w:rPr>
              <w:t>Assets/Liabilities</w:t>
            </w:r>
          </w:p>
        </w:tc>
        <w:tc>
          <w:tcPr>
            <w:tcW w:w="26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0"/>
                <w:szCs w:val="10"/>
                <w:b w:val="1"/>
                <w:bCs w:val="1"/>
                <w:color w:val="auto"/>
                <w:w w:val="88"/>
              </w:rPr>
              <w:t>Derivative Instruments</w:t>
            </w:r>
          </w:p>
        </w:tc>
        <w:tc>
          <w:tcPr>
            <w:tcW w:w="36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jc w:val="right"/>
              <w:ind w:right="602"/>
              <w:spacing w:after="0"/>
              <w:rPr>
                <w:sz w:val="20"/>
                <w:szCs w:val="20"/>
                <w:color w:val="auto"/>
              </w:rPr>
            </w:pPr>
            <w:r>
              <w:rPr>
                <w:rFonts w:ascii="Arial" w:cs="Arial" w:eastAsia="Arial" w:hAnsi="Arial"/>
                <w:sz w:val="10"/>
                <w:szCs w:val="10"/>
                <w:b w:val="1"/>
                <w:bCs w:val="1"/>
                <w:color w:val="auto"/>
              </w:rPr>
              <w:t>Net Amount</w:t>
            </w:r>
          </w:p>
        </w:tc>
        <w:tc>
          <w:tcPr>
            <w:tcW w:w="0" w:type="dxa"/>
            <w:vAlign w:val="bottom"/>
          </w:tcPr>
          <w:p>
            <w:pPr>
              <w:spacing w:after="0"/>
              <w:rPr>
                <w:sz w:val="1"/>
                <w:szCs w:val="1"/>
                <w:color w:val="auto"/>
              </w:rPr>
            </w:pPr>
          </w:p>
        </w:tc>
      </w:tr>
      <w:tr>
        <w:trPr>
          <w:trHeight w:val="177"/>
        </w:trPr>
        <w:tc>
          <w:tcPr>
            <w:tcW w:w="5740" w:type="dxa"/>
            <w:vAlign w:val="bottom"/>
          </w:tcPr>
          <w:p>
            <w:pPr>
              <w:ind w:left="20"/>
              <w:spacing w:after="0" w:line="178" w:lineRule="exact"/>
              <w:rPr>
                <w:sz w:val="20"/>
                <w:szCs w:val="20"/>
                <w:color w:val="auto"/>
              </w:rPr>
            </w:pPr>
            <w:r>
              <w:rPr>
                <w:rFonts w:ascii="Arial" w:cs="Arial" w:eastAsia="Arial" w:hAnsi="Arial"/>
                <w:sz w:val="12"/>
                <w:szCs w:val="12"/>
                <w:b w:val="1"/>
                <w:bCs w:val="1"/>
                <w:color w:val="auto"/>
              </w:rPr>
              <w:t>Commodity contracts</w:t>
            </w:r>
            <w:r>
              <w:rPr>
                <w:rFonts w:ascii="Arial" w:cs="Arial" w:eastAsia="Arial" w:hAnsi="Arial"/>
                <w:sz w:val="16"/>
                <w:szCs w:val="16"/>
                <w:b w:val="1"/>
                <w:bCs w:val="1"/>
                <w:color w:val="auto"/>
                <w:vertAlign w:val="superscript"/>
              </w:rPr>
              <w:t>(a)</w:t>
            </w:r>
            <w:r>
              <w:rPr>
                <w:rFonts w:ascii="Arial" w:cs="Arial" w:eastAsia="Arial" w:hAnsi="Arial"/>
                <w:sz w:val="12"/>
                <w:szCs w:val="12"/>
                <w:b w:val="1"/>
                <w:bCs w:val="1"/>
                <w:color w:val="auto"/>
              </w:rPr>
              <w:t>:</w:t>
            </w:r>
          </w:p>
        </w:tc>
        <w:tc>
          <w:tcPr>
            <w:tcW w:w="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9"/>
              </w:rPr>
              <w:t>(In millions)</w:t>
            </w:r>
          </w:p>
        </w:tc>
        <w:tc>
          <w:tcPr>
            <w:tcW w:w="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74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Derivative liabilities</w:t>
            </w: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64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(1)</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58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4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78"/>
        </w:trPr>
        <w:tc>
          <w:tcPr>
            <w:tcW w:w="57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Total commodity contracts</w:t>
            </w:r>
          </w:p>
        </w:tc>
        <w:tc>
          <w:tcPr>
            <w:tcW w:w="20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60"/>
        </w:trPr>
        <w:tc>
          <w:tcPr>
            <w:tcW w:w="5740" w:type="dxa"/>
            <w:vAlign w:val="bottom"/>
          </w:tcPr>
          <w:p>
            <w:pPr>
              <w:ind w:left="20"/>
              <w:spacing w:after="0"/>
              <w:rPr>
                <w:sz w:val="20"/>
                <w:szCs w:val="20"/>
                <w:color w:val="auto"/>
              </w:rPr>
            </w:pPr>
            <w:r>
              <w:rPr>
                <w:rFonts w:ascii="Arial" w:cs="Arial" w:eastAsia="Arial" w:hAnsi="Arial"/>
                <w:sz w:val="12"/>
                <w:szCs w:val="12"/>
                <w:b w:val="1"/>
                <w:bCs w:val="1"/>
                <w:color w:val="auto"/>
              </w:rPr>
              <w:t>Interest rate contracts:</w:t>
            </w:r>
          </w:p>
        </w:tc>
        <w:tc>
          <w:tcPr>
            <w:tcW w:w="20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7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Derivative assets</w:t>
            </w:r>
          </w:p>
        </w:tc>
        <w:tc>
          <w:tcPr>
            <w:tcW w:w="20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24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22</w:t>
            </w:r>
          </w:p>
        </w:tc>
        <w:tc>
          <w:tcPr>
            <w:tcW w:w="0" w:type="dxa"/>
            <w:vAlign w:val="bottom"/>
          </w:tcPr>
          <w:p>
            <w:pPr>
              <w:spacing w:after="0"/>
              <w:rPr>
                <w:sz w:val="1"/>
                <w:szCs w:val="1"/>
                <w:color w:val="auto"/>
              </w:rPr>
            </w:pPr>
          </w:p>
        </w:tc>
      </w:tr>
      <w:tr>
        <w:trPr>
          <w:trHeight w:val="171"/>
        </w:trPr>
        <w:tc>
          <w:tcPr>
            <w:tcW w:w="574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Derivative liabilities</w:t>
            </w:r>
          </w:p>
        </w:tc>
        <w:tc>
          <w:tcPr>
            <w:tcW w:w="2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(17)</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2</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69"/>
        </w:trPr>
        <w:tc>
          <w:tcPr>
            <w:tcW w:w="57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Total interest rate contracts</w:t>
            </w:r>
          </w:p>
        </w:tc>
        <w:tc>
          <w:tcPr>
            <w:tcW w:w="20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7</w:t>
            </w:r>
          </w:p>
        </w:tc>
        <w:tc>
          <w:tcPr>
            <w:tcW w:w="1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85"/>
        </w:trPr>
        <w:tc>
          <w:tcPr>
            <w:tcW w:w="5740" w:type="dxa"/>
            <w:vAlign w:val="bottom"/>
          </w:tcPr>
          <w:p>
            <w:pPr>
              <w:ind w:left="20"/>
              <w:spacing w:after="0"/>
              <w:rPr>
                <w:sz w:val="20"/>
                <w:szCs w:val="20"/>
                <w:color w:val="auto"/>
              </w:rPr>
            </w:pPr>
            <w:r>
              <w:rPr>
                <w:rFonts w:ascii="Arial" w:cs="Arial" w:eastAsia="Arial" w:hAnsi="Arial"/>
                <w:sz w:val="12"/>
                <w:szCs w:val="12"/>
                <w:b w:val="1"/>
                <w:bCs w:val="1"/>
                <w:color w:val="auto"/>
              </w:rPr>
              <w:t>Total derivative instruments</w:t>
            </w: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64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6</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58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6"/>
                <w:szCs w:val="16"/>
                <w:color w:val="auto"/>
              </w:rPr>
            </w:pP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46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bl>
    <w:p>
      <w:pPr>
        <w:spacing w:after="0" w:line="168" w:lineRule="exact"/>
        <w:rPr>
          <w:sz w:val="20"/>
          <w:szCs w:val="20"/>
          <w:color w:val="auto"/>
        </w:rPr>
      </w:pPr>
    </w:p>
    <w:p>
      <w:pPr>
        <w:sectPr>
          <w:pgSz w:w="11900" w:h="16838" w:orient="portrait"/>
          <w:cols w:equalWidth="0" w:num="1">
            <w:col w:w="11488"/>
          </w:cols>
          <w:pgMar w:left="212" w:top="509" w:right="199" w:bottom="1440" w:gutter="0" w:footer="0" w:header="0"/>
        </w:sectPr>
      </w:pPr>
    </w:p>
    <w:p>
      <w:pPr>
        <w:ind w:left="88" w:hanging="88"/>
        <w:spacing w:after="0"/>
        <w:tabs>
          <w:tab w:leader="none" w:pos="88" w:val="left"/>
        </w:tabs>
        <w:numPr>
          <w:ilvl w:val="0"/>
          <w:numId w:val="15"/>
        </w:numPr>
        <w:rPr>
          <w:rFonts w:ascii="Arial" w:cs="Arial" w:eastAsia="Arial" w:hAnsi="Arial"/>
          <w:sz w:val="5"/>
          <w:szCs w:val="5"/>
          <w:color w:val="auto"/>
        </w:rPr>
      </w:pPr>
      <w:r>
        <w:rPr>
          <w:rFonts w:ascii="Arial" w:cs="Arial" w:eastAsia="Arial" w:hAnsi="Arial"/>
          <w:sz w:val="8"/>
          <w:szCs w:val="8"/>
          <w:color w:val="auto"/>
        </w:rPr>
        <w:t>There were no commodity contracts classified as derivative assets as of 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142430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24305" cy="5715"/>
                    </a:xfrm>
                    <a:prstGeom prst="rect">
                      <a:avLst/>
                    </a:prstGeom>
                    <a:noFill/>
                  </pic:spPr>
                </pic:pic>
              </a:graphicData>
            </a:graphic>
          </wp:anchor>
        </w:drawing>
      </w:r>
    </w:p>
    <w:p>
      <w:pPr>
        <w:spacing w:after="0" w:line="158" w:lineRule="exact"/>
        <w:rPr>
          <w:sz w:val="20"/>
          <w:szCs w:val="20"/>
          <w:color w:val="auto"/>
        </w:rPr>
      </w:pPr>
    </w:p>
    <w:p>
      <w:pPr>
        <w:ind w:left="28"/>
        <w:spacing w:after="0"/>
        <w:rPr>
          <w:sz w:val="20"/>
          <w:szCs w:val="20"/>
          <w:color w:val="auto"/>
        </w:rPr>
      </w:pPr>
      <w:r>
        <w:rPr>
          <w:rFonts w:ascii="Arial" w:cs="Arial" w:eastAsia="Arial" w:hAnsi="Arial"/>
          <w:sz w:val="12"/>
          <w:szCs w:val="12"/>
          <w:b w:val="1"/>
          <w:bCs w:val="1"/>
          <w:color w:val="auto"/>
        </w:rPr>
        <w:t>As of December 31, 2017</w:t>
      </w:r>
    </w:p>
    <w:p>
      <w:pPr>
        <w:spacing w:after="0" w:line="42" w:lineRule="exact"/>
        <w:rPr>
          <w:sz w:val="20"/>
          <w:szCs w:val="20"/>
          <w:color w:val="auto"/>
        </w:rPr>
      </w:pPr>
    </w:p>
    <w:p>
      <w:pPr>
        <w:ind w:left="28"/>
        <w:spacing w:after="0"/>
        <w:rPr>
          <w:sz w:val="20"/>
          <w:szCs w:val="20"/>
          <w:color w:val="auto"/>
        </w:rPr>
      </w:pPr>
      <w:r>
        <w:rPr>
          <w:rFonts w:ascii="Arial" w:cs="Arial" w:eastAsia="Arial" w:hAnsi="Arial"/>
          <w:sz w:val="12"/>
          <w:szCs w:val="12"/>
          <w:b w:val="1"/>
          <w:bCs w:val="1"/>
          <w:color w:val="auto"/>
        </w:rPr>
        <w:t>Commodity contracts:</w:t>
      </w:r>
    </w:p>
    <w:p>
      <w:pPr>
        <w:spacing w:after="0" w:line="46" w:lineRule="exact"/>
        <w:rPr>
          <w:sz w:val="20"/>
          <w:szCs w:val="20"/>
          <w:color w:val="auto"/>
        </w:rPr>
      </w:pPr>
    </w:p>
    <w:p>
      <w:pPr>
        <w:ind w:left="188"/>
        <w:spacing w:after="0"/>
        <w:rPr>
          <w:sz w:val="20"/>
          <w:szCs w:val="20"/>
          <w:color w:val="auto"/>
        </w:rPr>
      </w:pPr>
      <w:r>
        <w:rPr>
          <w:rFonts w:ascii="Arial" w:cs="Arial" w:eastAsia="Arial" w:hAnsi="Arial"/>
          <w:sz w:val="12"/>
          <w:szCs w:val="12"/>
          <w:color w:val="auto"/>
        </w:rPr>
        <w:t>Derivative assets</w:t>
      </w:r>
    </w:p>
    <w:p>
      <w:pPr>
        <w:spacing w:after="0" w:line="42" w:lineRule="exact"/>
        <w:rPr>
          <w:sz w:val="20"/>
          <w:szCs w:val="20"/>
          <w:color w:val="auto"/>
        </w:rPr>
      </w:pPr>
    </w:p>
    <w:p>
      <w:pPr>
        <w:ind w:left="188"/>
        <w:spacing w:after="0"/>
        <w:rPr>
          <w:sz w:val="20"/>
          <w:szCs w:val="20"/>
          <w:color w:val="auto"/>
        </w:rPr>
      </w:pPr>
      <w:r>
        <w:rPr>
          <w:rFonts w:ascii="Arial" w:cs="Arial" w:eastAsia="Arial" w:hAnsi="Arial"/>
          <w:sz w:val="12"/>
          <w:szCs w:val="12"/>
          <w:color w:val="auto"/>
        </w:rPr>
        <w:t>Derivative liabilities</w:t>
      </w:r>
    </w:p>
    <w:p>
      <w:pPr>
        <w:spacing w:after="0" w:line="47" w:lineRule="exact"/>
        <w:rPr>
          <w:sz w:val="20"/>
          <w:szCs w:val="20"/>
          <w:color w:val="auto"/>
        </w:rPr>
      </w:pPr>
    </w:p>
    <w:p>
      <w:pPr>
        <w:ind w:left="28"/>
        <w:spacing w:after="0"/>
        <w:rPr>
          <w:sz w:val="20"/>
          <w:szCs w:val="20"/>
          <w:color w:val="auto"/>
        </w:rPr>
      </w:pPr>
      <w:r>
        <w:rPr>
          <w:rFonts w:ascii="Arial" w:cs="Arial" w:eastAsia="Arial" w:hAnsi="Arial"/>
          <w:sz w:val="12"/>
          <w:szCs w:val="12"/>
          <w:b w:val="1"/>
          <w:bCs w:val="1"/>
          <w:color w:val="auto"/>
        </w:rPr>
        <w:t>Total commodity contracts</w:t>
      </w:r>
    </w:p>
    <w:p>
      <w:pPr>
        <w:spacing w:after="0" w:line="51" w:lineRule="exact"/>
        <w:rPr>
          <w:sz w:val="20"/>
          <w:szCs w:val="20"/>
          <w:color w:val="auto"/>
        </w:rPr>
      </w:pPr>
    </w:p>
    <w:p>
      <w:pPr>
        <w:ind w:left="28"/>
        <w:spacing w:after="0"/>
        <w:rPr>
          <w:sz w:val="20"/>
          <w:szCs w:val="20"/>
          <w:color w:val="auto"/>
        </w:rPr>
      </w:pPr>
      <w:r>
        <w:rPr>
          <w:rFonts w:ascii="Arial" w:cs="Arial" w:eastAsia="Arial" w:hAnsi="Arial"/>
          <w:sz w:val="12"/>
          <w:szCs w:val="12"/>
          <w:b w:val="1"/>
          <w:bCs w:val="1"/>
          <w:color w:val="auto"/>
        </w:rPr>
        <w:t>Interest rate contracts: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200" w:type="dxa"/>
            <w:vAlign w:val="bottom"/>
          </w:tcPr>
          <w:p>
            <w:pPr>
              <w:spacing w:after="0"/>
              <w:rPr>
                <w:sz w:val="10"/>
                <w:szCs w:val="10"/>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84"/>
              </w:rPr>
              <w:t>Gross Amounts of Recognized</w:t>
            </w:r>
          </w:p>
        </w:tc>
        <w:tc>
          <w:tcPr>
            <w:tcW w:w="2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60" w:type="dxa"/>
            <w:vAlign w:val="bottom"/>
          </w:tcPr>
          <w:p>
            <w:pPr>
              <w:spacing w:after="0"/>
              <w:rPr>
                <w:sz w:val="10"/>
                <w:szCs w:val="10"/>
                <w:color w:val="auto"/>
              </w:rPr>
            </w:pPr>
          </w:p>
        </w:tc>
      </w:tr>
      <w:tr>
        <w:trPr>
          <w:trHeight w:val="128"/>
        </w:trPr>
        <w:tc>
          <w:tcPr>
            <w:tcW w:w="20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0"/>
                <w:szCs w:val="10"/>
                <w:b w:val="1"/>
                <w:bCs w:val="1"/>
                <w:color w:val="auto"/>
                <w:w w:val="83"/>
              </w:rPr>
              <w:t>Assets/Liabilities</w:t>
            </w:r>
          </w:p>
        </w:tc>
        <w:tc>
          <w:tcPr>
            <w:tcW w:w="26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0"/>
                <w:szCs w:val="10"/>
                <w:b w:val="1"/>
                <w:bCs w:val="1"/>
                <w:color w:val="auto"/>
                <w:w w:val="88"/>
              </w:rPr>
              <w:t>Derivative Instruments</w:t>
            </w:r>
          </w:p>
        </w:tc>
        <w:tc>
          <w:tcPr>
            <w:tcW w:w="36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jc w:val="right"/>
              <w:ind w:right="603"/>
              <w:spacing w:after="0"/>
              <w:rPr>
                <w:sz w:val="20"/>
                <w:szCs w:val="20"/>
                <w:color w:val="auto"/>
              </w:rPr>
            </w:pPr>
            <w:r>
              <w:rPr>
                <w:rFonts w:ascii="Arial" w:cs="Arial" w:eastAsia="Arial" w:hAnsi="Arial"/>
                <w:sz w:val="10"/>
                <w:szCs w:val="10"/>
                <w:b w:val="1"/>
                <w:bCs w:val="1"/>
                <w:color w:val="auto"/>
              </w:rPr>
              <w:t>Net Amount</w:t>
            </w:r>
          </w:p>
        </w:tc>
      </w:tr>
      <w:tr>
        <w:trPr>
          <w:trHeight w:val="156"/>
        </w:trPr>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9"/>
              </w:rPr>
              <w:t>(In millions)</w:t>
            </w:r>
          </w:p>
        </w:tc>
        <w:tc>
          <w:tcPr>
            <w:tcW w:w="36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70"/>
        </w:trPr>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640" w:type="dxa"/>
            <w:vAlign w:val="bottom"/>
          </w:tcPr>
          <w:p>
            <w:pPr>
              <w:jc w:val="right"/>
              <w:ind w:right="65"/>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700" w:type="dxa"/>
            <w:vAlign w:val="bottom"/>
            <w:gridSpan w:val="2"/>
          </w:tcPr>
          <w:p>
            <w:pPr>
              <w:ind w:left="1360"/>
              <w:spacing w:after="0"/>
              <w:rPr>
                <w:sz w:val="20"/>
                <w:szCs w:val="20"/>
                <w:color w:val="auto"/>
              </w:rPr>
            </w:pPr>
            <w:r>
              <w:rPr>
                <w:rFonts w:ascii="Arial" w:cs="Arial" w:eastAsia="Arial" w:hAnsi="Arial"/>
                <w:sz w:val="12"/>
                <w:szCs w:val="12"/>
                <w:color w:val="auto"/>
              </w:rPr>
              <w:t>—</w:t>
            </w: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460" w:type="dxa"/>
            <w:vAlign w:val="bottom"/>
          </w:tcPr>
          <w:p>
            <w:pPr>
              <w:jc w:val="right"/>
              <w:ind w:right="63"/>
              <w:spacing w:after="0"/>
              <w:rPr>
                <w:sz w:val="20"/>
                <w:szCs w:val="20"/>
                <w:color w:val="auto"/>
              </w:rPr>
            </w:pPr>
            <w:r>
              <w:rPr>
                <w:rFonts w:ascii="Arial" w:cs="Arial" w:eastAsia="Arial" w:hAnsi="Arial"/>
                <w:sz w:val="12"/>
                <w:szCs w:val="12"/>
                <w:color w:val="auto"/>
              </w:rPr>
              <w:t>1</w:t>
            </w:r>
          </w:p>
        </w:tc>
      </w:tr>
      <w:tr>
        <w:trPr>
          <w:trHeight w:val="189"/>
        </w:trPr>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5"/>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ind w:left="13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(1)</w:t>
            </w:r>
          </w:p>
        </w:tc>
      </w:tr>
      <w:tr>
        <w:trPr>
          <w:trHeight w:val="169"/>
        </w:trPr>
        <w:tc>
          <w:tcPr>
            <w:tcW w:w="2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65"/>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ind w:left="13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-3649345</wp:posOffset>
            </wp:positionH>
            <wp:positionV relativeFrom="paragraph">
              <wp:posOffset>-239395</wp:posOffset>
            </wp:positionV>
            <wp:extent cx="7292340" cy="1143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2340" cy="114300"/>
                    </a:xfrm>
                    <a:prstGeom prst="rect">
                      <a:avLst/>
                    </a:prstGeom>
                    <a:noFill/>
                  </pic:spPr>
                </pic:pic>
              </a:graphicData>
            </a:graphic>
          </wp:anchor>
        </w:drawing>
        <w:drawing>
          <wp:anchor simplePos="0" relativeHeight="251657728" behindDoc="1" locked="0" layoutInCell="0" allowOverlap="1">
            <wp:simplePos x="0" y="0"/>
            <wp:positionH relativeFrom="column">
              <wp:posOffset>-3649345</wp:posOffset>
            </wp:positionH>
            <wp:positionV relativeFrom="paragraph">
              <wp:posOffset>-5080</wp:posOffset>
            </wp:positionV>
            <wp:extent cx="7292340" cy="1200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2340" cy="120015"/>
                    </a:xfrm>
                    <a:prstGeom prst="rect">
                      <a:avLst/>
                    </a:prstGeom>
                    <a:noFill/>
                  </pic:spPr>
                </pic:pic>
              </a:graphicData>
            </a:graphic>
          </wp:anchor>
        </w:drawing>
      </w:r>
    </w:p>
    <w:p>
      <w:pPr>
        <w:spacing w:after="0" w:line="189" w:lineRule="exact"/>
        <w:rPr>
          <w:sz w:val="20"/>
          <w:szCs w:val="20"/>
          <w:color w:val="auto"/>
        </w:rPr>
      </w:pPr>
    </w:p>
    <w:p>
      <w:pPr>
        <w:sectPr>
          <w:pgSz w:w="11900" w:h="16838" w:orient="portrait"/>
          <w:cols w:equalWidth="0" w:num="2">
            <w:col w:w="5028" w:space="720"/>
            <w:col w:w="5740"/>
          </w:cols>
          <w:pgMar w:left="212" w:top="509" w:right="199" w:bottom="1440" w:gutter="0" w:footer="0" w:header="0"/>
          <w:type w:val="continuous"/>
        </w:sectPr>
      </w:pPr>
    </w:p>
    <w:tbl>
      <w:tblPr>
        <w:tblLayout w:type="fixed"/>
        <w:tblInd w:w="8" w:type="dxa"/>
        <w:tblCellMar>
          <w:top w:w="0" w:type="dxa"/>
          <w:left w:w="0" w:type="dxa"/>
          <w:bottom w:w="0" w:type="dxa"/>
          <w:right w:w="0" w:type="dxa"/>
        </w:tblCellMar>
      </w:tblPr>
      <w:tr>
        <w:trPr>
          <w:trHeight w:val="162"/>
        </w:trPr>
        <w:tc>
          <w:tcPr>
            <w:tcW w:w="5740" w:type="dxa"/>
            <w:vAlign w:val="bottom"/>
          </w:tcPr>
          <w:p>
            <w:pPr>
              <w:ind w:left="180"/>
              <w:spacing w:after="0"/>
              <w:rPr>
                <w:sz w:val="20"/>
                <w:szCs w:val="20"/>
                <w:color w:val="auto"/>
              </w:rPr>
            </w:pPr>
            <w:r>
              <w:rPr>
                <w:rFonts w:ascii="Arial" w:cs="Arial" w:eastAsia="Arial" w:hAnsi="Arial"/>
                <w:sz w:val="12"/>
                <w:szCs w:val="12"/>
                <w:color w:val="auto"/>
              </w:rPr>
              <w:t>Derivative assets</w:t>
            </w:r>
          </w:p>
        </w:tc>
        <w:tc>
          <w:tcPr>
            <w:tcW w:w="820" w:type="dxa"/>
            <w:vAlign w:val="bottom"/>
          </w:tcPr>
          <w:p>
            <w:pPr>
              <w:spacing w:after="0"/>
              <w:rPr>
                <w:sz w:val="14"/>
                <w:szCs w:val="14"/>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57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Derivative liabilities</w:t>
            </w:r>
          </w:p>
        </w:tc>
        <w:tc>
          <w:tcPr>
            <w:tcW w:w="8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(48)</w:t>
            </w:r>
          </w:p>
        </w:tc>
        <w:tc>
          <w:tcPr>
            <w:tcW w:w="12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(47)</w:t>
            </w:r>
          </w:p>
        </w:tc>
      </w:tr>
      <w:tr>
        <w:trPr>
          <w:trHeight w:val="160"/>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Total interest rate contracts</w:t>
            </w:r>
          </w:p>
        </w:tc>
        <w:tc>
          <w:tcPr>
            <w:tcW w:w="8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(47)</w:t>
            </w:r>
          </w:p>
        </w:tc>
        <w:tc>
          <w:tcPr>
            <w:tcW w:w="12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(47)</w:t>
            </w:r>
          </w:p>
        </w:tc>
      </w:tr>
      <w:tr>
        <w:trPr>
          <w:trHeight w:val="185"/>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Total derivative instruments</w:t>
            </w:r>
          </w:p>
        </w:tc>
        <w:tc>
          <w:tcPr>
            <w:tcW w:w="820" w:type="dxa"/>
            <w:vAlign w:val="bottom"/>
            <w:tcBorders>
              <w:bottom w:val="single" w:sz="8" w:color="auto"/>
            </w:tcBorders>
            <w:shd w:val="clear" w:color="auto" w:fill="CCEEFF"/>
          </w:tcPr>
          <w:p>
            <w:pPr>
              <w:jc w:val="right"/>
              <w:ind w:right="68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(47)</w:t>
            </w: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70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68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(47)</w:t>
            </w:r>
          </w:p>
        </w:tc>
      </w:tr>
    </w:tbl>
    <w:p>
      <w:pPr>
        <w:spacing w:after="0" w:line="99"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Accumulated Other Comprehensive Loss</w:t>
      </w:r>
    </w:p>
    <w:p>
      <w:pPr>
        <w:spacing w:after="0" w:line="78" w:lineRule="exact"/>
        <w:rPr>
          <w:sz w:val="20"/>
          <w:szCs w:val="20"/>
          <w:color w:val="auto"/>
        </w:rPr>
      </w:pPr>
    </w:p>
    <w:p>
      <w:pPr>
        <w:ind w:left="268"/>
        <w:spacing w:after="0"/>
        <w:rPr>
          <w:sz w:val="20"/>
          <w:szCs w:val="20"/>
          <w:color w:val="auto"/>
        </w:rPr>
      </w:pPr>
      <w:r>
        <w:rPr>
          <w:rFonts w:ascii="Arial" w:cs="Arial" w:eastAsia="Arial" w:hAnsi="Arial"/>
          <w:sz w:val="12"/>
          <w:szCs w:val="12"/>
          <w:color w:val="auto"/>
        </w:rPr>
        <w:t>The following table summarizes the effects on the Company’s accumulated OCL balance attributable to interest rate swaps designated as cash flow hedge derivatives, net of tax:</w:t>
      </w:r>
    </w:p>
    <w:p>
      <w:pPr>
        <w:spacing w:after="0" w:line="154"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608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3"/>
          </w:tcPr>
          <w:p>
            <w:pPr>
              <w:jc w:val="right"/>
              <w:ind w:right="244"/>
              <w:spacing w:after="0"/>
              <w:rPr>
                <w:sz w:val="20"/>
                <w:szCs w:val="20"/>
                <w:color w:val="auto"/>
              </w:rPr>
            </w:pPr>
            <w:r>
              <w:rPr>
                <w:rFonts w:ascii="Arial" w:cs="Arial" w:eastAsia="Arial" w:hAnsi="Arial"/>
                <w:sz w:val="10"/>
                <w:szCs w:val="10"/>
                <w:b w:val="1"/>
                <w:bCs w:val="1"/>
                <w:color w:val="auto"/>
                <w:w w:val="83"/>
              </w:rPr>
              <w:t>Three months ended June 30,</w:t>
            </w:r>
          </w:p>
        </w:tc>
        <w:tc>
          <w:tcPr>
            <w:tcW w:w="4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85"/>
              </w:rPr>
              <w:t>Six months ended June 30,</w:t>
            </w:r>
          </w:p>
        </w:tc>
        <w:tc>
          <w:tcPr>
            <w:tcW w:w="740" w:type="dxa"/>
            <w:vAlign w:val="bottom"/>
            <w:tcBorders>
              <w:bottom w:val="single" w:sz="8" w:color="auto"/>
            </w:tcBorders>
          </w:tcPr>
          <w:p>
            <w:pPr>
              <w:spacing w:after="0"/>
              <w:rPr>
                <w:sz w:val="11"/>
                <w:szCs w:val="11"/>
                <w:color w:val="auto"/>
              </w:rPr>
            </w:pPr>
          </w:p>
        </w:tc>
      </w:tr>
      <w:tr>
        <w:trPr>
          <w:trHeight w:val="169"/>
        </w:trPr>
        <w:tc>
          <w:tcPr>
            <w:tcW w:w="608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2018</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64"/>
              <w:spacing w:after="0"/>
              <w:rPr>
                <w:sz w:val="20"/>
                <w:szCs w:val="20"/>
                <w:color w:val="auto"/>
              </w:rPr>
            </w:pPr>
            <w:r>
              <w:rPr>
                <w:rFonts w:ascii="Arial" w:cs="Arial" w:eastAsia="Arial" w:hAnsi="Arial"/>
                <w:sz w:val="10"/>
                <w:szCs w:val="10"/>
                <w:b w:val="1"/>
                <w:bCs w:val="1"/>
                <w:color w:val="auto"/>
              </w:rPr>
              <w:t>2017</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2018</w:t>
            </w: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62"/>
              <w:spacing w:after="0"/>
              <w:rPr>
                <w:sz w:val="20"/>
                <w:szCs w:val="20"/>
                <w:color w:val="auto"/>
              </w:rPr>
            </w:pPr>
            <w:r>
              <w:rPr>
                <w:rFonts w:ascii="Arial" w:cs="Arial" w:eastAsia="Arial" w:hAnsi="Arial"/>
                <w:sz w:val="10"/>
                <w:szCs w:val="10"/>
                <w:b w:val="1"/>
                <w:bCs w:val="1"/>
                <w:color w:val="auto"/>
                <w:w w:val="89"/>
              </w:rPr>
              <w:t>2017</w:t>
            </w:r>
          </w:p>
        </w:tc>
      </w:tr>
      <w:tr>
        <w:trPr>
          <w:trHeight w:val="160"/>
        </w:trPr>
        <w:tc>
          <w:tcPr>
            <w:tcW w:w="608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ind w:right="503"/>
              <w:spacing w:after="0"/>
              <w:rPr>
                <w:sz w:val="20"/>
                <w:szCs w:val="20"/>
                <w:color w:val="auto"/>
              </w:rPr>
            </w:pPr>
            <w:r>
              <w:rPr>
                <w:rFonts w:ascii="Arial" w:cs="Arial" w:eastAsia="Arial" w:hAnsi="Arial"/>
                <w:sz w:val="10"/>
                <w:szCs w:val="10"/>
                <w:b w:val="1"/>
                <w:bCs w:val="1"/>
                <w:color w:val="auto"/>
              </w:rPr>
              <w:t>(In millions)</w:t>
            </w: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r>
      <w:tr>
        <w:trPr>
          <w:trHeight w:val="173"/>
        </w:trPr>
        <w:tc>
          <w:tcPr>
            <w:tcW w:w="6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Accumulated OCL beginning balance</w:t>
            </w:r>
          </w:p>
        </w:tc>
        <w:tc>
          <w:tcPr>
            <w:tcW w:w="740" w:type="dxa"/>
            <w:vAlign w:val="bottom"/>
            <w:shd w:val="clear" w:color="auto" w:fill="CCEEFF"/>
          </w:tcPr>
          <w:p>
            <w:pPr>
              <w:jc w:val="right"/>
              <w:ind w:right="603"/>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(43)</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724"/>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(64)</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603"/>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(60)</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(70)</w:t>
            </w:r>
          </w:p>
        </w:tc>
      </w:tr>
      <w:tr>
        <w:trPr>
          <w:trHeight w:val="171"/>
        </w:trPr>
        <w:tc>
          <w:tcPr>
            <w:tcW w:w="6080" w:type="dxa"/>
            <w:vAlign w:val="bottom"/>
          </w:tcPr>
          <w:p>
            <w:pPr>
              <w:ind w:left="120"/>
              <w:spacing w:after="0"/>
              <w:rPr>
                <w:sz w:val="20"/>
                <w:szCs w:val="20"/>
                <w:color w:val="auto"/>
              </w:rPr>
            </w:pPr>
            <w:r>
              <w:rPr>
                <w:rFonts w:ascii="Arial" w:cs="Arial" w:eastAsia="Arial" w:hAnsi="Arial"/>
                <w:sz w:val="12"/>
                <w:szCs w:val="12"/>
                <w:color w:val="auto"/>
              </w:rPr>
              <w:t>Reclassified from accumulated OCL to income due to realization of previously deferred amounts</w:t>
            </w:r>
          </w:p>
        </w:tc>
        <w:tc>
          <w:tcPr>
            <w:tcW w:w="740" w:type="dxa"/>
            <w:vAlign w:val="bottom"/>
          </w:tcPr>
          <w:p>
            <w:pPr>
              <w:spacing w:after="0"/>
              <w:rPr>
                <w:sz w:val="14"/>
                <w:szCs w:val="14"/>
                <w:color w:val="auto"/>
              </w:rPr>
            </w:pPr>
          </w:p>
        </w:tc>
        <w:tc>
          <w:tcPr>
            <w:tcW w:w="540" w:type="dxa"/>
            <w:vAlign w:val="bottom"/>
          </w:tcPr>
          <w:p>
            <w:pPr>
              <w:jc w:val="right"/>
              <w:ind w:right="61"/>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jc w:val="right"/>
              <w:ind w:right="62"/>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jc w:val="right"/>
              <w:ind w:right="61"/>
              <w:spacing w:after="0"/>
              <w:rPr>
                <w:sz w:val="20"/>
                <w:szCs w:val="20"/>
                <w:color w:val="auto"/>
              </w:rPr>
            </w:pPr>
            <w:r>
              <w:rPr>
                <w:rFonts w:ascii="Arial" w:cs="Arial" w:eastAsia="Arial" w:hAnsi="Arial"/>
                <w:sz w:val="12"/>
                <w:szCs w:val="12"/>
                <w:color w:val="auto"/>
              </w:rPr>
              <w:t>6</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jc w:val="right"/>
              <w:ind w:right="62"/>
              <w:spacing w:after="0"/>
              <w:rPr>
                <w:sz w:val="20"/>
                <w:szCs w:val="20"/>
                <w:color w:val="auto"/>
              </w:rPr>
            </w:pPr>
            <w:r>
              <w:rPr>
                <w:rFonts w:ascii="Arial" w:cs="Arial" w:eastAsia="Arial" w:hAnsi="Arial"/>
                <w:sz w:val="12"/>
                <w:szCs w:val="12"/>
                <w:color w:val="auto"/>
              </w:rPr>
              <w:t>6</w:t>
            </w:r>
          </w:p>
        </w:tc>
      </w:tr>
      <w:tr>
        <w:trPr>
          <w:trHeight w:val="180"/>
        </w:trPr>
        <w:tc>
          <w:tcPr>
            <w:tcW w:w="60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Mark-to-market of cash flow hedge accounting contracts</w:t>
            </w:r>
          </w:p>
        </w:tc>
        <w:tc>
          <w:tcPr>
            <w:tcW w:w="7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(8)</w:t>
            </w:r>
          </w:p>
        </w:tc>
        <w:tc>
          <w:tcPr>
            <w:tcW w:w="12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18</w:t>
            </w:r>
          </w:p>
        </w:tc>
        <w:tc>
          <w:tcPr>
            <w:tcW w:w="12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(6)</w:t>
            </w:r>
          </w:p>
        </w:tc>
      </w:tr>
      <w:tr>
        <w:trPr>
          <w:trHeight w:val="185"/>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Accumulated OCL ending balance, net of income tax benefit of $6 and $16, respectively</w:t>
            </w:r>
          </w:p>
        </w:tc>
        <w:tc>
          <w:tcPr>
            <w:tcW w:w="7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(36)</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(70)</w:t>
            </w:r>
          </w:p>
        </w:tc>
        <w:tc>
          <w:tcPr>
            <w:tcW w:w="1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(36)</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(70)</w:t>
            </w:r>
          </w:p>
        </w:tc>
      </w:tr>
      <w:tr>
        <w:trPr>
          <w:trHeight w:val="171"/>
        </w:trPr>
        <w:tc>
          <w:tcPr>
            <w:tcW w:w="6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Accumulated OCL attributable to noncontrolling interests</w:t>
            </w:r>
          </w:p>
        </w:tc>
        <w:tc>
          <w:tcPr>
            <w:tcW w:w="7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(19)</w:t>
            </w:r>
          </w:p>
        </w:tc>
        <w:tc>
          <w:tcPr>
            <w:tcW w:w="10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(42)</w:t>
            </w:r>
          </w:p>
        </w:tc>
        <w:tc>
          <w:tcPr>
            <w:tcW w:w="120" w:type="dxa"/>
            <w:vAlign w:val="bottom"/>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(19)</w:t>
            </w:r>
          </w:p>
        </w:tc>
        <w:tc>
          <w:tcPr>
            <w:tcW w:w="12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(42)</w:t>
            </w:r>
          </w:p>
        </w:tc>
      </w:tr>
      <w:tr>
        <w:trPr>
          <w:trHeight w:val="185"/>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Accumulated OCL attributable to NRG Yield, Inc.</w:t>
            </w:r>
          </w:p>
        </w:tc>
        <w:tc>
          <w:tcPr>
            <w:tcW w:w="740" w:type="dxa"/>
            <w:vAlign w:val="bottom"/>
            <w:tcBorders>
              <w:bottom w:val="single" w:sz="8" w:color="auto"/>
            </w:tcBorders>
          </w:tcPr>
          <w:p>
            <w:pPr>
              <w:jc w:val="right"/>
              <w:ind w:right="603"/>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(17)</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724"/>
              <w:spacing w:after="0"/>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(28)</w:t>
            </w:r>
          </w:p>
        </w:tc>
        <w:tc>
          <w:tcPr>
            <w:tcW w:w="1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ind w:right="603"/>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(17)</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(28)</w:t>
            </w:r>
          </w:p>
        </w:tc>
      </w:tr>
      <w:tr>
        <w:trPr>
          <w:trHeight w:val="180"/>
        </w:trPr>
        <w:tc>
          <w:tcPr>
            <w:tcW w:w="6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Losses expected to be realized from OCL during the next 12 months, net of income tax benefit of $1</w:t>
            </w:r>
          </w:p>
        </w:tc>
        <w:tc>
          <w:tcPr>
            <w:tcW w:w="740" w:type="dxa"/>
            <w:vAlign w:val="bottom"/>
            <w:shd w:val="clear" w:color="auto" w:fill="CCEEFF"/>
          </w:tcPr>
          <w:p>
            <w:pPr>
              <w:jc w:val="right"/>
              <w:ind w:right="603"/>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9</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603"/>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9</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bl>
    <w:p>
      <w:pPr>
        <w:spacing w:after="0" w:line="135" w:lineRule="exact"/>
        <w:rPr>
          <w:sz w:val="20"/>
          <w:szCs w:val="20"/>
          <w:color w:val="auto"/>
        </w:rPr>
      </w:pPr>
    </w:p>
    <w:p>
      <w:pPr>
        <w:jc w:val="both"/>
        <w:ind w:left="8" w:firstLine="261"/>
        <w:spacing w:after="0" w:line="323" w:lineRule="auto"/>
        <w:rPr>
          <w:sz w:val="20"/>
          <w:szCs w:val="20"/>
          <w:color w:val="auto"/>
        </w:rPr>
      </w:pPr>
      <w:r>
        <w:rPr>
          <w:rFonts w:ascii="Arial" w:cs="Arial" w:eastAsia="Arial" w:hAnsi="Arial"/>
          <w:sz w:val="11"/>
          <w:szCs w:val="11"/>
          <w:color w:val="auto"/>
        </w:rPr>
        <w:t>The Company's regression analysis for Marsh Landing, Walnut Creek and Avra Valley interest rate swaps, while positively correlated, no longer contain matching terms for cash flow hedge accounting. As a result, the Company voluntarily de-designated the Marsh Landing, Walnut Creek and Avra Valley cash flow hedges as of April 28, 2017, and will prospectively mark these derivatives to market through the income statement.</w:t>
      </w:r>
    </w:p>
    <w:p>
      <w:pPr>
        <w:spacing w:after="0" w:line="164"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Impact of Derivative Instruments on the Statements of Operations</w:t>
      </w:r>
    </w:p>
    <w:p>
      <w:pPr>
        <w:spacing w:after="0" w:line="114" w:lineRule="exact"/>
        <w:rPr>
          <w:sz w:val="20"/>
          <w:szCs w:val="20"/>
          <w:color w:val="auto"/>
        </w:rPr>
      </w:pPr>
    </w:p>
    <w:p>
      <w:pPr>
        <w:jc w:val="both"/>
        <w:ind w:left="8" w:firstLine="270"/>
        <w:spacing w:after="0" w:line="276" w:lineRule="auto"/>
        <w:rPr>
          <w:sz w:val="20"/>
          <w:szCs w:val="20"/>
          <w:color w:val="auto"/>
        </w:rPr>
      </w:pPr>
      <w:r>
        <w:rPr>
          <w:rFonts w:ascii="Arial" w:cs="Arial" w:eastAsia="Arial" w:hAnsi="Arial"/>
          <w:sz w:val="12"/>
          <w:szCs w:val="12"/>
          <w:color w:val="auto"/>
        </w:rPr>
        <w:t>The Company has interest rate derivative instruments that are not designated as cash flow hedges. The effect of interest rate hedges is recorded to interest expense. For the three months ended June 30, 2018 and 2017, the impact to the consolidated</w:t>
      </w:r>
    </w:p>
    <w:p>
      <w:pPr>
        <w:spacing w:after="0" w:line="24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26</w:t>
      </w:r>
    </w:p>
    <w:p>
      <w:pPr>
        <w:sectPr>
          <w:pgSz w:w="11900" w:h="16838" w:orient="portrait"/>
          <w:cols w:equalWidth="0" w:num="1">
            <w:col w:w="11488"/>
          </w:cols>
          <w:pgMar w:left="212" w:top="509" w:right="199" w:bottom="1440" w:gutter="0" w:footer="0" w:header="0"/>
          <w:type w:val="continuous"/>
        </w:sectPr>
      </w:pPr>
    </w:p>
    <w:bookmarkStart w:id="26" w:name="page27"/>
    <w:bookmarkEnd w:id="26"/>
    <w:p>
      <w:pPr>
        <w:jc w:val="both"/>
        <w:spacing w:after="0" w:line="276" w:lineRule="auto"/>
        <w:rPr>
          <w:sz w:val="20"/>
          <w:szCs w:val="20"/>
          <w:color w:val="auto"/>
        </w:rPr>
      </w:pPr>
      <w:r>
        <w:rPr>
          <w:rFonts w:ascii="Arial" w:cs="Arial" w:eastAsia="Arial" w:hAnsi="Arial"/>
          <w:sz w:val="12"/>
          <w:szCs w:val="12"/>
          <w:color w:val="auto"/>
        </w:rPr>
        <w:t>statements of income was a gain of $7 million and a loss of $13 million, respectively. For the six months ended June 30, 2018 and 2017, the impact to the consolidated statements of operations was a gain of $31 million and a loss of $9 million, respectively.</w:t>
      </w:r>
    </w:p>
    <w:p>
      <w:pPr>
        <w:spacing w:after="0" w:line="79"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auto"/>
        </w:rPr>
        <w:t>A portion of the Company’s derivative commodity contracts relates to its Thermal Business for the purchase of fuel commodities based on the forecasted usage of the thermal district energy centers. Realized gains and losses on these contracts are reflected in the fuel costs that are permitted to be billed to customers through the related customer contracts or tariffs and, accordingly, no gains or losses are reflected in the consolidated statements of income for these contracts.</w:t>
      </w:r>
    </w:p>
    <w:p>
      <w:pPr>
        <w:spacing w:after="0" w:line="87" w:lineRule="exact"/>
        <w:rPr>
          <w:sz w:val="20"/>
          <w:szCs w:val="20"/>
          <w:color w:val="auto"/>
        </w:rPr>
      </w:pPr>
    </w:p>
    <w:p>
      <w:pPr>
        <w:ind w:left="260"/>
        <w:spacing w:after="0"/>
        <w:rPr>
          <w:sz w:val="20"/>
          <w:szCs w:val="20"/>
          <w:color w:val="auto"/>
        </w:rPr>
      </w:pPr>
      <w:r>
        <w:rPr>
          <w:rFonts w:ascii="Arial" w:cs="Arial" w:eastAsia="Arial" w:hAnsi="Arial"/>
          <w:sz w:val="12"/>
          <w:szCs w:val="12"/>
          <w:color w:val="auto"/>
        </w:rPr>
        <w:t xml:space="preserve">See Note 5, </w:t>
      </w:r>
      <w:r>
        <w:rPr>
          <w:rFonts w:ascii="Arial" w:cs="Arial" w:eastAsia="Arial" w:hAnsi="Arial"/>
          <w:sz w:val="12"/>
          <w:szCs w:val="12"/>
          <w:i w:val="1"/>
          <w:iCs w:val="1"/>
          <w:color w:val="auto"/>
        </w:rPr>
        <w:t>Fair Value of Financial Instruments</w:t>
      </w:r>
      <w:r>
        <w:rPr>
          <w:rFonts w:ascii="Arial" w:cs="Arial" w:eastAsia="Arial" w:hAnsi="Arial"/>
          <w:sz w:val="12"/>
          <w:szCs w:val="12"/>
          <w:color w:val="auto"/>
        </w:rPr>
        <w:t>, for a discussion regarding concentration of credit risk.</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11480"/>
          </w:cols>
          <w:pgMar w:left="220" w:top="509" w:right="199" w:bottom="1440" w:gutter="0" w:footer="0" w:header="0"/>
        </w:sectPr>
      </w:pPr>
    </w:p>
    <w:bookmarkStart w:id="27" w:name="page28"/>
    <w:bookmarkEnd w:id="27"/>
    <w:p>
      <w:pPr>
        <w:ind w:left="8"/>
        <w:spacing w:after="0"/>
        <w:rPr>
          <w:sz w:val="20"/>
          <w:szCs w:val="20"/>
          <w:color w:val="auto"/>
        </w:rPr>
      </w:pPr>
      <w:r>
        <w:rPr>
          <w:rFonts w:ascii="Arial" w:cs="Arial" w:eastAsia="Arial" w:hAnsi="Arial"/>
          <w:sz w:val="12"/>
          <w:szCs w:val="12"/>
          <w:b w:val="1"/>
          <w:bCs w:val="1"/>
          <w:color w:val="auto"/>
        </w:rPr>
        <w:t xml:space="preserve">Note 7 — </w:t>
      </w:r>
      <w:r>
        <w:rPr>
          <w:rFonts w:ascii="Arial" w:cs="Arial" w:eastAsia="Arial" w:hAnsi="Arial"/>
          <w:sz w:val="12"/>
          <w:szCs w:val="12"/>
          <w:b w:val="1"/>
          <w:bCs w:val="1"/>
          <w:i w:val="1"/>
          <w:iCs w:val="1"/>
          <w:color w:val="auto"/>
        </w:rPr>
        <w:t>Long-term Debt</w:t>
      </w:r>
    </w:p>
    <w:p>
      <w:pPr>
        <w:spacing w:after="0" w:line="82" w:lineRule="exact"/>
        <w:rPr>
          <w:sz w:val="20"/>
          <w:szCs w:val="20"/>
          <w:color w:val="auto"/>
        </w:rPr>
      </w:pPr>
    </w:p>
    <w:p>
      <w:pPr>
        <w:ind w:left="8" w:right="440" w:firstLine="270"/>
        <w:spacing w:after="0" w:line="276" w:lineRule="auto"/>
        <w:rPr>
          <w:sz w:val="20"/>
          <w:szCs w:val="20"/>
          <w:color w:val="auto"/>
        </w:rPr>
      </w:pPr>
      <w:r>
        <w:rPr>
          <w:rFonts w:ascii="Arial" w:cs="Arial" w:eastAsia="Arial" w:hAnsi="Arial"/>
          <w:sz w:val="12"/>
          <w:szCs w:val="12"/>
          <w:color w:val="auto"/>
        </w:rPr>
        <w:t xml:space="preserve">This footnote should be read in conjunction with the complete description under Note 10, </w:t>
      </w:r>
      <w:r>
        <w:rPr>
          <w:rFonts w:ascii="Arial" w:cs="Arial" w:eastAsia="Arial" w:hAnsi="Arial"/>
          <w:sz w:val="12"/>
          <w:szCs w:val="12"/>
          <w:i w:val="1"/>
          <w:iCs w:val="1"/>
          <w:color w:val="auto"/>
        </w:rPr>
        <w:t>Long-term Debt,</w:t>
      </w:r>
      <w:r>
        <w:rPr>
          <w:rFonts w:ascii="Arial" w:cs="Arial" w:eastAsia="Arial" w:hAnsi="Arial"/>
          <w:sz w:val="12"/>
          <w:szCs w:val="12"/>
          <w:color w:val="auto"/>
        </w:rPr>
        <w:t xml:space="preserve"> to the consolidated financial statements included in the Company's 2017 Form 10-K. Long-term debt consisted of the following:</w:t>
      </w:r>
    </w:p>
    <w:p>
      <w:pPr>
        <w:spacing w:after="0" w:line="57"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360" w:type="dxa"/>
            <w:vAlign w:val="bottom"/>
            <w:gridSpan w:val="2"/>
          </w:tcPr>
          <w:p>
            <w:pPr>
              <w:jc w:val="right"/>
              <w:spacing w:after="0"/>
              <w:rPr>
                <w:sz w:val="20"/>
                <w:szCs w:val="20"/>
                <w:color w:val="auto"/>
              </w:rPr>
            </w:pPr>
            <w:r>
              <w:rPr>
                <w:rFonts w:ascii="Arial" w:cs="Arial" w:eastAsia="Arial" w:hAnsi="Arial"/>
                <w:sz w:val="10"/>
                <w:szCs w:val="10"/>
                <w:b w:val="1"/>
                <w:bCs w:val="1"/>
                <w:color w:val="auto"/>
                <w:w w:val="93"/>
              </w:rPr>
              <w:t>Letters of Credit Outstanding</w:t>
            </w:r>
          </w:p>
        </w:tc>
      </w:tr>
      <w:tr>
        <w:trPr>
          <w:trHeight w:val="128"/>
        </w:trPr>
        <w:tc>
          <w:tcPr>
            <w:tcW w:w="48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2"/>
          </w:tcPr>
          <w:p>
            <w:pPr>
              <w:ind w:left="120"/>
              <w:spacing w:after="0"/>
              <w:rPr>
                <w:sz w:val="20"/>
                <w:szCs w:val="20"/>
                <w:color w:val="auto"/>
              </w:rPr>
            </w:pPr>
            <w:r>
              <w:rPr>
                <w:rFonts w:ascii="Arial" w:cs="Arial" w:eastAsia="Arial" w:hAnsi="Arial"/>
                <w:sz w:val="10"/>
                <w:szCs w:val="10"/>
                <w:b w:val="1"/>
                <w:bCs w:val="1"/>
                <w:color w:val="auto"/>
              </w:rPr>
              <w:t>June 30, 2018</w:t>
            </w:r>
          </w:p>
        </w:tc>
        <w:tc>
          <w:tcPr>
            <w:tcW w:w="1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123"/>
              <w:spacing w:after="0"/>
              <w:rPr>
                <w:sz w:val="20"/>
                <w:szCs w:val="20"/>
                <w:color w:val="auto"/>
              </w:rPr>
            </w:pPr>
            <w:r>
              <w:rPr>
                <w:rFonts w:ascii="Arial" w:cs="Arial" w:eastAsia="Arial" w:hAnsi="Arial"/>
                <w:sz w:val="10"/>
                <w:szCs w:val="10"/>
                <w:b w:val="1"/>
                <w:bCs w:val="1"/>
                <w:color w:val="auto"/>
                <w:w w:val="91"/>
              </w:rPr>
              <w:t>December 31, 2017</w:t>
            </w:r>
          </w:p>
        </w:tc>
        <w:tc>
          <w:tcPr>
            <w:tcW w:w="40" w:type="dxa"/>
            <w:vAlign w:val="bottom"/>
            <w:tcBorders>
              <w:bottom w:val="single" w:sz="8" w:color="auto"/>
            </w:tcBorders>
          </w:tcPr>
          <w:p>
            <w:pPr>
              <w:spacing w:after="0"/>
              <w:rPr>
                <w:sz w:val="11"/>
                <w:szCs w:val="11"/>
                <w:color w:val="auto"/>
              </w:rPr>
            </w:pPr>
          </w:p>
        </w:tc>
        <w:tc>
          <w:tcPr>
            <w:tcW w:w="2140" w:type="dxa"/>
            <w:vAlign w:val="bottom"/>
            <w:tcBorders>
              <w:bottom w:val="single" w:sz="8" w:color="auto"/>
            </w:tcBorders>
          </w:tcPr>
          <w:p>
            <w:pPr>
              <w:jc w:val="right"/>
              <w:ind w:right="324"/>
              <w:spacing w:after="0"/>
              <w:rPr>
                <w:sz w:val="20"/>
                <w:szCs w:val="20"/>
                <w:color w:val="auto"/>
              </w:rPr>
            </w:pPr>
            <w:r>
              <w:rPr>
                <w:rFonts w:ascii="Arial" w:cs="Arial" w:eastAsia="Arial" w:hAnsi="Arial"/>
                <w:sz w:val="10"/>
                <w:szCs w:val="10"/>
                <w:b w:val="1"/>
                <w:bCs w:val="1"/>
                <w:color w:val="auto"/>
              </w:rPr>
              <w:t xml:space="preserve">June 30, 2018, interest rate % </w:t>
            </w:r>
            <w:r>
              <w:rPr>
                <w:rFonts w:ascii="Arial" w:cs="Arial" w:eastAsia="Arial" w:hAnsi="Arial"/>
                <w:sz w:val="5"/>
                <w:szCs w:val="5"/>
                <w:b w:val="1"/>
                <w:bCs w:val="1"/>
                <w:color w:val="auto"/>
              </w:rPr>
              <w:t>(a)</w:t>
            </w:r>
          </w:p>
        </w:tc>
        <w:tc>
          <w:tcPr>
            <w:tcW w:w="2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263"/>
              <w:spacing w:after="0"/>
              <w:rPr>
                <w:sz w:val="20"/>
                <w:szCs w:val="20"/>
                <w:color w:val="auto"/>
              </w:rPr>
            </w:pPr>
            <w:r>
              <w:rPr>
                <w:rFonts w:ascii="Arial" w:cs="Arial" w:eastAsia="Arial" w:hAnsi="Arial"/>
                <w:sz w:val="10"/>
                <w:szCs w:val="10"/>
                <w:b w:val="1"/>
                <w:bCs w:val="1"/>
                <w:color w:val="auto"/>
              </w:rPr>
              <w:t>at June 30, 2018</w:t>
            </w:r>
          </w:p>
        </w:tc>
      </w:tr>
      <w:tr>
        <w:trPr>
          <w:trHeight w:val="169"/>
        </w:trPr>
        <w:tc>
          <w:tcPr>
            <w:tcW w:w="4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180" w:type="dxa"/>
            <w:vAlign w:val="bottom"/>
            <w:gridSpan w:val="2"/>
          </w:tcPr>
          <w:p>
            <w:pPr>
              <w:jc w:val="right"/>
              <w:ind w:right="1064"/>
              <w:spacing w:after="0"/>
              <w:rPr>
                <w:sz w:val="20"/>
                <w:szCs w:val="20"/>
                <w:color w:val="auto"/>
              </w:rPr>
            </w:pPr>
            <w:r>
              <w:rPr>
                <w:rFonts w:ascii="Arial" w:cs="Arial" w:eastAsia="Arial" w:hAnsi="Arial"/>
                <w:sz w:val="10"/>
                <w:szCs w:val="10"/>
                <w:b w:val="1"/>
                <w:bCs w:val="1"/>
                <w:color w:val="auto"/>
                <w:w w:val="86"/>
              </w:rPr>
              <w:t>(In millions, except rates)</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4"/>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2019 Convertible Notes</w:t>
            </w:r>
          </w:p>
        </w:tc>
        <w:tc>
          <w:tcPr>
            <w:tcW w:w="2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rPr>
              <w:t>345</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345</w:t>
            </w:r>
          </w:p>
        </w:tc>
        <w:tc>
          <w:tcPr>
            <w:tcW w:w="2180" w:type="dxa"/>
            <w:vAlign w:val="bottom"/>
            <w:tcBorders>
              <w:bottom w:val="single" w:sz="8" w:color="CCEEFF"/>
            </w:tcBorders>
            <w:gridSpan w:val="2"/>
            <w:shd w:val="clear" w:color="auto" w:fill="CCEEFF"/>
          </w:tcPr>
          <w:p>
            <w:pPr>
              <w:jc w:val="right"/>
              <w:ind w:right="24"/>
              <w:spacing w:after="0"/>
              <w:rPr>
                <w:sz w:val="20"/>
                <w:szCs w:val="20"/>
                <w:color w:val="auto"/>
              </w:rPr>
            </w:pPr>
            <w:r>
              <w:rPr>
                <w:rFonts w:ascii="Arial" w:cs="Arial" w:eastAsia="Arial" w:hAnsi="Arial"/>
                <w:sz w:val="11"/>
                <w:szCs w:val="11"/>
                <w:color w:val="auto"/>
              </w:rPr>
              <w:t>3.500</w:t>
            </w:r>
          </w:p>
        </w:tc>
        <w:tc>
          <w:tcPr>
            <w:tcW w:w="2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rPr>
              <w:t>—</w:t>
            </w:r>
          </w:p>
        </w:tc>
      </w:tr>
      <w:tr>
        <w:trPr>
          <w:trHeight w:val="160"/>
        </w:trPr>
        <w:tc>
          <w:tcPr>
            <w:tcW w:w="4940" w:type="dxa"/>
            <w:vAlign w:val="bottom"/>
            <w:gridSpan w:val="2"/>
          </w:tcPr>
          <w:p>
            <w:pPr>
              <w:ind w:left="20"/>
              <w:spacing w:after="0"/>
              <w:rPr>
                <w:sz w:val="20"/>
                <w:szCs w:val="20"/>
                <w:color w:val="auto"/>
              </w:rPr>
            </w:pPr>
            <w:r>
              <w:rPr>
                <w:rFonts w:ascii="Arial" w:cs="Arial" w:eastAsia="Arial" w:hAnsi="Arial"/>
                <w:sz w:val="11"/>
                <w:szCs w:val="11"/>
                <w:color w:val="auto"/>
              </w:rPr>
              <w:t>2020 Convertible Notes</w:t>
            </w:r>
          </w:p>
        </w:tc>
        <w:tc>
          <w:tcPr>
            <w:tcW w:w="200" w:type="dxa"/>
            <w:vAlign w:val="bottom"/>
          </w:tcPr>
          <w:p>
            <w:pPr>
              <w:spacing w:after="0"/>
              <w:rPr>
                <w:sz w:val="13"/>
                <w:szCs w:val="13"/>
                <w:color w:val="auto"/>
              </w:rPr>
            </w:pPr>
          </w:p>
        </w:tc>
        <w:tc>
          <w:tcPr>
            <w:tcW w:w="1020" w:type="dxa"/>
            <w:vAlign w:val="bottom"/>
          </w:tcPr>
          <w:p>
            <w:pPr>
              <w:jc w:val="right"/>
              <w:ind w:right="63"/>
              <w:spacing w:after="0"/>
              <w:rPr>
                <w:sz w:val="20"/>
                <w:szCs w:val="20"/>
                <w:color w:val="auto"/>
              </w:rPr>
            </w:pPr>
            <w:r>
              <w:rPr>
                <w:rFonts w:ascii="Arial" w:cs="Arial" w:eastAsia="Arial" w:hAnsi="Arial"/>
                <w:sz w:val="11"/>
                <w:szCs w:val="11"/>
                <w:color w:val="auto"/>
              </w:rPr>
              <w:t>288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288</w:t>
            </w:r>
          </w:p>
        </w:tc>
        <w:tc>
          <w:tcPr>
            <w:tcW w:w="2180" w:type="dxa"/>
            <w:vAlign w:val="bottom"/>
            <w:gridSpan w:val="2"/>
          </w:tcPr>
          <w:p>
            <w:pPr>
              <w:jc w:val="right"/>
              <w:ind w:right="24"/>
              <w:spacing w:after="0"/>
              <w:rPr>
                <w:sz w:val="20"/>
                <w:szCs w:val="20"/>
                <w:color w:val="auto"/>
              </w:rPr>
            </w:pPr>
            <w:r>
              <w:rPr>
                <w:rFonts w:ascii="Arial" w:cs="Arial" w:eastAsia="Arial" w:hAnsi="Arial"/>
                <w:sz w:val="11"/>
                <w:szCs w:val="11"/>
                <w:color w:val="auto"/>
              </w:rPr>
              <w:t>3.250</w:t>
            </w:r>
          </w:p>
        </w:tc>
        <w:tc>
          <w:tcPr>
            <w:tcW w:w="240" w:type="dxa"/>
            <w:vAlign w:val="bottom"/>
          </w:tcPr>
          <w:p>
            <w:pPr>
              <w:spacing w:after="0"/>
              <w:rPr>
                <w:sz w:val="13"/>
                <w:szCs w:val="13"/>
                <w:color w:val="auto"/>
              </w:rPr>
            </w:pPr>
          </w:p>
        </w:tc>
        <w:tc>
          <w:tcPr>
            <w:tcW w:w="1120" w:type="dxa"/>
            <w:vAlign w:val="bottom"/>
          </w:tcPr>
          <w:p>
            <w:pPr>
              <w:jc w:val="right"/>
              <w:ind w:right="63"/>
              <w:spacing w:after="0"/>
              <w:rPr>
                <w:sz w:val="20"/>
                <w:szCs w:val="20"/>
                <w:color w:val="auto"/>
              </w:rPr>
            </w:pPr>
            <w:r>
              <w:rPr>
                <w:rFonts w:ascii="Arial" w:cs="Arial" w:eastAsia="Arial" w:hAnsi="Arial"/>
                <w:sz w:val="11"/>
                <w:szCs w:val="11"/>
                <w:color w:val="auto"/>
              </w:rPr>
              <w:t>—</w:t>
            </w:r>
          </w:p>
        </w:tc>
      </w:tr>
      <w:tr>
        <w:trPr>
          <w:trHeight w:val="20"/>
        </w:trPr>
        <w:tc>
          <w:tcPr>
            <w:tcW w:w="4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60"/>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2024 Senior Notes</w:t>
            </w:r>
          </w:p>
        </w:tc>
        <w:tc>
          <w:tcPr>
            <w:tcW w:w="20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rPr>
              <w:t>500</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500</w:t>
            </w:r>
          </w:p>
        </w:tc>
        <w:tc>
          <w:tcPr>
            <w:tcW w:w="2180" w:type="dxa"/>
            <w:vAlign w:val="bottom"/>
            <w:tcBorders>
              <w:bottom w:val="single" w:sz="8" w:color="CCEEFF"/>
            </w:tcBorders>
            <w:gridSpan w:val="2"/>
            <w:shd w:val="clear" w:color="auto" w:fill="CCEEFF"/>
          </w:tcPr>
          <w:p>
            <w:pPr>
              <w:jc w:val="right"/>
              <w:ind w:right="24"/>
              <w:spacing w:after="0"/>
              <w:rPr>
                <w:sz w:val="20"/>
                <w:szCs w:val="20"/>
                <w:color w:val="auto"/>
              </w:rPr>
            </w:pPr>
            <w:r>
              <w:rPr>
                <w:rFonts w:ascii="Arial" w:cs="Arial" w:eastAsia="Arial" w:hAnsi="Arial"/>
                <w:sz w:val="11"/>
                <w:szCs w:val="11"/>
                <w:color w:val="auto"/>
              </w:rPr>
              <w:t>5.375</w:t>
            </w:r>
          </w:p>
        </w:tc>
        <w:tc>
          <w:tcPr>
            <w:tcW w:w="2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rPr>
              <w:t>—</w:t>
            </w:r>
          </w:p>
        </w:tc>
      </w:tr>
      <w:tr>
        <w:trPr>
          <w:trHeight w:val="160"/>
        </w:trPr>
        <w:tc>
          <w:tcPr>
            <w:tcW w:w="4940" w:type="dxa"/>
            <w:vAlign w:val="bottom"/>
            <w:gridSpan w:val="2"/>
          </w:tcPr>
          <w:p>
            <w:pPr>
              <w:ind w:left="20"/>
              <w:spacing w:after="0"/>
              <w:rPr>
                <w:sz w:val="20"/>
                <w:szCs w:val="20"/>
                <w:color w:val="auto"/>
              </w:rPr>
            </w:pPr>
            <w:r>
              <w:rPr>
                <w:rFonts w:ascii="Arial" w:cs="Arial" w:eastAsia="Arial" w:hAnsi="Arial"/>
                <w:sz w:val="11"/>
                <w:szCs w:val="11"/>
                <w:color w:val="auto"/>
              </w:rPr>
              <w:t>2026 Senior Notes</w:t>
            </w:r>
          </w:p>
        </w:tc>
        <w:tc>
          <w:tcPr>
            <w:tcW w:w="200" w:type="dxa"/>
            <w:vAlign w:val="bottom"/>
          </w:tcPr>
          <w:p>
            <w:pPr>
              <w:spacing w:after="0"/>
              <w:rPr>
                <w:sz w:val="13"/>
                <w:szCs w:val="13"/>
                <w:color w:val="auto"/>
              </w:rPr>
            </w:pPr>
          </w:p>
        </w:tc>
        <w:tc>
          <w:tcPr>
            <w:tcW w:w="1020" w:type="dxa"/>
            <w:vAlign w:val="bottom"/>
          </w:tcPr>
          <w:p>
            <w:pPr>
              <w:jc w:val="right"/>
              <w:ind w:right="63"/>
              <w:spacing w:after="0"/>
              <w:rPr>
                <w:sz w:val="20"/>
                <w:szCs w:val="20"/>
                <w:color w:val="auto"/>
              </w:rPr>
            </w:pPr>
            <w:r>
              <w:rPr>
                <w:rFonts w:ascii="Arial" w:cs="Arial" w:eastAsia="Arial" w:hAnsi="Arial"/>
                <w:sz w:val="11"/>
                <w:szCs w:val="11"/>
                <w:color w:val="auto"/>
              </w:rPr>
              <w:t>350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350</w:t>
            </w:r>
          </w:p>
        </w:tc>
        <w:tc>
          <w:tcPr>
            <w:tcW w:w="2180" w:type="dxa"/>
            <w:vAlign w:val="bottom"/>
            <w:gridSpan w:val="2"/>
          </w:tcPr>
          <w:p>
            <w:pPr>
              <w:jc w:val="right"/>
              <w:ind w:right="24"/>
              <w:spacing w:after="0"/>
              <w:rPr>
                <w:sz w:val="20"/>
                <w:szCs w:val="20"/>
                <w:color w:val="auto"/>
              </w:rPr>
            </w:pPr>
            <w:r>
              <w:rPr>
                <w:rFonts w:ascii="Arial" w:cs="Arial" w:eastAsia="Arial" w:hAnsi="Arial"/>
                <w:sz w:val="11"/>
                <w:szCs w:val="11"/>
                <w:color w:val="auto"/>
              </w:rPr>
              <w:t>5.000</w:t>
            </w:r>
          </w:p>
        </w:tc>
        <w:tc>
          <w:tcPr>
            <w:tcW w:w="240" w:type="dxa"/>
            <w:vAlign w:val="bottom"/>
          </w:tcPr>
          <w:p>
            <w:pPr>
              <w:spacing w:after="0"/>
              <w:rPr>
                <w:sz w:val="13"/>
                <w:szCs w:val="13"/>
                <w:color w:val="auto"/>
              </w:rPr>
            </w:pPr>
          </w:p>
        </w:tc>
        <w:tc>
          <w:tcPr>
            <w:tcW w:w="1120" w:type="dxa"/>
            <w:vAlign w:val="bottom"/>
          </w:tcPr>
          <w:p>
            <w:pPr>
              <w:jc w:val="right"/>
              <w:ind w:right="63"/>
              <w:spacing w:after="0"/>
              <w:rPr>
                <w:sz w:val="20"/>
                <w:szCs w:val="20"/>
                <w:color w:val="auto"/>
              </w:rPr>
            </w:pPr>
            <w:r>
              <w:rPr>
                <w:rFonts w:ascii="Arial" w:cs="Arial" w:eastAsia="Arial" w:hAnsi="Arial"/>
                <w:sz w:val="11"/>
                <w:szCs w:val="11"/>
                <w:color w:val="auto"/>
              </w:rPr>
              <w:t>—</w:t>
            </w:r>
          </w:p>
        </w:tc>
      </w:tr>
      <w:tr>
        <w:trPr>
          <w:trHeight w:val="20"/>
        </w:trPr>
        <w:tc>
          <w:tcPr>
            <w:tcW w:w="4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0"/>
        </w:trPr>
        <w:tc>
          <w:tcPr>
            <w:tcW w:w="4940" w:type="dxa"/>
            <w:vAlign w:val="bottom"/>
            <w:gridSpan w:val="2"/>
            <w:shd w:val="clear" w:color="auto" w:fill="CCEEFF"/>
          </w:tcPr>
          <w:p>
            <w:pPr>
              <w:ind w:left="20"/>
              <w:spacing w:after="0" w:line="180" w:lineRule="exact"/>
              <w:rPr>
                <w:sz w:val="20"/>
                <w:szCs w:val="20"/>
                <w:color w:val="auto"/>
              </w:rPr>
            </w:pPr>
            <w:r>
              <w:rPr>
                <w:rFonts w:ascii="Arial" w:cs="Arial" w:eastAsia="Arial" w:hAnsi="Arial"/>
                <w:sz w:val="11"/>
                <w:szCs w:val="11"/>
                <w:color w:val="auto"/>
              </w:rPr>
              <w:t xml:space="preserve">NRG Yield LLC and NRG Yield Operating LLC Revolving Credit Facility, due 2023 </w:t>
            </w:r>
            <w:r>
              <w:rPr>
                <w:rFonts w:ascii="Arial" w:cs="Arial" w:eastAsia="Arial" w:hAnsi="Arial"/>
                <w:sz w:val="19"/>
                <w:szCs w:val="19"/>
                <w:color w:val="auto"/>
                <w:vertAlign w:val="superscript"/>
              </w:rPr>
              <w:t>(b)</w:t>
            </w:r>
          </w:p>
        </w:tc>
        <w:tc>
          <w:tcPr>
            <w:tcW w:w="2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55</w:t>
            </w:r>
          </w:p>
        </w:tc>
        <w:tc>
          <w:tcPr>
            <w:tcW w:w="40" w:type="dxa"/>
            <w:vAlign w:val="bottom"/>
            <w:shd w:val="clear" w:color="auto" w:fill="CCEEFF"/>
          </w:tcPr>
          <w:p>
            <w:pPr>
              <w:spacing w:after="0"/>
              <w:rPr>
                <w:sz w:val="15"/>
                <w:szCs w:val="15"/>
                <w:color w:val="auto"/>
              </w:rPr>
            </w:pPr>
          </w:p>
        </w:tc>
        <w:tc>
          <w:tcPr>
            <w:tcW w:w="214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L+1.75</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67</w:t>
            </w:r>
          </w:p>
        </w:tc>
      </w:tr>
      <w:tr>
        <w:trPr>
          <w:trHeight w:val="160"/>
        </w:trPr>
        <w:tc>
          <w:tcPr>
            <w:tcW w:w="4940" w:type="dxa"/>
            <w:vAlign w:val="bottom"/>
            <w:gridSpan w:val="2"/>
          </w:tcPr>
          <w:p>
            <w:pPr>
              <w:ind w:left="20"/>
              <w:spacing w:after="0"/>
              <w:rPr>
                <w:sz w:val="20"/>
                <w:szCs w:val="20"/>
                <w:color w:val="auto"/>
              </w:rPr>
            </w:pPr>
            <w:r>
              <w:rPr>
                <w:rFonts w:ascii="Arial" w:cs="Arial" w:eastAsia="Arial" w:hAnsi="Arial"/>
                <w:sz w:val="11"/>
                <w:szCs w:val="11"/>
                <w:b w:val="1"/>
                <w:bCs w:val="1"/>
                <w:color w:val="auto"/>
              </w:rPr>
              <w:t>Project-level debt:</w:t>
            </w: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0"/>
        </w:trPr>
        <w:tc>
          <w:tcPr>
            <w:tcW w:w="4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60"/>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Agua Caliente Borrower 2, due 2038</w:t>
            </w:r>
          </w:p>
        </w:tc>
        <w:tc>
          <w:tcPr>
            <w:tcW w:w="20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rPr>
              <w:t>40</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41</w:t>
            </w:r>
          </w:p>
        </w:tc>
        <w:tc>
          <w:tcPr>
            <w:tcW w:w="2180" w:type="dxa"/>
            <w:vAlign w:val="bottom"/>
            <w:tcBorders>
              <w:bottom w:val="single" w:sz="8" w:color="CCEEFF"/>
            </w:tcBorders>
            <w:gridSpan w:val="2"/>
            <w:shd w:val="clear" w:color="auto" w:fill="CCEEFF"/>
          </w:tcPr>
          <w:p>
            <w:pPr>
              <w:jc w:val="right"/>
              <w:ind w:right="24"/>
              <w:spacing w:after="0"/>
              <w:rPr>
                <w:sz w:val="20"/>
                <w:szCs w:val="20"/>
                <w:color w:val="auto"/>
              </w:rPr>
            </w:pPr>
            <w:r>
              <w:rPr>
                <w:rFonts w:ascii="Arial" w:cs="Arial" w:eastAsia="Arial" w:hAnsi="Arial"/>
                <w:sz w:val="11"/>
                <w:szCs w:val="11"/>
                <w:color w:val="auto"/>
              </w:rPr>
              <w:t>5.430</w:t>
            </w:r>
          </w:p>
        </w:tc>
        <w:tc>
          <w:tcPr>
            <w:tcW w:w="2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rPr>
              <w:t>17</w:t>
            </w:r>
          </w:p>
        </w:tc>
      </w:tr>
      <w:tr>
        <w:trPr>
          <w:trHeight w:val="160"/>
        </w:trPr>
        <w:tc>
          <w:tcPr>
            <w:tcW w:w="4940" w:type="dxa"/>
            <w:vAlign w:val="bottom"/>
            <w:gridSpan w:val="2"/>
          </w:tcPr>
          <w:p>
            <w:pPr>
              <w:ind w:left="20"/>
              <w:spacing w:after="0"/>
              <w:rPr>
                <w:sz w:val="20"/>
                <w:szCs w:val="20"/>
                <w:color w:val="auto"/>
              </w:rPr>
            </w:pPr>
            <w:r>
              <w:rPr>
                <w:rFonts w:ascii="Arial" w:cs="Arial" w:eastAsia="Arial" w:hAnsi="Arial"/>
                <w:sz w:val="11"/>
                <w:szCs w:val="11"/>
                <w:color w:val="auto"/>
              </w:rPr>
              <w:t>Alpine, due 2022</w:t>
            </w:r>
          </w:p>
        </w:tc>
        <w:tc>
          <w:tcPr>
            <w:tcW w:w="200" w:type="dxa"/>
            <w:vAlign w:val="bottom"/>
          </w:tcPr>
          <w:p>
            <w:pPr>
              <w:spacing w:after="0"/>
              <w:rPr>
                <w:sz w:val="13"/>
                <w:szCs w:val="13"/>
                <w:color w:val="auto"/>
              </w:rPr>
            </w:pPr>
          </w:p>
        </w:tc>
        <w:tc>
          <w:tcPr>
            <w:tcW w:w="1020" w:type="dxa"/>
            <w:vAlign w:val="bottom"/>
          </w:tcPr>
          <w:p>
            <w:pPr>
              <w:jc w:val="right"/>
              <w:ind w:right="63"/>
              <w:spacing w:after="0"/>
              <w:rPr>
                <w:sz w:val="20"/>
                <w:szCs w:val="20"/>
                <w:color w:val="auto"/>
              </w:rPr>
            </w:pPr>
            <w:r>
              <w:rPr>
                <w:rFonts w:ascii="Arial" w:cs="Arial" w:eastAsia="Arial" w:hAnsi="Arial"/>
                <w:sz w:val="11"/>
                <w:szCs w:val="11"/>
                <w:color w:val="auto"/>
              </w:rPr>
              <w:t>133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135</w:t>
            </w:r>
          </w:p>
        </w:tc>
        <w:tc>
          <w:tcPr>
            <w:tcW w:w="40" w:type="dxa"/>
            <w:vAlign w:val="bottom"/>
          </w:tcPr>
          <w:p>
            <w:pPr>
              <w:spacing w:after="0"/>
              <w:rPr>
                <w:sz w:val="13"/>
                <w:szCs w:val="13"/>
                <w:color w:val="auto"/>
              </w:rPr>
            </w:pPr>
          </w:p>
        </w:tc>
        <w:tc>
          <w:tcPr>
            <w:tcW w:w="2140" w:type="dxa"/>
            <w:vAlign w:val="bottom"/>
          </w:tcPr>
          <w:p>
            <w:pPr>
              <w:jc w:val="right"/>
              <w:ind w:right="24"/>
              <w:spacing w:after="0"/>
              <w:rPr>
                <w:sz w:val="20"/>
                <w:szCs w:val="20"/>
                <w:color w:val="auto"/>
              </w:rPr>
            </w:pPr>
            <w:r>
              <w:rPr>
                <w:rFonts w:ascii="Arial" w:cs="Arial" w:eastAsia="Arial" w:hAnsi="Arial"/>
                <w:sz w:val="11"/>
                <w:szCs w:val="11"/>
                <w:color w:val="auto"/>
              </w:rPr>
              <w:t>L+1.750</w:t>
            </w:r>
          </w:p>
        </w:tc>
        <w:tc>
          <w:tcPr>
            <w:tcW w:w="240" w:type="dxa"/>
            <w:vAlign w:val="bottom"/>
          </w:tcPr>
          <w:p>
            <w:pPr>
              <w:spacing w:after="0"/>
              <w:rPr>
                <w:sz w:val="13"/>
                <w:szCs w:val="13"/>
                <w:color w:val="auto"/>
              </w:rPr>
            </w:pPr>
          </w:p>
        </w:tc>
        <w:tc>
          <w:tcPr>
            <w:tcW w:w="1120" w:type="dxa"/>
            <w:vAlign w:val="bottom"/>
          </w:tcPr>
          <w:p>
            <w:pPr>
              <w:jc w:val="right"/>
              <w:ind w:right="63"/>
              <w:spacing w:after="0"/>
              <w:rPr>
                <w:sz w:val="20"/>
                <w:szCs w:val="20"/>
                <w:color w:val="auto"/>
              </w:rPr>
            </w:pPr>
            <w:r>
              <w:rPr>
                <w:rFonts w:ascii="Arial" w:cs="Arial" w:eastAsia="Arial" w:hAnsi="Arial"/>
                <w:sz w:val="11"/>
                <w:szCs w:val="11"/>
                <w:color w:val="auto"/>
              </w:rPr>
              <w:t>16</w:t>
            </w:r>
          </w:p>
        </w:tc>
      </w:tr>
      <w:tr>
        <w:trPr>
          <w:trHeight w:val="20"/>
        </w:trPr>
        <w:tc>
          <w:tcPr>
            <w:tcW w:w="4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60"/>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Alta Wind I - V lease financing arrangements, due 2034 and 2035</w:t>
            </w:r>
          </w:p>
        </w:tc>
        <w:tc>
          <w:tcPr>
            <w:tcW w:w="20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rPr>
              <w:t>901</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926</w:t>
            </w:r>
          </w:p>
        </w:tc>
        <w:tc>
          <w:tcPr>
            <w:tcW w:w="2180" w:type="dxa"/>
            <w:vAlign w:val="bottom"/>
            <w:tcBorders>
              <w:bottom w:val="single" w:sz="8" w:color="CCEEFF"/>
            </w:tcBorders>
            <w:gridSpan w:val="2"/>
            <w:shd w:val="clear" w:color="auto" w:fill="CCEEFF"/>
          </w:tcPr>
          <w:p>
            <w:pPr>
              <w:jc w:val="right"/>
              <w:ind w:right="24"/>
              <w:spacing w:after="0"/>
              <w:rPr>
                <w:sz w:val="20"/>
                <w:szCs w:val="20"/>
                <w:color w:val="auto"/>
              </w:rPr>
            </w:pPr>
            <w:r>
              <w:rPr>
                <w:rFonts w:ascii="Arial" w:cs="Arial" w:eastAsia="Arial" w:hAnsi="Arial"/>
                <w:sz w:val="11"/>
                <w:szCs w:val="11"/>
                <w:color w:val="auto"/>
              </w:rPr>
              <w:t>5.696 - 7.015</w:t>
            </w:r>
          </w:p>
        </w:tc>
        <w:tc>
          <w:tcPr>
            <w:tcW w:w="2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rPr>
              <w:t>102</w:t>
            </w:r>
          </w:p>
        </w:tc>
      </w:tr>
      <w:tr>
        <w:trPr>
          <w:trHeight w:val="160"/>
        </w:trPr>
        <w:tc>
          <w:tcPr>
            <w:tcW w:w="4940" w:type="dxa"/>
            <w:vAlign w:val="bottom"/>
            <w:gridSpan w:val="2"/>
          </w:tcPr>
          <w:p>
            <w:pPr>
              <w:ind w:left="20"/>
              <w:spacing w:after="0"/>
              <w:rPr>
                <w:sz w:val="20"/>
                <w:szCs w:val="20"/>
                <w:color w:val="auto"/>
              </w:rPr>
            </w:pPr>
            <w:r>
              <w:rPr>
                <w:rFonts w:ascii="Arial" w:cs="Arial" w:eastAsia="Arial" w:hAnsi="Arial"/>
                <w:sz w:val="11"/>
                <w:szCs w:val="11"/>
                <w:color w:val="auto"/>
              </w:rPr>
              <w:t>Buckthorn Solar, due 2025</w:t>
            </w:r>
          </w:p>
        </w:tc>
        <w:tc>
          <w:tcPr>
            <w:tcW w:w="200" w:type="dxa"/>
            <w:vAlign w:val="bottom"/>
          </w:tcPr>
          <w:p>
            <w:pPr>
              <w:spacing w:after="0"/>
              <w:rPr>
                <w:sz w:val="13"/>
                <w:szCs w:val="13"/>
                <w:color w:val="auto"/>
              </w:rPr>
            </w:pPr>
          </w:p>
        </w:tc>
        <w:tc>
          <w:tcPr>
            <w:tcW w:w="1020" w:type="dxa"/>
            <w:vAlign w:val="bottom"/>
          </w:tcPr>
          <w:p>
            <w:pPr>
              <w:jc w:val="right"/>
              <w:ind w:right="63"/>
              <w:spacing w:after="0"/>
              <w:rPr>
                <w:sz w:val="20"/>
                <w:szCs w:val="20"/>
                <w:color w:val="auto"/>
              </w:rPr>
            </w:pPr>
            <w:r>
              <w:rPr>
                <w:rFonts w:ascii="Arial" w:cs="Arial" w:eastAsia="Arial" w:hAnsi="Arial"/>
                <w:sz w:val="11"/>
                <w:szCs w:val="11"/>
                <w:color w:val="auto"/>
              </w:rPr>
              <w:t>132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169</w:t>
            </w:r>
          </w:p>
        </w:tc>
        <w:tc>
          <w:tcPr>
            <w:tcW w:w="40" w:type="dxa"/>
            <w:vAlign w:val="bottom"/>
          </w:tcPr>
          <w:p>
            <w:pPr>
              <w:spacing w:after="0"/>
              <w:rPr>
                <w:sz w:val="13"/>
                <w:szCs w:val="13"/>
                <w:color w:val="auto"/>
              </w:rPr>
            </w:pPr>
          </w:p>
        </w:tc>
        <w:tc>
          <w:tcPr>
            <w:tcW w:w="2140" w:type="dxa"/>
            <w:vAlign w:val="bottom"/>
          </w:tcPr>
          <w:p>
            <w:pPr>
              <w:jc w:val="right"/>
              <w:ind w:right="24"/>
              <w:spacing w:after="0"/>
              <w:rPr>
                <w:sz w:val="20"/>
                <w:szCs w:val="20"/>
                <w:color w:val="auto"/>
              </w:rPr>
            </w:pPr>
            <w:r>
              <w:rPr>
                <w:rFonts w:ascii="Arial" w:cs="Arial" w:eastAsia="Arial" w:hAnsi="Arial"/>
                <w:sz w:val="11"/>
                <w:szCs w:val="11"/>
                <w:color w:val="auto"/>
              </w:rPr>
              <w:t>L+1.750</w:t>
            </w:r>
          </w:p>
        </w:tc>
        <w:tc>
          <w:tcPr>
            <w:tcW w:w="240" w:type="dxa"/>
            <w:vAlign w:val="bottom"/>
          </w:tcPr>
          <w:p>
            <w:pPr>
              <w:spacing w:after="0"/>
              <w:rPr>
                <w:sz w:val="13"/>
                <w:szCs w:val="13"/>
                <w:color w:val="auto"/>
              </w:rPr>
            </w:pPr>
          </w:p>
        </w:tc>
        <w:tc>
          <w:tcPr>
            <w:tcW w:w="1120" w:type="dxa"/>
            <w:vAlign w:val="bottom"/>
          </w:tcPr>
          <w:p>
            <w:pPr>
              <w:jc w:val="right"/>
              <w:ind w:right="63"/>
              <w:spacing w:after="0"/>
              <w:rPr>
                <w:sz w:val="20"/>
                <w:szCs w:val="20"/>
                <w:color w:val="auto"/>
              </w:rPr>
            </w:pPr>
            <w:r>
              <w:rPr>
                <w:rFonts w:ascii="Arial" w:cs="Arial" w:eastAsia="Arial" w:hAnsi="Arial"/>
                <w:sz w:val="11"/>
                <w:szCs w:val="11"/>
                <w:color w:val="auto"/>
              </w:rPr>
              <w:t>16</w:t>
            </w:r>
          </w:p>
        </w:tc>
      </w:tr>
      <w:tr>
        <w:trPr>
          <w:trHeight w:val="20"/>
        </w:trPr>
        <w:tc>
          <w:tcPr>
            <w:tcW w:w="4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60"/>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CVSR, due 2037</w:t>
            </w:r>
          </w:p>
        </w:tc>
        <w:tc>
          <w:tcPr>
            <w:tcW w:w="20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rPr>
              <w:t>731</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746</w:t>
            </w:r>
          </w:p>
        </w:tc>
        <w:tc>
          <w:tcPr>
            <w:tcW w:w="2180" w:type="dxa"/>
            <w:vAlign w:val="bottom"/>
            <w:tcBorders>
              <w:bottom w:val="single" w:sz="8" w:color="CCEEFF"/>
            </w:tcBorders>
            <w:gridSpan w:val="2"/>
            <w:shd w:val="clear" w:color="auto" w:fill="CCEEFF"/>
          </w:tcPr>
          <w:p>
            <w:pPr>
              <w:jc w:val="right"/>
              <w:ind w:right="24"/>
              <w:spacing w:after="0"/>
              <w:rPr>
                <w:sz w:val="20"/>
                <w:szCs w:val="20"/>
                <w:color w:val="auto"/>
              </w:rPr>
            </w:pPr>
            <w:r>
              <w:rPr>
                <w:rFonts w:ascii="Arial" w:cs="Arial" w:eastAsia="Arial" w:hAnsi="Arial"/>
                <w:sz w:val="11"/>
                <w:szCs w:val="11"/>
                <w:color w:val="auto"/>
              </w:rPr>
              <w:t>2.339 - 3.775</w:t>
            </w:r>
          </w:p>
        </w:tc>
        <w:tc>
          <w:tcPr>
            <w:tcW w:w="2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rPr>
              <w:t>—</w:t>
            </w:r>
          </w:p>
        </w:tc>
      </w:tr>
      <w:tr>
        <w:trPr>
          <w:trHeight w:val="160"/>
        </w:trPr>
        <w:tc>
          <w:tcPr>
            <w:tcW w:w="4940" w:type="dxa"/>
            <w:vAlign w:val="bottom"/>
            <w:gridSpan w:val="2"/>
          </w:tcPr>
          <w:p>
            <w:pPr>
              <w:ind w:left="20"/>
              <w:spacing w:after="0"/>
              <w:rPr>
                <w:sz w:val="20"/>
                <w:szCs w:val="20"/>
                <w:color w:val="auto"/>
              </w:rPr>
            </w:pPr>
            <w:r>
              <w:rPr>
                <w:rFonts w:ascii="Arial" w:cs="Arial" w:eastAsia="Arial" w:hAnsi="Arial"/>
                <w:sz w:val="11"/>
                <w:szCs w:val="11"/>
                <w:color w:val="auto"/>
              </w:rPr>
              <w:t>CVSR Holdco Notes, due 2037</w:t>
            </w:r>
          </w:p>
        </w:tc>
        <w:tc>
          <w:tcPr>
            <w:tcW w:w="200" w:type="dxa"/>
            <w:vAlign w:val="bottom"/>
          </w:tcPr>
          <w:p>
            <w:pPr>
              <w:spacing w:after="0"/>
              <w:rPr>
                <w:sz w:val="13"/>
                <w:szCs w:val="13"/>
                <w:color w:val="auto"/>
              </w:rPr>
            </w:pPr>
          </w:p>
        </w:tc>
        <w:tc>
          <w:tcPr>
            <w:tcW w:w="1020" w:type="dxa"/>
            <w:vAlign w:val="bottom"/>
          </w:tcPr>
          <w:p>
            <w:pPr>
              <w:jc w:val="right"/>
              <w:ind w:right="63"/>
              <w:spacing w:after="0"/>
              <w:rPr>
                <w:sz w:val="20"/>
                <w:szCs w:val="20"/>
                <w:color w:val="auto"/>
              </w:rPr>
            </w:pPr>
            <w:r>
              <w:rPr>
                <w:rFonts w:ascii="Arial" w:cs="Arial" w:eastAsia="Arial" w:hAnsi="Arial"/>
                <w:sz w:val="11"/>
                <w:szCs w:val="11"/>
                <w:color w:val="auto"/>
              </w:rPr>
              <w:t>188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194</w:t>
            </w:r>
          </w:p>
        </w:tc>
        <w:tc>
          <w:tcPr>
            <w:tcW w:w="2180" w:type="dxa"/>
            <w:vAlign w:val="bottom"/>
            <w:gridSpan w:val="2"/>
          </w:tcPr>
          <w:p>
            <w:pPr>
              <w:jc w:val="right"/>
              <w:ind w:right="24"/>
              <w:spacing w:after="0"/>
              <w:rPr>
                <w:sz w:val="20"/>
                <w:szCs w:val="20"/>
                <w:color w:val="auto"/>
              </w:rPr>
            </w:pPr>
            <w:r>
              <w:rPr>
                <w:rFonts w:ascii="Arial" w:cs="Arial" w:eastAsia="Arial" w:hAnsi="Arial"/>
                <w:sz w:val="11"/>
                <w:szCs w:val="11"/>
                <w:color w:val="auto"/>
              </w:rPr>
              <w:t>4.680</w:t>
            </w:r>
          </w:p>
        </w:tc>
        <w:tc>
          <w:tcPr>
            <w:tcW w:w="240" w:type="dxa"/>
            <w:vAlign w:val="bottom"/>
          </w:tcPr>
          <w:p>
            <w:pPr>
              <w:spacing w:after="0"/>
              <w:rPr>
                <w:sz w:val="13"/>
                <w:szCs w:val="13"/>
                <w:color w:val="auto"/>
              </w:rPr>
            </w:pPr>
          </w:p>
        </w:tc>
        <w:tc>
          <w:tcPr>
            <w:tcW w:w="1120" w:type="dxa"/>
            <w:vAlign w:val="bottom"/>
          </w:tcPr>
          <w:p>
            <w:pPr>
              <w:jc w:val="right"/>
              <w:ind w:right="63"/>
              <w:spacing w:after="0"/>
              <w:rPr>
                <w:sz w:val="20"/>
                <w:szCs w:val="20"/>
                <w:color w:val="auto"/>
              </w:rPr>
            </w:pPr>
            <w:r>
              <w:rPr>
                <w:rFonts w:ascii="Arial" w:cs="Arial" w:eastAsia="Arial" w:hAnsi="Arial"/>
                <w:sz w:val="11"/>
                <w:szCs w:val="11"/>
                <w:color w:val="auto"/>
              </w:rPr>
              <w:t>13</w:t>
            </w:r>
          </w:p>
        </w:tc>
      </w:tr>
      <w:tr>
        <w:trPr>
          <w:trHeight w:val="20"/>
        </w:trPr>
        <w:tc>
          <w:tcPr>
            <w:tcW w:w="4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60"/>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El Segundo Energy Center, due 2023</w:t>
            </w:r>
          </w:p>
        </w:tc>
        <w:tc>
          <w:tcPr>
            <w:tcW w:w="20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rPr>
              <w:t>369</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400</w:t>
            </w:r>
          </w:p>
        </w:tc>
        <w:tc>
          <w:tcPr>
            <w:tcW w:w="40" w:type="dxa"/>
            <w:vAlign w:val="bottom"/>
            <w:tcBorders>
              <w:bottom w:val="single" w:sz="8" w:color="CCEEFF"/>
            </w:tcBorders>
            <w:shd w:val="clear" w:color="auto" w:fill="CCEEFF"/>
          </w:tcPr>
          <w:p>
            <w:pPr>
              <w:spacing w:after="0"/>
              <w:rPr>
                <w:sz w:val="13"/>
                <w:szCs w:val="13"/>
                <w:color w:val="auto"/>
              </w:rPr>
            </w:pPr>
          </w:p>
        </w:tc>
        <w:tc>
          <w:tcPr>
            <w:tcW w:w="21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1"/>
                <w:szCs w:val="11"/>
                <w:color w:val="auto"/>
              </w:rPr>
              <w:t>L+1.75 - L+2.375</w:t>
            </w:r>
          </w:p>
        </w:tc>
        <w:tc>
          <w:tcPr>
            <w:tcW w:w="2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rPr>
              <w:t>138</w:t>
            </w:r>
          </w:p>
        </w:tc>
      </w:tr>
      <w:tr>
        <w:trPr>
          <w:trHeight w:val="160"/>
        </w:trPr>
        <w:tc>
          <w:tcPr>
            <w:tcW w:w="4940" w:type="dxa"/>
            <w:vAlign w:val="bottom"/>
            <w:gridSpan w:val="2"/>
          </w:tcPr>
          <w:p>
            <w:pPr>
              <w:ind w:left="20"/>
              <w:spacing w:after="0"/>
              <w:rPr>
                <w:sz w:val="20"/>
                <w:szCs w:val="20"/>
                <w:color w:val="auto"/>
              </w:rPr>
            </w:pPr>
            <w:r>
              <w:rPr>
                <w:rFonts w:ascii="Arial" w:cs="Arial" w:eastAsia="Arial" w:hAnsi="Arial"/>
                <w:sz w:val="11"/>
                <w:szCs w:val="11"/>
                <w:color w:val="auto"/>
              </w:rPr>
              <w:t>Energy Center Minneapolis Series C Notes, due 2025</w:t>
            </w:r>
          </w:p>
        </w:tc>
        <w:tc>
          <w:tcPr>
            <w:tcW w:w="200" w:type="dxa"/>
            <w:vAlign w:val="bottom"/>
          </w:tcPr>
          <w:p>
            <w:pPr>
              <w:spacing w:after="0"/>
              <w:rPr>
                <w:sz w:val="13"/>
                <w:szCs w:val="1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83</w:t>
            </w:r>
          </w:p>
        </w:tc>
        <w:tc>
          <w:tcPr>
            <w:tcW w:w="2180" w:type="dxa"/>
            <w:vAlign w:val="bottom"/>
            <w:gridSpan w:val="2"/>
          </w:tcPr>
          <w:p>
            <w:pPr>
              <w:jc w:val="right"/>
              <w:ind w:right="24"/>
              <w:spacing w:after="0"/>
              <w:rPr>
                <w:sz w:val="20"/>
                <w:szCs w:val="20"/>
                <w:color w:val="auto"/>
              </w:rPr>
            </w:pPr>
            <w:r>
              <w:rPr>
                <w:rFonts w:ascii="Arial" w:cs="Arial" w:eastAsia="Arial" w:hAnsi="Arial"/>
                <w:sz w:val="11"/>
                <w:szCs w:val="11"/>
                <w:color w:val="auto"/>
              </w:rPr>
              <w:t>5.950</w:t>
            </w:r>
          </w:p>
        </w:tc>
        <w:tc>
          <w:tcPr>
            <w:tcW w:w="240" w:type="dxa"/>
            <w:vAlign w:val="bottom"/>
          </w:tcPr>
          <w:p>
            <w:pPr>
              <w:spacing w:after="0"/>
              <w:rPr>
                <w:sz w:val="13"/>
                <w:szCs w:val="13"/>
                <w:color w:val="auto"/>
              </w:rPr>
            </w:pPr>
          </w:p>
        </w:tc>
        <w:tc>
          <w:tcPr>
            <w:tcW w:w="1120" w:type="dxa"/>
            <w:vAlign w:val="bottom"/>
          </w:tcPr>
          <w:p>
            <w:pPr>
              <w:jc w:val="right"/>
              <w:ind w:right="63"/>
              <w:spacing w:after="0"/>
              <w:rPr>
                <w:sz w:val="20"/>
                <w:szCs w:val="20"/>
                <w:color w:val="auto"/>
              </w:rPr>
            </w:pPr>
            <w:r>
              <w:rPr>
                <w:rFonts w:ascii="Arial" w:cs="Arial" w:eastAsia="Arial" w:hAnsi="Arial"/>
                <w:sz w:val="11"/>
                <w:szCs w:val="11"/>
                <w:color w:val="auto"/>
              </w:rPr>
              <w:t>—</w:t>
            </w:r>
          </w:p>
        </w:tc>
      </w:tr>
      <w:tr>
        <w:trPr>
          <w:trHeight w:val="20"/>
        </w:trPr>
        <w:tc>
          <w:tcPr>
            <w:tcW w:w="4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60"/>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Energy Center Minneapolis Series D Notes, due 2031</w:t>
            </w:r>
          </w:p>
        </w:tc>
        <w:tc>
          <w:tcPr>
            <w:tcW w:w="20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rPr>
              <w:t>125</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125</w:t>
            </w:r>
          </w:p>
        </w:tc>
        <w:tc>
          <w:tcPr>
            <w:tcW w:w="2180" w:type="dxa"/>
            <w:vAlign w:val="bottom"/>
            <w:tcBorders>
              <w:bottom w:val="single" w:sz="8" w:color="CCEEFF"/>
            </w:tcBorders>
            <w:gridSpan w:val="2"/>
            <w:shd w:val="clear" w:color="auto" w:fill="CCEEFF"/>
          </w:tcPr>
          <w:p>
            <w:pPr>
              <w:jc w:val="right"/>
              <w:ind w:right="24"/>
              <w:spacing w:after="0"/>
              <w:rPr>
                <w:sz w:val="20"/>
                <w:szCs w:val="20"/>
                <w:color w:val="auto"/>
              </w:rPr>
            </w:pPr>
            <w:r>
              <w:rPr>
                <w:rFonts w:ascii="Arial" w:cs="Arial" w:eastAsia="Arial" w:hAnsi="Arial"/>
                <w:sz w:val="11"/>
                <w:szCs w:val="11"/>
                <w:color w:val="auto"/>
              </w:rPr>
              <w:t>3.550</w:t>
            </w:r>
          </w:p>
        </w:tc>
        <w:tc>
          <w:tcPr>
            <w:tcW w:w="2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rPr>
              <w:t>—</w:t>
            </w:r>
          </w:p>
        </w:tc>
      </w:tr>
      <w:tr>
        <w:trPr>
          <w:trHeight w:val="171"/>
        </w:trPr>
        <w:tc>
          <w:tcPr>
            <w:tcW w:w="4940" w:type="dxa"/>
            <w:vAlign w:val="bottom"/>
            <w:gridSpan w:val="2"/>
          </w:tcPr>
          <w:p>
            <w:pPr>
              <w:ind w:left="20"/>
              <w:spacing w:after="0"/>
              <w:rPr>
                <w:sz w:val="20"/>
                <w:szCs w:val="20"/>
                <w:color w:val="auto"/>
              </w:rPr>
            </w:pPr>
            <w:r>
              <w:rPr>
                <w:rFonts w:ascii="Arial" w:cs="Arial" w:eastAsia="Arial" w:hAnsi="Arial"/>
                <w:sz w:val="11"/>
                <w:szCs w:val="11"/>
                <w:color w:val="auto"/>
              </w:rPr>
              <w:t>Energy Center Minneapolis Series E, F, G, H Notes</w:t>
            </w:r>
          </w:p>
        </w:tc>
        <w:tc>
          <w:tcPr>
            <w:tcW w:w="200" w:type="dxa"/>
            <w:vAlign w:val="bottom"/>
          </w:tcPr>
          <w:p>
            <w:pPr>
              <w:spacing w:after="0"/>
              <w:rPr>
                <w:sz w:val="14"/>
                <w:szCs w:val="14"/>
                <w:color w:val="auto"/>
              </w:rPr>
            </w:pPr>
          </w:p>
        </w:tc>
        <w:tc>
          <w:tcPr>
            <w:tcW w:w="1020" w:type="dxa"/>
            <w:vAlign w:val="bottom"/>
          </w:tcPr>
          <w:p>
            <w:pPr>
              <w:jc w:val="right"/>
              <w:ind w:right="63"/>
              <w:spacing w:after="0"/>
              <w:rPr>
                <w:sz w:val="20"/>
                <w:szCs w:val="20"/>
                <w:color w:val="auto"/>
              </w:rPr>
            </w:pPr>
            <w:r>
              <w:rPr>
                <w:rFonts w:ascii="Arial" w:cs="Arial" w:eastAsia="Arial" w:hAnsi="Arial"/>
                <w:sz w:val="11"/>
                <w:szCs w:val="11"/>
                <w:color w:val="auto"/>
              </w:rPr>
              <w:t>203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4"/>
                <w:szCs w:val="14"/>
                <w:color w:val="auto"/>
              </w:rPr>
            </w:pPr>
          </w:p>
        </w:tc>
        <w:tc>
          <w:tcPr>
            <w:tcW w:w="2140" w:type="dxa"/>
            <w:vAlign w:val="bottom"/>
          </w:tcPr>
          <w:p>
            <w:pPr>
              <w:jc w:val="right"/>
              <w:ind w:right="24"/>
              <w:spacing w:after="0"/>
              <w:rPr>
                <w:sz w:val="20"/>
                <w:szCs w:val="20"/>
                <w:color w:val="auto"/>
              </w:rPr>
            </w:pPr>
            <w:r>
              <w:rPr>
                <w:rFonts w:ascii="Arial" w:cs="Arial" w:eastAsia="Arial" w:hAnsi="Arial"/>
                <w:sz w:val="11"/>
                <w:szCs w:val="11"/>
                <w:color w:val="auto"/>
              </w:rPr>
              <w:t>various</w:t>
            </w:r>
          </w:p>
        </w:tc>
        <w:tc>
          <w:tcPr>
            <w:tcW w:w="240" w:type="dxa"/>
            <w:vAlign w:val="bottom"/>
          </w:tcPr>
          <w:p>
            <w:pPr>
              <w:spacing w:after="0"/>
              <w:rPr>
                <w:sz w:val="14"/>
                <w:szCs w:val="14"/>
                <w:color w:val="auto"/>
              </w:rPr>
            </w:pPr>
          </w:p>
        </w:tc>
        <w:tc>
          <w:tcPr>
            <w:tcW w:w="1120" w:type="dxa"/>
            <w:vAlign w:val="bottom"/>
          </w:tcPr>
          <w:p>
            <w:pPr>
              <w:jc w:val="right"/>
              <w:ind w:right="63"/>
              <w:spacing w:after="0"/>
              <w:rPr>
                <w:sz w:val="20"/>
                <w:szCs w:val="20"/>
                <w:color w:val="auto"/>
              </w:rPr>
            </w:pPr>
            <w:r>
              <w:rPr>
                <w:rFonts w:ascii="Arial" w:cs="Arial" w:eastAsia="Arial" w:hAnsi="Arial"/>
                <w:sz w:val="11"/>
                <w:szCs w:val="11"/>
                <w:color w:val="auto"/>
              </w:rPr>
              <w:t>—</w:t>
            </w:r>
          </w:p>
        </w:tc>
      </w:tr>
      <w:tr>
        <w:trPr>
          <w:trHeight w:val="169"/>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Laredo Ridge, due 2028</w:t>
            </w:r>
          </w:p>
        </w:tc>
        <w:tc>
          <w:tcPr>
            <w:tcW w:w="2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rPr>
              <w:t>92</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95</w:t>
            </w:r>
          </w:p>
        </w:tc>
        <w:tc>
          <w:tcPr>
            <w:tcW w:w="40" w:type="dxa"/>
            <w:vAlign w:val="bottom"/>
            <w:tcBorders>
              <w:bottom w:val="single" w:sz="8" w:color="CCEEFF"/>
            </w:tcBorders>
            <w:shd w:val="clear" w:color="auto" w:fill="CCEEFF"/>
          </w:tcPr>
          <w:p>
            <w:pPr>
              <w:spacing w:after="0"/>
              <w:rPr>
                <w:sz w:val="14"/>
                <w:szCs w:val="14"/>
                <w:color w:val="auto"/>
              </w:rPr>
            </w:pPr>
          </w:p>
        </w:tc>
        <w:tc>
          <w:tcPr>
            <w:tcW w:w="21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1"/>
                <w:szCs w:val="11"/>
                <w:color w:val="auto"/>
              </w:rPr>
              <w:t>L+1.875</w:t>
            </w:r>
          </w:p>
        </w:tc>
        <w:tc>
          <w:tcPr>
            <w:tcW w:w="24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rPr>
              <w:t>10</w:t>
            </w:r>
          </w:p>
        </w:tc>
      </w:tr>
      <w:tr>
        <w:trPr>
          <w:trHeight w:val="160"/>
        </w:trPr>
        <w:tc>
          <w:tcPr>
            <w:tcW w:w="4940" w:type="dxa"/>
            <w:vAlign w:val="bottom"/>
            <w:gridSpan w:val="2"/>
          </w:tcPr>
          <w:p>
            <w:pPr>
              <w:ind w:left="20"/>
              <w:spacing w:after="0"/>
              <w:rPr>
                <w:sz w:val="20"/>
                <w:szCs w:val="20"/>
                <w:color w:val="auto"/>
              </w:rPr>
            </w:pPr>
            <w:r>
              <w:rPr>
                <w:rFonts w:ascii="Arial" w:cs="Arial" w:eastAsia="Arial" w:hAnsi="Arial"/>
                <w:sz w:val="11"/>
                <w:szCs w:val="11"/>
                <w:color w:val="auto"/>
              </w:rPr>
              <w:t>Marsh Landing, due 2023</w:t>
            </w:r>
          </w:p>
        </w:tc>
        <w:tc>
          <w:tcPr>
            <w:tcW w:w="200" w:type="dxa"/>
            <w:vAlign w:val="bottom"/>
          </w:tcPr>
          <w:p>
            <w:pPr>
              <w:spacing w:after="0"/>
              <w:rPr>
                <w:sz w:val="13"/>
                <w:szCs w:val="13"/>
                <w:color w:val="auto"/>
              </w:rPr>
            </w:pPr>
          </w:p>
        </w:tc>
        <w:tc>
          <w:tcPr>
            <w:tcW w:w="1020" w:type="dxa"/>
            <w:vAlign w:val="bottom"/>
          </w:tcPr>
          <w:p>
            <w:pPr>
              <w:jc w:val="right"/>
              <w:ind w:right="63"/>
              <w:spacing w:after="0"/>
              <w:rPr>
                <w:sz w:val="20"/>
                <w:szCs w:val="20"/>
                <w:color w:val="auto"/>
              </w:rPr>
            </w:pPr>
            <w:r>
              <w:rPr>
                <w:rFonts w:ascii="Arial" w:cs="Arial" w:eastAsia="Arial" w:hAnsi="Arial"/>
                <w:sz w:val="11"/>
                <w:szCs w:val="11"/>
                <w:color w:val="auto"/>
              </w:rPr>
              <w:t>305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318</w:t>
            </w:r>
          </w:p>
        </w:tc>
        <w:tc>
          <w:tcPr>
            <w:tcW w:w="40" w:type="dxa"/>
            <w:vAlign w:val="bottom"/>
          </w:tcPr>
          <w:p>
            <w:pPr>
              <w:spacing w:after="0"/>
              <w:rPr>
                <w:sz w:val="13"/>
                <w:szCs w:val="13"/>
                <w:color w:val="auto"/>
              </w:rPr>
            </w:pPr>
          </w:p>
        </w:tc>
        <w:tc>
          <w:tcPr>
            <w:tcW w:w="2140" w:type="dxa"/>
            <w:vAlign w:val="bottom"/>
          </w:tcPr>
          <w:p>
            <w:pPr>
              <w:jc w:val="right"/>
              <w:ind w:right="24"/>
              <w:spacing w:after="0"/>
              <w:rPr>
                <w:sz w:val="20"/>
                <w:szCs w:val="20"/>
                <w:color w:val="auto"/>
              </w:rPr>
            </w:pPr>
            <w:r>
              <w:rPr>
                <w:rFonts w:ascii="Arial" w:cs="Arial" w:eastAsia="Arial" w:hAnsi="Arial"/>
                <w:sz w:val="11"/>
                <w:szCs w:val="11"/>
                <w:color w:val="auto"/>
              </w:rPr>
              <w:t>L+2.125</w:t>
            </w:r>
          </w:p>
        </w:tc>
        <w:tc>
          <w:tcPr>
            <w:tcW w:w="240" w:type="dxa"/>
            <w:vAlign w:val="bottom"/>
          </w:tcPr>
          <w:p>
            <w:pPr>
              <w:spacing w:after="0"/>
              <w:rPr>
                <w:sz w:val="13"/>
                <w:szCs w:val="13"/>
                <w:color w:val="auto"/>
              </w:rPr>
            </w:pPr>
          </w:p>
        </w:tc>
        <w:tc>
          <w:tcPr>
            <w:tcW w:w="1120" w:type="dxa"/>
            <w:vAlign w:val="bottom"/>
          </w:tcPr>
          <w:p>
            <w:pPr>
              <w:jc w:val="right"/>
              <w:ind w:right="63"/>
              <w:spacing w:after="0"/>
              <w:rPr>
                <w:sz w:val="20"/>
                <w:szCs w:val="20"/>
                <w:color w:val="auto"/>
              </w:rPr>
            </w:pPr>
            <w:r>
              <w:rPr>
                <w:rFonts w:ascii="Arial" w:cs="Arial" w:eastAsia="Arial" w:hAnsi="Arial"/>
                <w:sz w:val="11"/>
                <w:szCs w:val="11"/>
                <w:color w:val="auto"/>
              </w:rPr>
              <w:t>65</w:t>
            </w:r>
          </w:p>
        </w:tc>
      </w:tr>
      <w:tr>
        <w:trPr>
          <w:trHeight w:val="20"/>
        </w:trPr>
        <w:tc>
          <w:tcPr>
            <w:tcW w:w="4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60"/>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Tapestry, due 2021</w:t>
            </w:r>
          </w:p>
        </w:tc>
        <w:tc>
          <w:tcPr>
            <w:tcW w:w="20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rPr>
              <w:t>155</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162</w:t>
            </w:r>
          </w:p>
        </w:tc>
        <w:tc>
          <w:tcPr>
            <w:tcW w:w="40" w:type="dxa"/>
            <w:vAlign w:val="bottom"/>
            <w:tcBorders>
              <w:bottom w:val="single" w:sz="8" w:color="CCEEFF"/>
            </w:tcBorders>
            <w:shd w:val="clear" w:color="auto" w:fill="CCEEFF"/>
          </w:tcPr>
          <w:p>
            <w:pPr>
              <w:spacing w:after="0"/>
              <w:rPr>
                <w:sz w:val="13"/>
                <w:szCs w:val="13"/>
                <w:color w:val="auto"/>
              </w:rPr>
            </w:pPr>
          </w:p>
        </w:tc>
        <w:tc>
          <w:tcPr>
            <w:tcW w:w="21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1"/>
                <w:szCs w:val="11"/>
                <w:color w:val="auto"/>
              </w:rPr>
              <w:t>L+1.625</w:t>
            </w:r>
          </w:p>
        </w:tc>
        <w:tc>
          <w:tcPr>
            <w:tcW w:w="2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rPr>
              <w:t>20</w:t>
            </w:r>
          </w:p>
        </w:tc>
      </w:tr>
      <w:tr>
        <w:trPr>
          <w:trHeight w:val="160"/>
        </w:trPr>
        <w:tc>
          <w:tcPr>
            <w:tcW w:w="4940" w:type="dxa"/>
            <w:vAlign w:val="bottom"/>
            <w:gridSpan w:val="2"/>
          </w:tcPr>
          <w:p>
            <w:pPr>
              <w:ind w:left="20"/>
              <w:spacing w:after="0"/>
              <w:rPr>
                <w:sz w:val="20"/>
                <w:szCs w:val="20"/>
                <w:color w:val="auto"/>
              </w:rPr>
            </w:pPr>
            <w:r>
              <w:rPr>
                <w:rFonts w:ascii="Arial" w:cs="Arial" w:eastAsia="Arial" w:hAnsi="Arial"/>
                <w:sz w:val="11"/>
                <w:szCs w:val="11"/>
                <w:color w:val="auto"/>
              </w:rPr>
              <w:t>Utah Solar Portfolio, due 2022</w:t>
            </w:r>
          </w:p>
        </w:tc>
        <w:tc>
          <w:tcPr>
            <w:tcW w:w="200" w:type="dxa"/>
            <w:vAlign w:val="bottom"/>
          </w:tcPr>
          <w:p>
            <w:pPr>
              <w:spacing w:after="0"/>
              <w:rPr>
                <w:sz w:val="13"/>
                <w:szCs w:val="13"/>
                <w:color w:val="auto"/>
              </w:rPr>
            </w:pPr>
          </w:p>
        </w:tc>
        <w:tc>
          <w:tcPr>
            <w:tcW w:w="1020" w:type="dxa"/>
            <w:vAlign w:val="bottom"/>
          </w:tcPr>
          <w:p>
            <w:pPr>
              <w:jc w:val="right"/>
              <w:ind w:right="63"/>
              <w:spacing w:after="0"/>
              <w:rPr>
                <w:sz w:val="20"/>
                <w:szCs w:val="20"/>
                <w:color w:val="auto"/>
              </w:rPr>
            </w:pPr>
            <w:r>
              <w:rPr>
                <w:rFonts w:ascii="Arial" w:cs="Arial" w:eastAsia="Arial" w:hAnsi="Arial"/>
                <w:sz w:val="11"/>
                <w:szCs w:val="11"/>
                <w:color w:val="auto"/>
              </w:rPr>
              <w:t>273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278</w:t>
            </w:r>
          </w:p>
        </w:tc>
        <w:tc>
          <w:tcPr>
            <w:tcW w:w="40" w:type="dxa"/>
            <w:vAlign w:val="bottom"/>
          </w:tcPr>
          <w:p>
            <w:pPr>
              <w:spacing w:after="0"/>
              <w:rPr>
                <w:sz w:val="13"/>
                <w:szCs w:val="13"/>
                <w:color w:val="auto"/>
              </w:rPr>
            </w:pPr>
          </w:p>
        </w:tc>
        <w:tc>
          <w:tcPr>
            <w:tcW w:w="2140" w:type="dxa"/>
            <w:vAlign w:val="bottom"/>
          </w:tcPr>
          <w:p>
            <w:pPr>
              <w:jc w:val="right"/>
              <w:ind w:right="24"/>
              <w:spacing w:after="0"/>
              <w:rPr>
                <w:sz w:val="20"/>
                <w:szCs w:val="20"/>
                <w:color w:val="auto"/>
              </w:rPr>
            </w:pPr>
            <w:r>
              <w:rPr>
                <w:rFonts w:ascii="Arial" w:cs="Arial" w:eastAsia="Arial" w:hAnsi="Arial"/>
                <w:sz w:val="11"/>
                <w:szCs w:val="11"/>
                <w:color w:val="auto"/>
              </w:rPr>
              <w:t>various</w:t>
            </w:r>
          </w:p>
        </w:tc>
        <w:tc>
          <w:tcPr>
            <w:tcW w:w="240" w:type="dxa"/>
            <w:vAlign w:val="bottom"/>
          </w:tcPr>
          <w:p>
            <w:pPr>
              <w:spacing w:after="0"/>
              <w:rPr>
                <w:sz w:val="13"/>
                <w:szCs w:val="13"/>
                <w:color w:val="auto"/>
              </w:rPr>
            </w:pPr>
          </w:p>
        </w:tc>
        <w:tc>
          <w:tcPr>
            <w:tcW w:w="1120" w:type="dxa"/>
            <w:vAlign w:val="bottom"/>
          </w:tcPr>
          <w:p>
            <w:pPr>
              <w:jc w:val="right"/>
              <w:ind w:right="63"/>
              <w:spacing w:after="0"/>
              <w:rPr>
                <w:sz w:val="20"/>
                <w:szCs w:val="20"/>
                <w:color w:val="auto"/>
              </w:rPr>
            </w:pPr>
            <w:r>
              <w:rPr>
                <w:rFonts w:ascii="Arial" w:cs="Arial" w:eastAsia="Arial" w:hAnsi="Arial"/>
                <w:sz w:val="11"/>
                <w:szCs w:val="11"/>
                <w:color w:val="auto"/>
              </w:rPr>
              <w:t>13</w:t>
            </w:r>
          </w:p>
        </w:tc>
      </w:tr>
      <w:tr>
        <w:trPr>
          <w:trHeight w:val="20"/>
        </w:trPr>
        <w:tc>
          <w:tcPr>
            <w:tcW w:w="4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60"/>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Viento, due 2023</w:t>
            </w:r>
          </w:p>
        </w:tc>
        <w:tc>
          <w:tcPr>
            <w:tcW w:w="20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rPr>
              <w:t>154</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163</w:t>
            </w:r>
          </w:p>
        </w:tc>
        <w:tc>
          <w:tcPr>
            <w:tcW w:w="40" w:type="dxa"/>
            <w:vAlign w:val="bottom"/>
            <w:tcBorders>
              <w:bottom w:val="single" w:sz="8" w:color="CCEEFF"/>
            </w:tcBorders>
            <w:shd w:val="clear" w:color="auto" w:fill="CCEEFF"/>
          </w:tcPr>
          <w:p>
            <w:pPr>
              <w:spacing w:after="0"/>
              <w:rPr>
                <w:sz w:val="13"/>
                <w:szCs w:val="13"/>
                <w:color w:val="auto"/>
              </w:rPr>
            </w:pPr>
          </w:p>
        </w:tc>
        <w:tc>
          <w:tcPr>
            <w:tcW w:w="21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1"/>
                <w:szCs w:val="11"/>
                <w:color w:val="auto"/>
              </w:rPr>
              <w:t>L+3.00</w:t>
            </w:r>
          </w:p>
        </w:tc>
        <w:tc>
          <w:tcPr>
            <w:tcW w:w="2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rPr>
              <w:t>26</w:t>
            </w:r>
          </w:p>
        </w:tc>
      </w:tr>
      <w:tr>
        <w:trPr>
          <w:trHeight w:val="160"/>
        </w:trPr>
        <w:tc>
          <w:tcPr>
            <w:tcW w:w="4940" w:type="dxa"/>
            <w:vAlign w:val="bottom"/>
            <w:gridSpan w:val="2"/>
          </w:tcPr>
          <w:p>
            <w:pPr>
              <w:ind w:left="20"/>
              <w:spacing w:after="0"/>
              <w:rPr>
                <w:sz w:val="20"/>
                <w:szCs w:val="20"/>
                <w:color w:val="auto"/>
              </w:rPr>
            </w:pPr>
            <w:r>
              <w:rPr>
                <w:rFonts w:ascii="Arial" w:cs="Arial" w:eastAsia="Arial" w:hAnsi="Arial"/>
                <w:sz w:val="11"/>
                <w:szCs w:val="11"/>
                <w:color w:val="auto"/>
              </w:rPr>
              <w:t>Walnut Creek, due 2023</w:t>
            </w:r>
          </w:p>
        </w:tc>
        <w:tc>
          <w:tcPr>
            <w:tcW w:w="200" w:type="dxa"/>
            <w:vAlign w:val="bottom"/>
          </w:tcPr>
          <w:p>
            <w:pPr>
              <w:spacing w:after="0"/>
              <w:rPr>
                <w:sz w:val="13"/>
                <w:szCs w:val="13"/>
                <w:color w:val="auto"/>
              </w:rPr>
            </w:pPr>
          </w:p>
        </w:tc>
        <w:tc>
          <w:tcPr>
            <w:tcW w:w="1020" w:type="dxa"/>
            <w:vAlign w:val="bottom"/>
          </w:tcPr>
          <w:p>
            <w:pPr>
              <w:jc w:val="right"/>
              <w:ind w:right="63"/>
              <w:spacing w:after="0"/>
              <w:rPr>
                <w:sz w:val="20"/>
                <w:szCs w:val="20"/>
                <w:color w:val="auto"/>
              </w:rPr>
            </w:pPr>
            <w:r>
              <w:rPr>
                <w:rFonts w:ascii="Arial" w:cs="Arial" w:eastAsia="Arial" w:hAnsi="Arial"/>
                <w:sz w:val="11"/>
                <w:szCs w:val="11"/>
                <w:color w:val="auto"/>
              </w:rPr>
              <w:t>254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267</w:t>
            </w:r>
          </w:p>
        </w:tc>
        <w:tc>
          <w:tcPr>
            <w:tcW w:w="40" w:type="dxa"/>
            <w:vAlign w:val="bottom"/>
          </w:tcPr>
          <w:p>
            <w:pPr>
              <w:spacing w:after="0"/>
              <w:rPr>
                <w:sz w:val="13"/>
                <w:szCs w:val="13"/>
                <w:color w:val="auto"/>
              </w:rPr>
            </w:pPr>
          </w:p>
        </w:tc>
        <w:tc>
          <w:tcPr>
            <w:tcW w:w="2140" w:type="dxa"/>
            <w:vAlign w:val="bottom"/>
          </w:tcPr>
          <w:p>
            <w:pPr>
              <w:jc w:val="right"/>
              <w:ind w:right="24"/>
              <w:spacing w:after="0"/>
              <w:rPr>
                <w:sz w:val="20"/>
                <w:szCs w:val="20"/>
                <w:color w:val="auto"/>
              </w:rPr>
            </w:pPr>
            <w:r>
              <w:rPr>
                <w:rFonts w:ascii="Arial" w:cs="Arial" w:eastAsia="Arial" w:hAnsi="Arial"/>
                <w:sz w:val="11"/>
                <w:szCs w:val="11"/>
                <w:color w:val="auto"/>
              </w:rPr>
              <w:t>L+1.625</w:t>
            </w:r>
          </w:p>
        </w:tc>
        <w:tc>
          <w:tcPr>
            <w:tcW w:w="240" w:type="dxa"/>
            <w:vAlign w:val="bottom"/>
          </w:tcPr>
          <w:p>
            <w:pPr>
              <w:spacing w:after="0"/>
              <w:rPr>
                <w:sz w:val="13"/>
                <w:szCs w:val="13"/>
                <w:color w:val="auto"/>
              </w:rPr>
            </w:pPr>
          </w:p>
        </w:tc>
        <w:tc>
          <w:tcPr>
            <w:tcW w:w="1120" w:type="dxa"/>
            <w:vAlign w:val="bottom"/>
          </w:tcPr>
          <w:p>
            <w:pPr>
              <w:jc w:val="right"/>
              <w:ind w:right="63"/>
              <w:spacing w:after="0"/>
              <w:rPr>
                <w:sz w:val="20"/>
                <w:szCs w:val="20"/>
                <w:color w:val="auto"/>
              </w:rPr>
            </w:pPr>
            <w:r>
              <w:rPr>
                <w:rFonts w:ascii="Arial" w:cs="Arial" w:eastAsia="Arial" w:hAnsi="Arial"/>
                <w:sz w:val="11"/>
                <w:szCs w:val="11"/>
                <w:color w:val="auto"/>
              </w:rPr>
              <w:t>93</w:t>
            </w:r>
          </w:p>
        </w:tc>
      </w:tr>
      <w:tr>
        <w:trPr>
          <w:trHeight w:val="20"/>
        </w:trPr>
        <w:tc>
          <w:tcPr>
            <w:tcW w:w="4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0"/>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Other</w:t>
            </w: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rPr>
              <w:t>432</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443</w:t>
            </w:r>
          </w:p>
        </w:tc>
        <w:tc>
          <w:tcPr>
            <w:tcW w:w="40" w:type="dxa"/>
            <w:vAlign w:val="bottom"/>
            <w:tcBorders>
              <w:bottom w:val="single" w:sz="8" w:color="CCEEFF"/>
            </w:tcBorders>
            <w:shd w:val="clear" w:color="auto" w:fill="CCEEFF"/>
          </w:tcPr>
          <w:p>
            <w:pPr>
              <w:spacing w:after="0"/>
              <w:rPr>
                <w:sz w:val="15"/>
                <w:szCs w:val="15"/>
                <w:color w:val="auto"/>
              </w:rPr>
            </w:pPr>
          </w:p>
        </w:tc>
        <w:tc>
          <w:tcPr>
            <w:tcW w:w="21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1"/>
                <w:szCs w:val="11"/>
                <w:color w:val="auto"/>
              </w:rPr>
              <w:t>various</w:t>
            </w:r>
          </w:p>
        </w:tc>
        <w:tc>
          <w:tcPr>
            <w:tcW w:w="2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rPr>
              <w:t>36</w:t>
            </w:r>
          </w:p>
        </w:tc>
      </w:tr>
      <w:tr>
        <w:trPr>
          <w:trHeight w:val="140"/>
        </w:trPr>
        <w:tc>
          <w:tcPr>
            <w:tcW w:w="4940" w:type="dxa"/>
            <w:vAlign w:val="bottom"/>
            <w:gridSpan w:val="2"/>
          </w:tcPr>
          <w:p>
            <w:pPr>
              <w:ind w:left="100"/>
              <w:spacing w:after="0"/>
              <w:rPr>
                <w:sz w:val="20"/>
                <w:szCs w:val="20"/>
                <w:color w:val="auto"/>
              </w:rPr>
            </w:pPr>
            <w:r>
              <w:rPr>
                <w:rFonts w:ascii="Arial" w:cs="Arial" w:eastAsia="Arial" w:hAnsi="Arial"/>
                <w:sz w:val="11"/>
                <w:szCs w:val="11"/>
                <w:color w:val="auto"/>
              </w:rPr>
              <w:t>Subtotal project-level debt:</w:t>
            </w:r>
          </w:p>
        </w:tc>
        <w:tc>
          <w:tcPr>
            <w:tcW w:w="2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63"/>
              <w:spacing w:after="0"/>
              <w:rPr>
                <w:sz w:val="20"/>
                <w:szCs w:val="20"/>
                <w:color w:val="auto"/>
              </w:rPr>
            </w:pPr>
            <w:r>
              <w:rPr>
                <w:rFonts w:ascii="Arial" w:cs="Arial" w:eastAsia="Arial" w:hAnsi="Arial"/>
                <w:sz w:val="11"/>
                <w:szCs w:val="11"/>
                <w:color w:val="auto"/>
              </w:rPr>
              <w:t>4,487</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4,545</w:t>
            </w:r>
          </w:p>
        </w:tc>
        <w:tc>
          <w:tcPr>
            <w:tcW w:w="40" w:type="dxa"/>
            <w:vAlign w:val="bottom"/>
            <w:tcBorders>
              <w:top w:val="single" w:sz="8" w:color="auto"/>
            </w:tcBorders>
          </w:tcPr>
          <w:p>
            <w:pPr>
              <w:spacing w:after="0"/>
              <w:rPr>
                <w:sz w:val="12"/>
                <w:szCs w:val="12"/>
                <w:color w:val="auto"/>
              </w:rPr>
            </w:pPr>
          </w:p>
        </w:tc>
        <w:tc>
          <w:tcPr>
            <w:tcW w:w="2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r>
      <w:tr>
        <w:trPr>
          <w:trHeight w:val="140"/>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Total debt</w:t>
            </w:r>
          </w:p>
        </w:tc>
        <w:tc>
          <w:tcPr>
            <w:tcW w:w="2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rPr>
              <w:t>5,970</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6,083</w:t>
            </w:r>
          </w:p>
        </w:tc>
        <w:tc>
          <w:tcPr>
            <w:tcW w:w="40" w:type="dxa"/>
            <w:vAlign w:val="bottom"/>
            <w:tcBorders>
              <w:bottom w:val="single" w:sz="8" w:color="CCEEFF"/>
            </w:tcBorders>
            <w:shd w:val="clear" w:color="auto" w:fill="CCEEFF"/>
          </w:tcPr>
          <w:p>
            <w:pPr>
              <w:spacing w:after="0"/>
              <w:rPr>
                <w:sz w:val="12"/>
                <w:szCs w:val="12"/>
                <w:color w:val="auto"/>
              </w:rPr>
            </w:pPr>
          </w:p>
        </w:tc>
        <w:tc>
          <w:tcPr>
            <w:tcW w:w="21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r>
      <w:tr>
        <w:trPr>
          <w:trHeight w:val="180"/>
        </w:trPr>
        <w:tc>
          <w:tcPr>
            <w:tcW w:w="4940" w:type="dxa"/>
            <w:vAlign w:val="bottom"/>
            <w:gridSpan w:val="2"/>
          </w:tcPr>
          <w:p>
            <w:pPr>
              <w:ind w:left="60"/>
              <w:spacing w:after="0" w:line="180" w:lineRule="exact"/>
              <w:rPr>
                <w:sz w:val="20"/>
                <w:szCs w:val="20"/>
                <w:color w:val="auto"/>
              </w:rPr>
            </w:pPr>
            <w:r>
              <w:rPr>
                <w:rFonts w:ascii="Arial" w:cs="Arial" w:eastAsia="Arial" w:hAnsi="Arial"/>
                <w:sz w:val="11"/>
                <w:szCs w:val="11"/>
                <w:color w:val="auto"/>
              </w:rPr>
              <w:t xml:space="preserve">Less current maturities </w:t>
            </w:r>
            <w:r>
              <w:rPr>
                <w:rFonts w:ascii="Arial" w:cs="Arial" w:eastAsia="Arial" w:hAnsi="Arial"/>
                <w:sz w:val="19"/>
                <w:szCs w:val="19"/>
                <w:color w:val="auto"/>
                <w:vertAlign w:val="superscript"/>
              </w:rPr>
              <w:t>(c)</w:t>
            </w:r>
          </w:p>
        </w:tc>
        <w:tc>
          <w:tcPr>
            <w:tcW w:w="2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Arial" w:cs="Arial" w:eastAsia="Arial" w:hAnsi="Arial"/>
                <w:sz w:val="11"/>
                <w:szCs w:val="11"/>
                <w:color w:val="auto"/>
              </w:rPr>
              <w:t>(651)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(339)</w:t>
            </w:r>
          </w:p>
        </w:tc>
        <w:tc>
          <w:tcPr>
            <w:tcW w:w="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60"/>
        </w:trPr>
        <w:tc>
          <w:tcPr>
            <w:tcW w:w="49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Less net debt issuance costs</w:t>
            </w:r>
          </w:p>
        </w:tc>
        <w:tc>
          <w:tcPr>
            <w:tcW w:w="20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(62)</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(68)</w:t>
            </w:r>
          </w:p>
        </w:tc>
        <w:tc>
          <w:tcPr>
            <w:tcW w:w="40" w:type="dxa"/>
            <w:vAlign w:val="bottom"/>
            <w:tcBorders>
              <w:bottom w:val="single" w:sz="8" w:color="CCEEFF"/>
            </w:tcBorders>
            <w:shd w:val="clear" w:color="auto" w:fill="CCEEFF"/>
          </w:tcPr>
          <w:p>
            <w:pPr>
              <w:spacing w:after="0"/>
              <w:rPr>
                <w:sz w:val="13"/>
                <w:szCs w:val="13"/>
                <w:color w:val="auto"/>
              </w:rPr>
            </w:pPr>
          </w:p>
        </w:tc>
        <w:tc>
          <w:tcPr>
            <w:tcW w:w="21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r>
      <w:tr>
        <w:trPr>
          <w:trHeight w:val="180"/>
        </w:trPr>
        <w:tc>
          <w:tcPr>
            <w:tcW w:w="4940" w:type="dxa"/>
            <w:vAlign w:val="bottom"/>
            <w:tcBorders>
              <w:bottom w:val="single" w:sz="8" w:color="CCEEFF"/>
            </w:tcBorders>
            <w:gridSpan w:val="2"/>
          </w:tcPr>
          <w:p>
            <w:pPr>
              <w:ind w:left="100"/>
              <w:spacing w:after="0" w:line="180" w:lineRule="exact"/>
              <w:rPr>
                <w:sz w:val="20"/>
                <w:szCs w:val="20"/>
                <w:color w:val="auto"/>
              </w:rPr>
            </w:pPr>
            <w:r>
              <w:rPr>
                <w:rFonts w:ascii="Arial" w:cs="Arial" w:eastAsia="Arial" w:hAnsi="Arial"/>
                <w:sz w:val="11"/>
                <w:szCs w:val="11"/>
                <w:color w:val="auto"/>
              </w:rPr>
              <w:t xml:space="preserve">Less discounts </w:t>
            </w:r>
            <w:r>
              <w:rPr>
                <w:rFonts w:ascii="Arial" w:cs="Arial" w:eastAsia="Arial" w:hAnsi="Arial"/>
                <w:sz w:val="19"/>
                <w:szCs w:val="19"/>
                <w:color w:val="auto"/>
                <w:vertAlign w:val="superscript"/>
              </w:rPr>
              <w:t>(d)</w:t>
            </w: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(13)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w:t>
            </w:r>
          </w:p>
        </w:tc>
        <w:tc>
          <w:tcPr>
            <w:tcW w:w="40" w:type="dxa"/>
            <w:vAlign w:val="bottom"/>
            <w:tcBorders>
              <w:bottom w:val="single" w:sz="8" w:color="auto"/>
            </w:tcBorders>
          </w:tcPr>
          <w:p>
            <w:pPr>
              <w:spacing w:after="0"/>
              <w:rPr>
                <w:sz w:val="15"/>
                <w:szCs w:val="15"/>
                <w:color w:val="auto"/>
              </w:rPr>
            </w:pPr>
          </w:p>
        </w:tc>
        <w:tc>
          <w:tcPr>
            <w:tcW w:w="214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spacing w:after="0"/>
              <w:rPr>
                <w:sz w:val="15"/>
                <w:szCs w:val="15"/>
                <w:color w:val="auto"/>
              </w:rPr>
            </w:pPr>
          </w:p>
        </w:tc>
      </w:tr>
      <w:tr>
        <w:trPr>
          <w:trHeight w:val="167"/>
        </w:trPr>
        <w:tc>
          <w:tcPr>
            <w:tcW w:w="49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Total long-term debt</w:t>
            </w: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5,244</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5,659</w:t>
            </w:r>
          </w:p>
        </w:tc>
        <w:tc>
          <w:tcPr>
            <w:tcW w:w="40" w:type="dxa"/>
            <w:vAlign w:val="bottom"/>
            <w:tcBorders>
              <w:bottom w:val="single" w:sz="8" w:color="auto"/>
            </w:tcBorders>
            <w:shd w:val="clear" w:color="auto" w:fill="CCEEFF"/>
          </w:tcPr>
          <w:p>
            <w:pPr>
              <w:spacing w:after="0"/>
              <w:rPr>
                <w:sz w:val="14"/>
                <w:szCs w:val="14"/>
                <w:color w:val="auto"/>
              </w:rPr>
            </w:pPr>
          </w:p>
        </w:tc>
        <w:tc>
          <w:tcPr>
            <w:tcW w:w="21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142430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24305" cy="5715"/>
                    </a:xfrm>
                    <a:prstGeom prst="rect">
                      <a:avLst/>
                    </a:prstGeom>
                    <a:noFill/>
                  </pic:spPr>
                </pic:pic>
              </a:graphicData>
            </a:graphic>
          </wp:anchor>
        </w:drawing>
      </w:r>
    </w:p>
    <w:p>
      <w:pPr>
        <w:spacing w:after="0" w:line="167" w:lineRule="exact"/>
        <w:rPr>
          <w:sz w:val="20"/>
          <w:szCs w:val="20"/>
          <w:color w:val="auto"/>
        </w:rPr>
      </w:pPr>
    </w:p>
    <w:p>
      <w:pPr>
        <w:ind w:left="108" w:hanging="108"/>
        <w:spacing w:after="0"/>
        <w:tabs>
          <w:tab w:leader="none" w:pos="108" w:val="left"/>
        </w:tabs>
        <w:numPr>
          <w:ilvl w:val="0"/>
          <w:numId w:val="16"/>
        </w:numPr>
        <w:rPr>
          <w:rFonts w:ascii="Arial" w:cs="Arial" w:eastAsia="Arial" w:hAnsi="Arial"/>
          <w:sz w:val="13"/>
          <w:szCs w:val="13"/>
          <w:color w:val="auto"/>
          <w:vertAlign w:val="superscript"/>
        </w:rPr>
      </w:pPr>
      <w:r>
        <w:rPr>
          <w:rFonts w:ascii="Arial" w:cs="Arial" w:eastAsia="Arial" w:hAnsi="Arial"/>
          <w:sz w:val="10"/>
          <w:szCs w:val="10"/>
          <w:color w:val="auto"/>
        </w:rPr>
        <w:t>As of June 30, 2018, L+ equals 3 month LIBOR plus x%, except for Viento, due 2023 where L+ equals 6 month LIBOR plus 3.00% and Buckthorn Solar and Utah Solar Portfolio, where L+ equals 1 month LIBOR plus x%.</w:t>
      </w:r>
    </w:p>
    <w:p>
      <w:pPr>
        <w:ind w:left="88" w:hanging="88"/>
        <w:spacing w:after="0" w:line="222" w:lineRule="auto"/>
        <w:tabs>
          <w:tab w:leader="none" w:pos="88" w:val="left"/>
        </w:tabs>
        <w:numPr>
          <w:ilvl w:val="0"/>
          <w:numId w:val="16"/>
        </w:numPr>
        <w:rPr>
          <w:rFonts w:ascii="Arial" w:cs="Arial" w:eastAsia="Arial" w:hAnsi="Arial"/>
          <w:sz w:val="6"/>
          <w:szCs w:val="6"/>
          <w:color w:val="auto"/>
        </w:rPr>
      </w:pPr>
      <w:r>
        <w:rPr>
          <w:rFonts w:ascii="Arial" w:cs="Arial" w:eastAsia="Arial" w:hAnsi="Arial"/>
          <w:sz w:val="11"/>
          <w:szCs w:val="11"/>
          <w:color w:val="auto"/>
        </w:rPr>
        <w:t>Applicable rate is determined by the borrower leverage ratio, as defined in the credit agreement.</w:t>
      </w:r>
    </w:p>
    <w:p>
      <w:pPr>
        <w:ind w:left="108" w:hanging="108"/>
        <w:spacing w:after="0" w:line="219" w:lineRule="auto"/>
        <w:tabs>
          <w:tab w:leader="none" w:pos="108" w:val="left"/>
        </w:tabs>
        <w:numPr>
          <w:ilvl w:val="0"/>
          <w:numId w:val="16"/>
        </w:numPr>
        <w:rPr>
          <w:rFonts w:ascii="Arial" w:cs="Arial" w:eastAsia="Arial" w:hAnsi="Arial"/>
          <w:sz w:val="12"/>
          <w:szCs w:val="12"/>
          <w:color w:val="auto"/>
          <w:vertAlign w:val="superscript"/>
        </w:rPr>
      </w:pPr>
      <w:r>
        <w:rPr>
          <w:rFonts w:ascii="Arial" w:cs="Arial" w:eastAsia="Arial" w:hAnsi="Arial"/>
          <w:sz w:val="9"/>
          <w:szCs w:val="9"/>
          <w:color w:val="auto"/>
        </w:rPr>
        <w:t>The 2019 Convertible Notes become due in February 2019 and are included in current portion of long-term debt on the Company's consolidated balance sheet as of June 30, 2018. Upon conversion of the 2019 Convertible Notes, pursuant to a notice delivered by</w:t>
      </w:r>
    </w:p>
    <w:p>
      <w:pPr>
        <w:ind w:left="48"/>
        <w:spacing w:after="0" w:line="232" w:lineRule="auto"/>
        <w:rPr>
          <w:sz w:val="20"/>
          <w:szCs w:val="20"/>
          <w:color w:val="auto"/>
        </w:rPr>
      </w:pPr>
      <w:r>
        <w:rPr>
          <w:rFonts w:ascii="Arial" w:cs="Arial" w:eastAsia="Arial" w:hAnsi="Arial"/>
          <w:sz w:val="11"/>
          <w:szCs w:val="11"/>
          <w:color w:val="auto"/>
        </w:rPr>
        <w:t>the Company to the holders of the 2019 Convertible Notes on July 26, 2018, the Company will settle all conversions through the payment of cash, as described in the 2019 Convertible Notes indenture.</w:t>
      </w:r>
    </w:p>
    <w:p>
      <w:pPr>
        <w:ind w:left="108" w:hanging="108"/>
        <w:spacing w:after="0" w:line="212" w:lineRule="auto"/>
        <w:tabs>
          <w:tab w:leader="none" w:pos="108" w:val="left"/>
        </w:tabs>
        <w:numPr>
          <w:ilvl w:val="0"/>
          <w:numId w:val="17"/>
        </w:numPr>
        <w:rPr>
          <w:rFonts w:ascii="Arial" w:cs="Arial" w:eastAsia="Arial" w:hAnsi="Arial"/>
          <w:sz w:val="13"/>
          <w:szCs w:val="13"/>
          <w:color w:val="auto"/>
          <w:vertAlign w:val="superscript"/>
        </w:rPr>
      </w:pPr>
      <w:r>
        <w:rPr>
          <w:rFonts w:ascii="Arial" w:cs="Arial" w:eastAsia="Arial" w:hAnsi="Arial"/>
          <w:sz w:val="10"/>
          <w:szCs w:val="10"/>
          <w:color w:val="auto"/>
        </w:rPr>
        <w:t>Discounts relate to the 2019 Convertible Notes and 2020 Convertible Notes.</w:t>
      </w:r>
    </w:p>
    <w:p>
      <w:pPr>
        <w:spacing w:after="0" w:line="94" w:lineRule="exact"/>
        <w:rPr>
          <w:sz w:val="20"/>
          <w:szCs w:val="20"/>
          <w:color w:val="auto"/>
        </w:rPr>
      </w:pPr>
    </w:p>
    <w:p>
      <w:pPr>
        <w:ind w:left="8" w:firstLine="270"/>
        <w:spacing w:after="0" w:line="276" w:lineRule="auto"/>
        <w:rPr>
          <w:sz w:val="20"/>
          <w:szCs w:val="20"/>
          <w:color w:val="auto"/>
        </w:rPr>
      </w:pPr>
      <w:r>
        <w:rPr>
          <w:rFonts w:ascii="Arial" w:cs="Arial" w:eastAsia="Arial" w:hAnsi="Arial"/>
          <w:sz w:val="12"/>
          <w:szCs w:val="12"/>
          <w:color w:val="auto"/>
        </w:rPr>
        <w:t>The financing arrangements listed above contain certain covenants, including financial covenants that the Company is required to be in compliance with during the term of the respective arrangement. As of June 30, 2018, the Company was in compliance with all of the required covenants.</w:t>
      </w:r>
    </w:p>
    <w:p>
      <w:pPr>
        <w:spacing w:after="0" w:line="79" w:lineRule="exact"/>
        <w:rPr>
          <w:sz w:val="20"/>
          <w:szCs w:val="20"/>
          <w:color w:val="auto"/>
        </w:rPr>
      </w:pPr>
    </w:p>
    <w:p>
      <w:pPr>
        <w:ind w:left="268"/>
        <w:spacing w:after="0"/>
        <w:rPr>
          <w:sz w:val="20"/>
          <w:szCs w:val="20"/>
          <w:color w:val="auto"/>
        </w:rPr>
      </w:pPr>
      <w:r>
        <w:rPr>
          <w:rFonts w:ascii="Arial" w:cs="Arial" w:eastAsia="Arial" w:hAnsi="Arial"/>
          <w:sz w:val="12"/>
          <w:szCs w:val="12"/>
          <w:color w:val="auto"/>
        </w:rPr>
        <w:t>The discussion below describes material changes to or additions of long-term debt for the six months ended June 30, 2018.</w:t>
      </w:r>
    </w:p>
    <w:p>
      <w:pPr>
        <w:spacing w:after="0" w:line="27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1488"/>
          </w:cols>
          <w:pgMar w:left="212" w:top="505" w:right="199" w:bottom="1440" w:gutter="0" w:footer="0" w:header="0"/>
        </w:sectPr>
      </w:pPr>
    </w:p>
    <w:bookmarkStart w:id="28" w:name="page29"/>
    <w:bookmarkEnd w:id="28"/>
    <w:p>
      <w:pPr>
        <w:ind w:left="260"/>
        <w:spacing w:after="0"/>
        <w:rPr>
          <w:sz w:val="20"/>
          <w:szCs w:val="20"/>
          <w:color w:val="auto"/>
        </w:rPr>
      </w:pPr>
      <w:r>
        <w:rPr>
          <w:rFonts w:ascii="Arial" w:cs="Arial" w:eastAsia="Arial" w:hAnsi="Arial"/>
          <w:sz w:val="12"/>
          <w:szCs w:val="12"/>
          <w:b w:val="1"/>
          <w:bCs w:val="1"/>
          <w:i w:val="1"/>
          <w:iCs w:val="1"/>
          <w:color w:val="auto"/>
        </w:rPr>
        <w:t>NRG Yield LLC and NRG Yield Operating LLC Revolving Credit Facility</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2"/>
          <w:szCs w:val="12"/>
          <w:color w:val="231F20"/>
        </w:rPr>
        <w:t xml:space="preserve">As of </w:t>
      </w:r>
      <w:r>
        <w:rPr>
          <w:rFonts w:ascii="Arial" w:cs="Arial" w:eastAsia="Arial" w:hAnsi="Arial"/>
          <w:sz w:val="12"/>
          <w:szCs w:val="12"/>
          <w:color w:val="000000"/>
        </w:rPr>
        <w:t>June 30, 2018</w:t>
      </w:r>
      <w:r>
        <w:rPr>
          <w:rFonts w:ascii="Arial" w:cs="Arial" w:eastAsia="Arial" w:hAnsi="Arial"/>
          <w:sz w:val="12"/>
          <w:szCs w:val="12"/>
          <w:color w:val="231F20"/>
        </w:rPr>
        <w:t>, there were no outstanding borrowings under the revolving credit facility and the Company had $67 million of letters of credit outstanding.</w:t>
      </w:r>
    </w:p>
    <w:p>
      <w:pPr>
        <w:spacing w:after="0" w:line="114"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On April 30, 2018, the Company closed on the refinancing of the revolving credit facility, which extended the maturity of the facility to April 28, 2023, and decreased the Company's overall cost of borrowing from L+2.50% to L+1.75%. The facility will continue to be used for general corporate purposes including financing of future acquisitions and posting letters of credit.</w:t>
      </w:r>
    </w:p>
    <w:p>
      <w:pPr>
        <w:spacing w:after="0" w:line="79" w:lineRule="exact"/>
        <w:rPr>
          <w:sz w:val="20"/>
          <w:szCs w:val="20"/>
          <w:color w:val="auto"/>
        </w:rPr>
      </w:pPr>
    </w:p>
    <w:p>
      <w:pPr>
        <w:jc w:val="both"/>
        <w:ind w:right="20" w:firstLine="270"/>
        <w:spacing w:after="0" w:line="263" w:lineRule="auto"/>
        <w:rPr>
          <w:sz w:val="20"/>
          <w:szCs w:val="20"/>
          <w:color w:val="auto"/>
        </w:rPr>
      </w:pPr>
      <w:r>
        <w:rPr>
          <w:rFonts w:ascii="Arial" w:cs="Arial" w:eastAsia="Arial" w:hAnsi="Arial"/>
          <w:sz w:val="12"/>
          <w:szCs w:val="12"/>
          <w:color w:val="auto"/>
        </w:rPr>
        <w:t>On February 6, 2018, NRG Yield Operating LLC and NRG Yield LLC amended the revolving credit facility to modify the "change of control" provisions to permit the consummation of the NRG Transaction, and also to permit NRG Yield Operating LLC, NRG Yield LLC and certain subsidiaries to incur up to $1.5 billion of unsecured indebtedness in order to repurchase or make other required cash payments, in each case if applicable, with respect to NRG Yield Operating LLC’s outstanding senior notes and NRG Yield's outstanding convertible notes in connection with the NRG Transaction.</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Project - level Debt</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Energy Center Minneapolis Series E, F, G, H Notes</w:t>
      </w:r>
    </w:p>
    <w:p>
      <w:pPr>
        <w:spacing w:after="0" w:line="114" w:lineRule="exact"/>
        <w:rPr>
          <w:sz w:val="20"/>
          <w:szCs w:val="20"/>
          <w:color w:val="auto"/>
        </w:rPr>
      </w:pPr>
    </w:p>
    <w:p>
      <w:pPr>
        <w:jc w:val="both"/>
        <w:ind w:right="20" w:firstLine="270"/>
        <w:spacing w:after="0" w:line="276" w:lineRule="auto"/>
        <w:rPr>
          <w:sz w:val="20"/>
          <w:szCs w:val="20"/>
          <w:color w:val="auto"/>
        </w:rPr>
      </w:pPr>
      <w:r>
        <w:rPr>
          <w:rFonts w:ascii="Arial" w:cs="Arial" w:eastAsia="Arial" w:hAnsi="Arial"/>
          <w:sz w:val="12"/>
          <w:szCs w:val="12"/>
          <w:color w:val="auto"/>
        </w:rPr>
        <w:t>On June 19, 2018, NRG Energy Center Minneapolis LLC, a subsidiary of the Company, entered into an amended and restated Thermal note purchase and private shelf agreement under which it authorized the issuance of the Series E Notes, Series F Notes, Series G Notes, and Series H Notes, as further described in the table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320" w:type="dxa"/>
            <w:vAlign w:val="bottom"/>
          </w:tcPr>
          <w:p>
            <w:pPr>
              <w:ind w:left="20"/>
              <w:spacing w:after="0"/>
              <w:rPr>
                <w:sz w:val="20"/>
                <w:szCs w:val="20"/>
                <w:color w:val="auto"/>
              </w:rPr>
            </w:pPr>
            <w:r>
              <w:rPr>
                <w:rFonts w:ascii="Arial" w:cs="Arial" w:eastAsia="Arial" w:hAnsi="Arial"/>
                <w:sz w:val="11"/>
                <w:szCs w:val="11"/>
                <w:b w:val="1"/>
                <w:bCs w:val="1"/>
                <w:color w:val="auto"/>
              </w:rPr>
              <w:t>(in millions)</w:t>
            </w:r>
          </w:p>
        </w:tc>
        <w:tc>
          <w:tcPr>
            <w:tcW w:w="3060" w:type="dxa"/>
            <w:vAlign w:val="bottom"/>
          </w:tcPr>
          <w:p>
            <w:pPr>
              <w:spacing w:after="0"/>
              <w:rPr>
                <w:sz w:val="14"/>
                <w:szCs w:val="14"/>
                <w:color w:val="auto"/>
              </w:rPr>
            </w:pPr>
          </w:p>
        </w:tc>
        <w:tc>
          <w:tcPr>
            <w:tcW w:w="1520" w:type="dxa"/>
            <w:vAlign w:val="bottom"/>
          </w:tcPr>
          <w:p>
            <w:pPr>
              <w:jc w:val="right"/>
              <w:ind w:right="800"/>
              <w:spacing w:after="0"/>
              <w:rPr>
                <w:sz w:val="20"/>
                <w:szCs w:val="20"/>
                <w:color w:val="auto"/>
              </w:rPr>
            </w:pPr>
            <w:r>
              <w:rPr>
                <w:rFonts w:ascii="Arial" w:cs="Arial" w:eastAsia="Arial" w:hAnsi="Arial"/>
                <w:sz w:val="12"/>
                <w:szCs w:val="12"/>
                <w:b w:val="1"/>
                <w:bCs w:val="1"/>
                <w:color w:val="auto"/>
              </w:rPr>
              <w:t>Amount</w:t>
            </w:r>
          </w:p>
        </w:tc>
        <w:tc>
          <w:tcPr>
            <w:tcW w:w="1580" w:type="dxa"/>
            <w:vAlign w:val="bottom"/>
          </w:tcPr>
          <w:p>
            <w:pPr>
              <w:jc w:val="right"/>
              <w:ind w:right="480"/>
              <w:spacing w:after="0"/>
              <w:rPr>
                <w:sz w:val="20"/>
                <w:szCs w:val="20"/>
                <w:color w:val="auto"/>
              </w:rPr>
            </w:pPr>
            <w:r>
              <w:rPr>
                <w:rFonts w:ascii="Arial" w:cs="Arial" w:eastAsia="Arial" w:hAnsi="Arial"/>
                <w:sz w:val="12"/>
                <w:szCs w:val="12"/>
                <w:b w:val="1"/>
                <w:bCs w:val="1"/>
                <w:color w:val="auto"/>
              </w:rPr>
              <w:t>Interest Rate</w:t>
            </w:r>
          </w:p>
        </w:tc>
      </w:tr>
      <w:tr>
        <w:trPr>
          <w:trHeight w:val="189"/>
        </w:trPr>
        <w:tc>
          <w:tcPr>
            <w:tcW w:w="5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Energy Center Minneapolis Series E Notes, due 2033</w:t>
            </w:r>
          </w:p>
        </w:tc>
        <w:tc>
          <w:tcPr>
            <w:tcW w:w="30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52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70</w:t>
            </w:r>
          </w:p>
        </w:tc>
        <w:tc>
          <w:tcPr>
            <w:tcW w:w="1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4.80%</w:t>
            </w:r>
          </w:p>
        </w:tc>
      </w:tr>
      <w:tr>
        <w:trPr>
          <w:trHeight w:val="171"/>
        </w:trPr>
        <w:tc>
          <w:tcPr>
            <w:tcW w:w="5320" w:type="dxa"/>
            <w:vAlign w:val="bottom"/>
          </w:tcPr>
          <w:p>
            <w:pPr>
              <w:ind w:left="20"/>
              <w:spacing w:after="0"/>
              <w:rPr>
                <w:sz w:val="20"/>
                <w:szCs w:val="20"/>
                <w:color w:val="auto"/>
              </w:rPr>
            </w:pPr>
            <w:r>
              <w:rPr>
                <w:rFonts w:ascii="Arial" w:cs="Arial" w:eastAsia="Arial" w:hAnsi="Arial"/>
                <w:sz w:val="12"/>
                <w:szCs w:val="12"/>
                <w:color w:val="auto"/>
              </w:rPr>
              <w:t>Energy Center Minneapolis Series F Notes, due 2033</w:t>
            </w:r>
          </w:p>
        </w:tc>
        <w:tc>
          <w:tcPr>
            <w:tcW w:w="3060" w:type="dxa"/>
            <w:vAlign w:val="bottom"/>
          </w:tcPr>
          <w:p>
            <w:pPr>
              <w:spacing w:after="0"/>
              <w:rPr>
                <w:sz w:val="14"/>
                <w:szCs w:val="14"/>
                <w:color w:val="auto"/>
              </w:rPr>
            </w:pPr>
          </w:p>
        </w:tc>
        <w:tc>
          <w:tcPr>
            <w:tcW w:w="1520" w:type="dxa"/>
            <w:vAlign w:val="bottom"/>
          </w:tcPr>
          <w:p>
            <w:pPr>
              <w:jc w:val="right"/>
              <w:ind w:right="300"/>
              <w:spacing w:after="0"/>
              <w:rPr>
                <w:sz w:val="20"/>
                <w:szCs w:val="20"/>
                <w:color w:val="auto"/>
              </w:rPr>
            </w:pPr>
            <w:r>
              <w:rPr>
                <w:rFonts w:ascii="Arial" w:cs="Arial" w:eastAsia="Arial" w:hAnsi="Arial"/>
                <w:sz w:val="12"/>
                <w:szCs w:val="12"/>
                <w:color w:val="auto"/>
              </w:rPr>
              <w:t>10</w:t>
            </w:r>
          </w:p>
        </w:tc>
        <w:tc>
          <w:tcPr>
            <w:tcW w:w="1580" w:type="dxa"/>
            <w:vAlign w:val="bottom"/>
          </w:tcPr>
          <w:p>
            <w:pPr>
              <w:jc w:val="right"/>
              <w:spacing w:after="0"/>
              <w:rPr>
                <w:sz w:val="20"/>
                <w:szCs w:val="20"/>
                <w:color w:val="auto"/>
              </w:rPr>
            </w:pPr>
            <w:r>
              <w:rPr>
                <w:rFonts w:ascii="Arial" w:cs="Arial" w:eastAsia="Arial" w:hAnsi="Arial"/>
                <w:sz w:val="12"/>
                <w:szCs w:val="12"/>
                <w:color w:val="auto"/>
              </w:rPr>
              <w:t>4.60%</w:t>
            </w:r>
          </w:p>
        </w:tc>
      </w:tr>
      <w:tr>
        <w:trPr>
          <w:trHeight w:val="189"/>
        </w:trPr>
        <w:tc>
          <w:tcPr>
            <w:tcW w:w="5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Energy Center Minneapolis Series G Notes, due 2035</w:t>
            </w:r>
          </w:p>
        </w:tc>
        <w:tc>
          <w:tcPr>
            <w:tcW w:w="306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83</w:t>
            </w:r>
          </w:p>
        </w:tc>
        <w:tc>
          <w:tcPr>
            <w:tcW w:w="1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5.90%</w:t>
            </w:r>
          </w:p>
        </w:tc>
      </w:tr>
      <w:tr>
        <w:trPr>
          <w:trHeight w:val="162"/>
        </w:trPr>
        <w:tc>
          <w:tcPr>
            <w:tcW w:w="5320" w:type="dxa"/>
            <w:vAlign w:val="bottom"/>
          </w:tcPr>
          <w:p>
            <w:pPr>
              <w:ind w:left="20"/>
              <w:spacing w:after="0"/>
              <w:rPr>
                <w:sz w:val="20"/>
                <w:szCs w:val="20"/>
                <w:color w:val="auto"/>
              </w:rPr>
            </w:pPr>
            <w:r>
              <w:rPr>
                <w:rFonts w:ascii="Arial" w:cs="Arial" w:eastAsia="Arial" w:hAnsi="Arial"/>
                <w:sz w:val="12"/>
                <w:szCs w:val="12"/>
                <w:color w:val="auto"/>
              </w:rPr>
              <w:t>Energy Center Minneapolis Series H Notes, due 2037</w:t>
            </w:r>
          </w:p>
        </w:tc>
        <w:tc>
          <w:tcPr>
            <w:tcW w:w="3060" w:type="dxa"/>
            <w:vAlign w:val="bottom"/>
          </w:tcPr>
          <w:p>
            <w:pPr>
              <w:spacing w:after="0"/>
              <w:rPr>
                <w:sz w:val="14"/>
                <w:szCs w:val="14"/>
                <w:color w:val="auto"/>
              </w:rPr>
            </w:pPr>
          </w:p>
        </w:tc>
        <w:tc>
          <w:tcPr>
            <w:tcW w:w="1520" w:type="dxa"/>
            <w:vAlign w:val="bottom"/>
          </w:tcPr>
          <w:p>
            <w:pPr>
              <w:jc w:val="right"/>
              <w:ind w:right="300"/>
              <w:spacing w:after="0"/>
              <w:rPr>
                <w:sz w:val="20"/>
                <w:szCs w:val="20"/>
                <w:color w:val="auto"/>
              </w:rPr>
            </w:pPr>
            <w:r>
              <w:rPr>
                <w:rFonts w:ascii="Arial" w:cs="Arial" w:eastAsia="Arial" w:hAnsi="Arial"/>
                <w:sz w:val="12"/>
                <w:szCs w:val="12"/>
                <w:color w:val="auto"/>
              </w:rPr>
              <w:t>40</w:t>
            </w:r>
          </w:p>
        </w:tc>
        <w:tc>
          <w:tcPr>
            <w:tcW w:w="1580" w:type="dxa"/>
            <w:vAlign w:val="bottom"/>
          </w:tcPr>
          <w:p>
            <w:pPr>
              <w:jc w:val="right"/>
              <w:spacing w:after="0"/>
              <w:rPr>
                <w:sz w:val="20"/>
                <w:szCs w:val="20"/>
                <w:color w:val="auto"/>
              </w:rPr>
            </w:pPr>
            <w:r>
              <w:rPr>
                <w:rFonts w:ascii="Arial" w:cs="Arial" w:eastAsia="Arial" w:hAnsi="Arial"/>
                <w:sz w:val="12"/>
                <w:szCs w:val="12"/>
                <w:color w:val="auto"/>
              </w:rPr>
              <w:t>4.83%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0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2"/>
                <w:szCs w:val="12"/>
                <w:b w:val="1"/>
                <w:bCs w:val="1"/>
                <w:color w:val="auto"/>
              </w:rPr>
              <w:t>Total proceeds</w:t>
            </w:r>
          </w:p>
        </w:tc>
        <w:tc>
          <w:tcPr>
            <w:tcW w:w="700" w:type="dxa"/>
            <w:vAlign w:val="bottom"/>
            <w:tcBorders>
              <w:top w:val="single" w:sz="8" w:color="auto"/>
            </w:tcBorders>
            <w:shd w:val="clear" w:color="auto" w:fill="CCEEFF"/>
          </w:tcPr>
          <w:p>
            <w:pPr>
              <w:jc w:val="right"/>
              <w:ind w:right="560"/>
              <w:spacing w:after="0"/>
              <w:rPr>
                <w:sz w:val="20"/>
                <w:szCs w:val="20"/>
                <w:color w:val="auto"/>
              </w:rPr>
            </w:pPr>
            <w:r>
              <w:rPr>
                <w:rFonts w:ascii="Arial" w:cs="Arial" w:eastAsia="Arial" w:hAnsi="Arial"/>
                <w:sz w:val="12"/>
                <w:szCs w:val="12"/>
                <w:b w:val="1"/>
                <w:bCs w:val="1"/>
                <w:color w:val="auto"/>
                <w:w w:val="89"/>
              </w:rPr>
              <w:t>$</w:t>
            </w:r>
          </w:p>
        </w:tc>
        <w:tc>
          <w:tcPr>
            <w:tcW w:w="90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203</w:t>
            </w:r>
          </w:p>
        </w:tc>
        <w:tc>
          <w:tcPr>
            <w:tcW w:w="1840" w:type="dxa"/>
            <w:vAlign w:val="bottom"/>
            <w:tcBorders>
              <w:top w:val="single" w:sz="8" w:color="CCEEFF"/>
            </w:tcBorders>
            <w:shd w:val="clear" w:color="auto" w:fill="CCEEFF"/>
          </w:tcPr>
          <w:p>
            <w:pPr>
              <w:spacing w:after="0"/>
              <w:rPr>
                <w:sz w:val="16"/>
                <w:szCs w:val="16"/>
                <w:color w:val="auto"/>
              </w:rPr>
            </w:pPr>
          </w:p>
        </w:tc>
      </w:tr>
      <w:tr>
        <w:trPr>
          <w:trHeight w:val="171"/>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Repayment of Energy Center Minneapolis Series C Notes, due 2025</w:t>
            </w:r>
          </w:p>
        </w:tc>
        <w:tc>
          <w:tcPr>
            <w:tcW w:w="7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(83)</w:t>
            </w:r>
          </w:p>
        </w:tc>
        <w:tc>
          <w:tcPr>
            <w:tcW w:w="184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5.95%</w:t>
            </w:r>
          </w:p>
        </w:tc>
      </w:tr>
      <w:tr>
        <w:trPr>
          <w:trHeight w:val="185"/>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b w:val="1"/>
                <w:bCs w:val="1"/>
                <w:color w:val="auto"/>
              </w:rPr>
              <w:t>Net borrowings</w:t>
            </w:r>
          </w:p>
        </w:tc>
        <w:tc>
          <w:tcPr>
            <w:tcW w:w="700" w:type="dxa"/>
            <w:vAlign w:val="bottom"/>
            <w:tcBorders>
              <w:bottom w:val="single" w:sz="8" w:color="auto"/>
            </w:tcBorders>
            <w:shd w:val="clear" w:color="auto" w:fill="CCEEFF"/>
          </w:tcPr>
          <w:p>
            <w:pPr>
              <w:jc w:val="right"/>
              <w:ind w:right="560"/>
              <w:spacing w:after="0"/>
              <w:rPr>
                <w:sz w:val="20"/>
                <w:szCs w:val="20"/>
                <w:color w:val="auto"/>
              </w:rPr>
            </w:pPr>
            <w:r>
              <w:rPr>
                <w:rFonts w:ascii="Arial" w:cs="Arial" w:eastAsia="Arial" w:hAnsi="Arial"/>
                <w:sz w:val="12"/>
                <w:szCs w:val="12"/>
                <w:b w:val="1"/>
                <w:bCs w:val="1"/>
                <w:color w:val="auto"/>
                <w:w w:val="89"/>
              </w:rPr>
              <w:t>$</w:t>
            </w: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120</w:t>
            </w:r>
          </w:p>
        </w:tc>
        <w:tc>
          <w:tcPr>
            <w:tcW w:w="1840" w:type="dxa"/>
            <w:vAlign w:val="bottom"/>
            <w:tcBorders>
              <w:bottom w:val="single" w:sz="8" w:color="CCEEFF"/>
            </w:tcBorders>
            <w:shd w:val="clear" w:color="auto" w:fill="CCEEFF"/>
          </w:tcPr>
          <w:p>
            <w:pPr>
              <w:spacing w:after="0"/>
              <w:rPr>
                <w:sz w:val="16"/>
                <w:szCs w:val="16"/>
                <w:color w:val="auto"/>
              </w:rPr>
            </w:pPr>
          </w:p>
        </w:tc>
      </w:tr>
    </w:tbl>
    <w:p>
      <w:pPr>
        <w:spacing w:after="0" w:line="99"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 xml:space="preserve">The proceeds from the sale of the Series E Notes and the Series F Notes were utilized to finance the acquisition of the UPMC Thermal Project as described in Note 3, </w:t>
      </w:r>
      <w:r>
        <w:rPr>
          <w:rFonts w:ascii="Arial" w:cs="Arial" w:eastAsia="Arial" w:hAnsi="Arial"/>
          <w:sz w:val="12"/>
          <w:szCs w:val="12"/>
          <w:i w:val="1"/>
          <w:iCs w:val="1"/>
          <w:color w:val="auto"/>
        </w:rPr>
        <w:t>Business Acquisitions</w:t>
      </w:r>
      <w:r>
        <w:rPr>
          <w:rFonts w:ascii="Arial" w:cs="Arial" w:eastAsia="Arial" w:hAnsi="Arial"/>
          <w:sz w:val="12"/>
          <w:szCs w:val="12"/>
          <w:color w:val="auto"/>
        </w:rPr>
        <w:t>. The Series G Notes were used to refinance the Series C Notes as noted above in the table. The Series H Notes were used to make a dividend to NRG Yield Operating LLC.</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amended and restated Thermal note purchase and private shelf agreement also established a private shelf facility for the future issuance of notes in the amount of $40 million.</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Buckthorn Solar Drop Down Asset Debt</w:t>
      </w:r>
    </w:p>
    <w:p>
      <w:pPr>
        <w:spacing w:after="0" w:line="114" w:lineRule="exact"/>
        <w:rPr>
          <w:sz w:val="20"/>
          <w:szCs w:val="20"/>
          <w:color w:val="auto"/>
        </w:rPr>
      </w:pPr>
    </w:p>
    <w:p>
      <w:pPr>
        <w:jc w:val="both"/>
        <w:ind w:firstLine="261"/>
        <w:spacing w:after="0" w:line="340" w:lineRule="auto"/>
        <w:rPr>
          <w:sz w:val="20"/>
          <w:szCs w:val="20"/>
          <w:color w:val="auto"/>
        </w:rPr>
      </w:pPr>
      <w:r>
        <w:rPr>
          <w:rFonts w:ascii="Arial" w:cs="Arial" w:eastAsia="Arial" w:hAnsi="Arial"/>
          <w:sz w:val="10"/>
          <w:szCs w:val="10"/>
          <w:color w:val="auto"/>
        </w:rPr>
        <w:t xml:space="preserve">As part of the Buckthorn Solar Drop Down Asset acquisition, as further described in Note 3, </w:t>
      </w:r>
      <w:r>
        <w:rPr>
          <w:rFonts w:ascii="Arial" w:cs="Arial" w:eastAsia="Arial" w:hAnsi="Arial"/>
          <w:sz w:val="10"/>
          <w:szCs w:val="10"/>
          <w:i w:val="1"/>
          <w:iCs w:val="1"/>
          <w:color w:val="auto"/>
        </w:rPr>
        <w:t>Business Acquisitions</w:t>
      </w:r>
      <w:r>
        <w:rPr>
          <w:rFonts w:ascii="Arial" w:cs="Arial" w:eastAsia="Arial" w:hAnsi="Arial"/>
          <w:sz w:val="10"/>
          <w:szCs w:val="10"/>
          <w:color w:val="auto"/>
        </w:rPr>
        <w:t>, the Company assumed non-recourse debt of $183 million relating to Buckthorn Solar Portfolio, LLC as of the date of the acquisition, March 30, 2018. The assumed debt consisted of a Construction Loan and an Investment Tax Credits, or ITC, Bridge Loan, both at an interest rate of LIBOR plus 1.75%. On May 31, 2018, $132 million of non-recourse debt was converted to a term loan with an expected maturity of May 2025, and the remainder of the non-recourse debt was repaid with the final proceeds from the Class A member upon the project reaching substantial completion in May 2018.</w:t>
      </w:r>
    </w:p>
    <w:p>
      <w:pPr>
        <w:spacing w:after="0" w:line="52"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Buckthorn Solar entered into a series of fixed for floating interest rate swaps that would fix the interest rate for a minimum of 80% of the outstanding notional amount. All interest rate swap payments by Buckthorn Solar and its counterparties are made quarterly and LIBOR is determined in advance of each interest period.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11480"/>
          </w:cols>
          <w:pgMar w:left="220" w:top="509" w:right="199" w:bottom="1440" w:gutter="0" w:footer="0" w:header="0"/>
        </w:sectPr>
      </w:pPr>
    </w:p>
    <w:bookmarkStart w:id="29" w:name="page30"/>
    <w:bookmarkEnd w:id="29"/>
    <w:p>
      <w:pPr>
        <w:ind w:left="8"/>
        <w:spacing w:after="0"/>
        <w:rPr>
          <w:sz w:val="20"/>
          <w:szCs w:val="20"/>
          <w:color w:val="auto"/>
        </w:rPr>
      </w:pPr>
      <w:r>
        <w:rPr>
          <w:rFonts w:ascii="Arial" w:cs="Arial" w:eastAsia="Arial" w:hAnsi="Arial"/>
          <w:sz w:val="12"/>
          <w:szCs w:val="12"/>
          <w:b w:val="1"/>
          <w:bCs w:val="1"/>
          <w:color w:val="auto"/>
        </w:rPr>
        <w:t xml:space="preserve">Note 8 — </w:t>
      </w:r>
      <w:r>
        <w:rPr>
          <w:rFonts w:ascii="Arial" w:cs="Arial" w:eastAsia="Arial" w:hAnsi="Arial"/>
          <w:sz w:val="12"/>
          <w:szCs w:val="12"/>
          <w:b w:val="1"/>
          <w:bCs w:val="1"/>
          <w:i w:val="1"/>
          <w:iCs w:val="1"/>
          <w:color w:val="auto"/>
        </w:rPr>
        <w:t>Earnings Per Share</w:t>
      </w:r>
    </w:p>
    <w:p>
      <w:pPr>
        <w:spacing w:after="0" w:line="118" w:lineRule="exact"/>
        <w:rPr>
          <w:sz w:val="20"/>
          <w:szCs w:val="20"/>
          <w:color w:val="auto"/>
        </w:rPr>
      </w:pPr>
    </w:p>
    <w:p>
      <w:pPr>
        <w:ind w:left="268"/>
        <w:spacing w:after="0"/>
        <w:rPr>
          <w:sz w:val="20"/>
          <w:szCs w:val="20"/>
          <w:color w:val="auto"/>
        </w:rPr>
      </w:pPr>
      <w:r>
        <w:rPr>
          <w:rFonts w:ascii="Arial" w:cs="Arial" w:eastAsia="Arial" w:hAnsi="Arial"/>
          <w:sz w:val="10"/>
          <w:szCs w:val="10"/>
          <w:color w:val="auto"/>
        </w:rPr>
        <w:t>Basic earnings per common share is computed by dividing net income by the weighted average number of common shares outstanding. Shares issued during the year are weighted for the portion of the year that they were outstanding.</w:t>
      </w:r>
    </w:p>
    <w:p>
      <w:pPr>
        <w:spacing w:after="0" w:line="38" w:lineRule="exact"/>
        <w:rPr>
          <w:sz w:val="20"/>
          <w:szCs w:val="20"/>
          <w:color w:val="auto"/>
        </w:rPr>
      </w:pPr>
    </w:p>
    <w:p>
      <w:pPr>
        <w:ind w:left="8"/>
        <w:spacing w:after="0"/>
        <w:rPr>
          <w:sz w:val="20"/>
          <w:szCs w:val="20"/>
          <w:color w:val="auto"/>
        </w:rPr>
      </w:pPr>
      <w:r>
        <w:rPr>
          <w:rFonts w:ascii="Arial" w:cs="Arial" w:eastAsia="Arial" w:hAnsi="Arial"/>
          <w:sz w:val="12"/>
          <w:szCs w:val="12"/>
          <w:color w:val="auto"/>
        </w:rPr>
        <w:t>Diluted earnings per share is computed in a manner consistent with that of basic earnings per share while giving effect to all potentially dilutive common shares that were outstanding during the period.</w:t>
      </w:r>
    </w:p>
    <w:p>
      <w:pPr>
        <w:spacing w:after="0" w:line="105" w:lineRule="exact"/>
        <w:rPr>
          <w:sz w:val="20"/>
          <w:szCs w:val="20"/>
          <w:color w:val="auto"/>
        </w:rPr>
      </w:pPr>
    </w:p>
    <w:p>
      <w:pPr>
        <w:ind w:left="268"/>
        <w:spacing w:after="0"/>
        <w:rPr>
          <w:sz w:val="20"/>
          <w:szCs w:val="20"/>
          <w:color w:val="auto"/>
        </w:rPr>
      </w:pPr>
      <w:r>
        <w:rPr>
          <w:rFonts w:ascii="Arial" w:cs="Arial" w:eastAsia="Arial" w:hAnsi="Arial"/>
          <w:sz w:val="12"/>
          <w:szCs w:val="12"/>
          <w:color w:val="auto"/>
        </w:rPr>
        <w:t>The reconciliation of the Company's basic and diluted earnings per share is shown in the following tables:</w:t>
      </w:r>
    </w:p>
    <w:p>
      <w:pPr>
        <w:spacing w:after="0" w:line="190"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180" w:type="dxa"/>
            <w:vAlign w:val="bottom"/>
            <w:tcBorders>
              <w:bottom w:val="single" w:sz="8" w:color="auto"/>
            </w:tcBorders>
            <w:gridSpan w:val="4"/>
          </w:tcPr>
          <w:p>
            <w:pPr>
              <w:jc w:val="right"/>
              <w:ind w:right="482"/>
              <w:spacing w:after="0"/>
              <w:rPr>
                <w:sz w:val="20"/>
                <w:szCs w:val="20"/>
                <w:color w:val="auto"/>
              </w:rPr>
            </w:pPr>
            <w:r>
              <w:rPr>
                <w:rFonts w:ascii="Arial" w:cs="Arial" w:eastAsia="Arial" w:hAnsi="Arial"/>
                <w:sz w:val="10"/>
                <w:szCs w:val="10"/>
                <w:b w:val="1"/>
                <w:bCs w:val="1"/>
                <w:color w:val="auto"/>
              </w:rPr>
              <w:t>Three months ended June 30,</w:t>
            </w: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r>
      <w:tr>
        <w:trPr>
          <w:trHeight w:val="169"/>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b w:val="1"/>
                <w:bCs w:val="1"/>
                <w:color w:val="auto"/>
                <w:w w:val="98"/>
              </w:rPr>
              <w:t>2018</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0"/>
                <w:szCs w:val="10"/>
                <w:b w:val="1"/>
                <w:bCs w:val="1"/>
                <w:color w:val="auto"/>
                <w:w w:val="98"/>
              </w:rPr>
              <w:t>2017</w:t>
            </w:r>
          </w:p>
        </w:tc>
        <w:tc>
          <w:tcPr>
            <w:tcW w:w="1000" w:type="dxa"/>
            <w:vAlign w:val="bottom"/>
            <w:tcBorders>
              <w:bottom w:val="single" w:sz="8" w:color="auto"/>
            </w:tcBorders>
          </w:tcPr>
          <w:p>
            <w:pPr>
              <w:spacing w:after="0"/>
              <w:rPr>
                <w:sz w:val="14"/>
                <w:szCs w:val="14"/>
                <w:color w:val="auto"/>
              </w:rPr>
            </w:pPr>
          </w:p>
        </w:tc>
      </w:tr>
      <w:tr>
        <w:trPr>
          <w:trHeight w:val="146"/>
        </w:trPr>
        <w:tc>
          <w:tcPr>
            <w:tcW w:w="6540" w:type="dxa"/>
            <w:vAlign w:val="bottom"/>
            <w:gridSpan w:val="3"/>
          </w:tcPr>
          <w:p>
            <w:pPr>
              <w:ind w:left="20"/>
              <w:spacing w:after="0"/>
              <w:rPr>
                <w:sz w:val="20"/>
                <w:szCs w:val="20"/>
                <w:color w:val="auto"/>
              </w:rPr>
            </w:pPr>
            <w:r>
              <w:rPr>
                <w:rFonts w:ascii="Arial" w:cs="Arial" w:eastAsia="Arial" w:hAnsi="Arial"/>
                <w:sz w:val="10"/>
                <w:szCs w:val="10"/>
                <w:b w:val="1"/>
                <w:bCs w:val="1"/>
                <w:color w:val="auto"/>
              </w:rPr>
              <w:t xml:space="preserve">(In millions, except per share data) </w:t>
            </w:r>
            <w:r>
              <w:rPr>
                <w:rFonts w:ascii="Arial" w:cs="Arial" w:eastAsia="Arial" w:hAnsi="Arial"/>
                <w:sz w:val="5"/>
                <w:szCs w:val="5"/>
                <w:b w:val="1"/>
                <w:bCs w:val="1"/>
                <w:color w:val="auto"/>
              </w:rPr>
              <w:t>(a)</w:t>
            </w:r>
          </w:p>
        </w:tc>
        <w:tc>
          <w:tcPr>
            <w:tcW w:w="160" w:type="dxa"/>
            <w:vAlign w:val="bottom"/>
          </w:tcPr>
          <w:p>
            <w:pPr>
              <w:spacing w:after="0"/>
              <w:rPr>
                <w:sz w:val="12"/>
                <w:szCs w:val="12"/>
                <w:color w:val="auto"/>
              </w:rPr>
            </w:pPr>
          </w:p>
        </w:tc>
        <w:tc>
          <w:tcPr>
            <w:tcW w:w="920" w:type="dxa"/>
            <w:vAlign w:val="bottom"/>
          </w:tcPr>
          <w:p>
            <w:pPr>
              <w:jc w:val="right"/>
              <w:ind w:right="82"/>
              <w:spacing w:after="0"/>
              <w:rPr>
                <w:sz w:val="20"/>
                <w:szCs w:val="20"/>
                <w:color w:val="auto"/>
              </w:rPr>
            </w:pPr>
            <w:r>
              <w:rPr>
                <w:rFonts w:ascii="Arial" w:cs="Arial" w:eastAsia="Arial" w:hAnsi="Arial"/>
                <w:sz w:val="10"/>
                <w:szCs w:val="10"/>
                <w:b w:val="1"/>
                <w:bCs w:val="1"/>
                <w:color w:val="auto"/>
                <w:w w:val="91"/>
              </w:rPr>
              <w:t>Common Class A</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ind w:left="60"/>
              <w:spacing w:after="0"/>
              <w:rPr>
                <w:sz w:val="20"/>
                <w:szCs w:val="20"/>
                <w:color w:val="auto"/>
              </w:rPr>
            </w:pPr>
            <w:r>
              <w:rPr>
                <w:rFonts w:ascii="Arial" w:cs="Arial" w:eastAsia="Arial" w:hAnsi="Arial"/>
                <w:sz w:val="10"/>
                <w:szCs w:val="10"/>
                <w:b w:val="1"/>
                <w:bCs w:val="1"/>
                <w:color w:val="auto"/>
              </w:rPr>
              <w:t>Common Class C</w:t>
            </w:r>
          </w:p>
        </w:tc>
        <w:tc>
          <w:tcPr>
            <w:tcW w:w="140" w:type="dxa"/>
            <w:vAlign w:val="bottom"/>
          </w:tcPr>
          <w:p>
            <w:pPr>
              <w:spacing w:after="0"/>
              <w:rPr>
                <w:sz w:val="12"/>
                <w:szCs w:val="12"/>
                <w:color w:val="auto"/>
              </w:rPr>
            </w:pPr>
          </w:p>
        </w:tc>
        <w:tc>
          <w:tcPr>
            <w:tcW w:w="920" w:type="dxa"/>
            <w:vAlign w:val="bottom"/>
          </w:tcPr>
          <w:p>
            <w:pPr>
              <w:jc w:val="right"/>
              <w:ind w:right="82"/>
              <w:spacing w:after="0"/>
              <w:rPr>
                <w:sz w:val="20"/>
                <w:szCs w:val="20"/>
                <w:color w:val="auto"/>
              </w:rPr>
            </w:pPr>
            <w:r>
              <w:rPr>
                <w:rFonts w:ascii="Arial" w:cs="Arial" w:eastAsia="Arial" w:hAnsi="Arial"/>
                <w:sz w:val="10"/>
                <w:szCs w:val="10"/>
                <w:b w:val="1"/>
                <w:bCs w:val="1"/>
                <w:color w:val="auto"/>
                <w:w w:val="91"/>
              </w:rPr>
              <w:t>Common Class A</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ind w:right="162"/>
              <w:spacing w:after="0"/>
              <w:rPr>
                <w:sz w:val="20"/>
                <w:szCs w:val="20"/>
                <w:color w:val="auto"/>
              </w:rPr>
            </w:pPr>
            <w:r>
              <w:rPr>
                <w:rFonts w:ascii="Arial" w:cs="Arial" w:eastAsia="Arial" w:hAnsi="Arial"/>
                <w:sz w:val="10"/>
                <w:szCs w:val="10"/>
                <w:b w:val="1"/>
                <w:bCs w:val="1"/>
                <w:color w:val="auto"/>
                <w:w w:val="91"/>
              </w:rPr>
              <w:t>Common Class C</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CCEEFF"/>
            </w:tcBorders>
          </w:tcPr>
          <w:p>
            <w:pPr>
              <w:spacing w:after="0" w:line="20" w:lineRule="exact"/>
              <w:rPr>
                <w:sz w:val="1"/>
                <w:szCs w:val="1"/>
                <w:color w:val="auto"/>
              </w:rPr>
            </w:pPr>
          </w:p>
        </w:tc>
        <w:tc>
          <w:tcPr>
            <w:tcW w:w="5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56"/>
        </w:trPr>
        <w:tc>
          <w:tcPr>
            <w:tcW w:w="6540" w:type="dxa"/>
            <w:vAlign w:val="bottom"/>
            <w:gridSpan w:val="3"/>
            <w:shd w:val="clear" w:color="auto" w:fill="CCEEFF"/>
          </w:tcPr>
          <w:p>
            <w:pPr>
              <w:ind w:left="20"/>
              <w:spacing w:after="0"/>
              <w:rPr>
                <w:sz w:val="20"/>
                <w:szCs w:val="20"/>
                <w:color w:val="auto"/>
              </w:rPr>
            </w:pPr>
            <w:r>
              <w:rPr>
                <w:rFonts w:ascii="Arial" w:cs="Arial" w:eastAsia="Arial" w:hAnsi="Arial"/>
                <w:sz w:val="12"/>
                <w:szCs w:val="12"/>
                <w:b w:val="1"/>
                <w:bCs w:val="1"/>
                <w:color w:val="auto"/>
              </w:rPr>
              <w:t>Basic earnings per share attributable to NRG Yield, Inc. common stockholders</w:t>
            </w: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6520" w:type="dxa"/>
            <w:vAlign w:val="bottom"/>
            <w:gridSpan w:val="2"/>
          </w:tcPr>
          <w:p>
            <w:pPr>
              <w:ind w:left="300"/>
              <w:spacing w:after="0"/>
              <w:rPr>
                <w:sz w:val="20"/>
                <w:szCs w:val="20"/>
                <w:color w:val="auto"/>
              </w:rPr>
            </w:pPr>
            <w:r>
              <w:rPr>
                <w:rFonts w:ascii="Arial" w:cs="Arial" w:eastAsia="Arial" w:hAnsi="Arial"/>
                <w:sz w:val="12"/>
                <w:szCs w:val="12"/>
                <w:color w:val="auto"/>
              </w:rPr>
              <w:t>Net income attributable to NRG Yield, Inc.</w:t>
            </w: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27</w:t>
            </w:r>
          </w:p>
        </w:tc>
        <w:tc>
          <w:tcPr>
            <w:tcW w:w="360" w:type="dxa"/>
            <w:vAlign w:val="bottom"/>
            <w:gridSpan w:val="3"/>
          </w:tcPr>
          <w:p>
            <w:pPr>
              <w:jc w:val="right"/>
              <w:ind w:right="2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63"/>
              <w:spacing w:after="0"/>
              <w:rPr>
                <w:sz w:val="20"/>
                <w:szCs w:val="20"/>
                <w:color w:val="auto"/>
              </w:rPr>
            </w:pPr>
            <w:r>
              <w:rPr>
                <w:rFonts w:ascii="Arial" w:cs="Arial" w:eastAsia="Arial" w:hAnsi="Arial"/>
                <w:sz w:val="12"/>
                <w:szCs w:val="12"/>
                <w:color w:val="auto"/>
              </w:rPr>
              <w:t>52</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10</w:t>
            </w:r>
          </w:p>
        </w:tc>
        <w:tc>
          <w:tcPr>
            <w:tcW w:w="32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62"/>
              <w:spacing w:after="0"/>
              <w:rPr>
                <w:sz w:val="20"/>
                <w:szCs w:val="20"/>
                <w:color w:val="auto"/>
              </w:rPr>
            </w:pPr>
            <w:r>
              <w:rPr>
                <w:rFonts w:ascii="Arial" w:cs="Arial" w:eastAsia="Arial" w:hAnsi="Arial"/>
                <w:sz w:val="12"/>
                <w:szCs w:val="12"/>
                <w:color w:val="auto"/>
              </w:rPr>
              <w:t>18</w:t>
            </w:r>
          </w:p>
        </w:tc>
      </w:tr>
      <w:tr>
        <w:trPr>
          <w:trHeight w:val="180"/>
        </w:trPr>
        <w:tc>
          <w:tcPr>
            <w:tcW w:w="20" w:type="dxa"/>
            <w:vAlign w:val="bottom"/>
            <w:shd w:val="clear" w:color="auto" w:fill="CCEEFF"/>
          </w:tcPr>
          <w:p>
            <w:pPr>
              <w:spacing w:after="0"/>
              <w:rPr>
                <w:sz w:val="15"/>
                <w:szCs w:val="15"/>
                <w:color w:val="auto"/>
              </w:rPr>
            </w:pPr>
          </w:p>
        </w:tc>
        <w:tc>
          <w:tcPr>
            <w:tcW w:w="652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Weighted average number of common shares outstanding — basic</w:t>
            </w:r>
          </w:p>
        </w:tc>
        <w:tc>
          <w:tcPr>
            <w:tcW w:w="1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w:t>
            </w: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67</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w:t>
            </w: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63</w:t>
            </w:r>
          </w:p>
        </w:tc>
      </w:tr>
      <w:tr>
        <w:trPr>
          <w:trHeight w:val="185"/>
        </w:trPr>
        <w:tc>
          <w:tcPr>
            <w:tcW w:w="20" w:type="dxa"/>
            <w:vAlign w:val="bottom"/>
          </w:tcPr>
          <w:p>
            <w:pPr>
              <w:spacing w:after="0"/>
              <w:rPr>
                <w:sz w:val="16"/>
                <w:szCs w:val="16"/>
                <w:color w:val="auto"/>
              </w:rPr>
            </w:pPr>
          </w:p>
        </w:tc>
        <w:tc>
          <w:tcPr>
            <w:tcW w:w="6520" w:type="dxa"/>
            <w:vAlign w:val="bottom"/>
            <w:gridSpan w:val="2"/>
          </w:tcPr>
          <w:p>
            <w:pPr>
              <w:ind w:left="300"/>
              <w:spacing w:after="0"/>
              <w:rPr>
                <w:sz w:val="20"/>
                <w:szCs w:val="20"/>
                <w:color w:val="auto"/>
              </w:rPr>
            </w:pPr>
            <w:r>
              <w:rPr>
                <w:rFonts w:ascii="Arial" w:cs="Arial" w:eastAsia="Arial" w:hAnsi="Arial"/>
                <w:sz w:val="12"/>
                <w:szCs w:val="12"/>
                <w:b w:val="1"/>
                <w:bCs w:val="1"/>
                <w:color w:val="auto"/>
              </w:rPr>
              <w:t>Earnings per weighted average common share — basic</w:t>
            </w: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0.77</w:t>
            </w:r>
          </w:p>
        </w:tc>
        <w:tc>
          <w:tcPr>
            <w:tcW w:w="360" w:type="dxa"/>
            <w:vAlign w:val="bottom"/>
            <w:gridSpan w:val="3"/>
          </w:tcPr>
          <w:p>
            <w:pPr>
              <w:jc w:val="right"/>
              <w:ind w:right="2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63"/>
              <w:spacing w:after="0"/>
              <w:rPr>
                <w:sz w:val="20"/>
                <w:szCs w:val="20"/>
                <w:color w:val="auto"/>
              </w:rPr>
            </w:pPr>
            <w:r>
              <w:rPr>
                <w:rFonts w:ascii="Arial" w:cs="Arial" w:eastAsia="Arial" w:hAnsi="Arial"/>
                <w:sz w:val="12"/>
                <w:szCs w:val="12"/>
                <w:color w:val="auto"/>
              </w:rPr>
              <w:t>0.77</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0.29</w:t>
            </w:r>
          </w:p>
        </w:tc>
        <w:tc>
          <w:tcPr>
            <w:tcW w:w="32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62"/>
              <w:spacing w:after="0"/>
              <w:rPr>
                <w:sz w:val="20"/>
                <w:szCs w:val="20"/>
                <w:color w:val="auto"/>
              </w:rPr>
            </w:pPr>
            <w:r>
              <w:rPr>
                <w:rFonts w:ascii="Arial" w:cs="Arial" w:eastAsia="Arial" w:hAnsi="Arial"/>
                <w:sz w:val="12"/>
                <w:szCs w:val="12"/>
                <w:color w:val="auto"/>
              </w:rPr>
              <w:t>0.29</w:t>
            </w:r>
          </w:p>
        </w:tc>
      </w:tr>
      <w:tr>
        <w:trPr>
          <w:trHeight w:val="180"/>
        </w:trPr>
        <w:tc>
          <w:tcPr>
            <w:tcW w:w="65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2"/>
                <w:szCs w:val="12"/>
                <w:b w:val="1"/>
                <w:bCs w:val="1"/>
                <w:color w:val="auto"/>
              </w:rPr>
              <w:t>Diluted earnings per share attributable to NRG Yield, Inc. common stockholders</w:t>
            </w:r>
          </w:p>
        </w:tc>
        <w:tc>
          <w:tcPr>
            <w:tcW w:w="1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6520" w:type="dxa"/>
            <w:vAlign w:val="bottom"/>
            <w:gridSpan w:val="2"/>
          </w:tcPr>
          <w:p>
            <w:pPr>
              <w:ind w:left="300"/>
              <w:spacing w:after="0"/>
              <w:rPr>
                <w:sz w:val="20"/>
                <w:szCs w:val="20"/>
                <w:color w:val="auto"/>
              </w:rPr>
            </w:pPr>
            <w:r>
              <w:rPr>
                <w:rFonts w:ascii="Arial" w:cs="Arial" w:eastAsia="Arial" w:hAnsi="Arial"/>
                <w:sz w:val="12"/>
                <w:szCs w:val="12"/>
                <w:color w:val="auto"/>
              </w:rPr>
              <w:t>Net income attributable to NRG Yield, Inc.</w:t>
            </w: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30</w:t>
            </w:r>
          </w:p>
        </w:tc>
        <w:tc>
          <w:tcPr>
            <w:tcW w:w="360" w:type="dxa"/>
            <w:vAlign w:val="bottom"/>
            <w:gridSpan w:val="3"/>
          </w:tcPr>
          <w:p>
            <w:pPr>
              <w:jc w:val="right"/>
              <w:ind w:right="2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63"/>
              <w:spacing w:after="0"/>
              <w:rPr>
                <w:sz w:val="20"/>
                <w:szCs w:val="20"/>
                <w:color w:val="auto"/>
              </w:rPr>
            </w:pPr>
            <w:r>
              <w:rPr>
                <w:rFonts w:ascii="Arial" w:cs="Arial" w:eastAsia="Arial" w:hAnsi="Arial"/>
                <w:sz w:val="12"/>
                <w:szCs w:val="12"/>
                <w:color w:val="auto"/>
              </w:rPr>
              <w:t>55</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13</w:t>
            </w:r>
          </w:p>
        </w:tc>
        <w:tc>
          <w:tcPr>
            <w:tcW w:w="32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62"/>
              <w:spacing w:after="0"/>
              <w:rPr>
                <w:sz w:val="20"/>
                <w:szCs w:val="20"/>
                <w:color w:val="auto"/>
              </w:rPr>
            </w:pPr>
            <w:r>
              <w:rPr>
                <w:rFonts w:ascii="Arial" w:cs="Arial" w:eastAsia="Arial" w:hAnsi="Arial"/>
                <w:sz w:val="12"/>
                <w:szCs w:val="12"/>
                <w:color w:val="auto"/>
              </w:rPr>
              <w:t>21</w:t>
            </w:r>
          </w:p>
        </w:tc>
      </w:tr>
      <w:tr>
        <w:trPr>
          <w:trHeight w:val="180"/>
        </w:trPr>
        <w:tc>
          <w:tcPr>
            <w:tcW w:w="20" w:type="dxa"/>
            <w:vAlign w:val="bottom"/>
            <w:shd w:val="clear" w:color="auto" w:fill="CCEEFF"/>
          </w:tcPr>
          <w:p>
            <w:pPr>
              <w:spacing w:after="0"/>
              <w:rPr>
                <w:sz w:val="15"/>
                <w:szCs w:val="15"/>
                <w:color w:val="auto"/>
              </w:rPr>
            </w:pPr>
          </w:p>
        </w:tc>
        <w:tc>
          <w:tcPr>
            <w:tcW w:w="652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 xml:space="preserve">Weighted average number of common shares outstanding </w:t>
            </w:r>
            <w:r>
              <w:rPr>
                <w:rFonts w:ascii="Arial" w:cs="Arial" w:eastAsia="Arial" w:hAnsi="Arial"/>
                <w:sz w:val="12"/>
                <w:szCs w:val="12"/>
                <w:b w:val="1"/>
                <w:bCs w:val="1"/>
                <w:color w:val="auto"/>
              </w:rPr>
              <w:t>—</w:t>
            </w:r>
            <w:r>
              <w:rPr>
                <w:rFonts w:ascii="Arial" w:cs="Arial" w:eastAsia="Arial" w:hAnsi="Arial"/>
                <w:sz w:val="12"/>
                <w:szCs w:val="12"/>
                <w:color w:val="auto"/>
              </w:rPr>
              <w:t xml:space="preserve"> diluted</w:t>
            </w:r>
          </w:p>
        </w:tc>
        <w:tc>
          <w:tcPr>
            <w:tcW w:w="1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w:t>
            </w: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78</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w:t>
            </w: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74</w:t>
            </w:r>
          </w:p>
        </w:tc>
      </w:tr>
      <w:tr>
        <w:trPr>
          <w:trHeight w:val="196"/>
        </w:trPr>
        <w:tc>
          <w:tcPr>
            <w:tcW w:w="20" w:type="dxa"/>
            <w:vAlign w:val="bottom"/>
          </w:tcPr>
          <w:p>
            <w:pPr>
              <w:spacing w:after="0"/>
              <w:rPr>
                <w:sz w:val="17"/>
                <w:szCs w:val="17"/>
                <w:color w:val="auto"/>
              </w:rPr>
            </w:pPr>
          </w:p>
        </w:tc>
        <w:tc>
          <w:tcPr>
            <w:tcW w:w="6520" w:type="dxa"/>
            <w:vAlign w:val="bottom"/>
            <w:gridSpan w:val="2"/>
          </w:tcPr>
          <w:p>
            <w:pPr>
              <w:ind w:left="300"/>
              <w:spacing w:after="0"/>
              <w:rPr>
                <w:sz w:val="20"/>
                <w:szCs w:val="20"/>
                <w:color w:val="auto"/>
              </w:rPr>
            </w:pPr>
            <w:r>
              <w:rPr>
                <w:rFonts w:ascii="Arial" w:cs="Arial" w:eastAsia="Arial" w:hAnsi="Arial"/>
                <w:sz w:val="12"/>
                <w:szCs w:val="12"/>
                <w:b w:val="1"/>
                <w:bCs w:val="1"/>
                <w:color w:val="auto"/>
              </w:rPr>
              <w:t>Earnings per weighted average common share — diluted</w:t>
            </w:r>
          </w:p>
        </w:tc>
        <w:tc>
          <w:tcPr>
            <w:tcW w:w="1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0.61</w:t>
            </w:r>
          </w:p>
        </w:tc>
        <w:tc>
          <w:tcPr>
            <w:tcW w:w="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0.70</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0.26</w:t>
            </w:r>
          </w:p>
        </w:tc>
        <w:tc>
          <w:tcPr>
            <w:tcW w:w="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0.28</w:t>
            </w:r>
          </w:p>
        </w:tc>
      </w:tr>
      <w:tr>
        <w:trPr>
          <w:trHeight w:val="291"/>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right"/>
              <w:ind w:right="542"/>
              <w:spacing w:after="0"/>
              <w:rPr>
                <w:sz w:val="20"/>
                <w:szCs w:val="20"/>
                <w:color w:val="auto"/>
              </w:rPr>
            </w:pPr>
            <w:r>
              <w:rPr>
                <w:rFonts w:ascii="Arial" w:cs="Arial" w:eastAsia="Arial" w:hAnsi="Arial"/>
                <w:sz w:val="10"/>
                <w:szCs w:val="10"/>
                <w:b w:val="1"/>
                <w:bCs w:val="1"/>
                <w:color w:val="auto"/>
              </w:rPr>
              <w:t>Six months ended June 30,</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b w:val="1"/>
                <w:bCs w:val="1"/>
                <w:color w:val="auto"/>
                <w:w w:val="98"/>
              </w:rPr>
              <w:t>2018</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0"/>
                <w:szCs w:val="10"/>
                <w:b w:val="1"/>
                <w:bCs w:val="1"/>
                <w:color w:val="auto"/>
                <w:w w:val="98"/>
              </w:rPr>
              <w:t>2017</w:t>
            </w:r>
          </w:p>
        </w:tc>
        <w:tc>
          <w:tcPr>
            <w:tcW w:w="1000" w:type="dxa"/>
            <w:vAlign w:val="bottom"/>
            <w:tcBorders>
              <w:bottom w:val="single" w:sz="8" w:color="auto"/>
            </w:tcBorders>
          </w:tcPr>
          <w:p>
            <w:pPr>
              <w:spacing w:after="0"/>
              <w:rPr>
                <w:sz w:val="14"/>
                <w:szCs w:val="14"/>
                <w:color w:val="auto"/>
              </w:rPr>
            </w:pPr>
          </w:p>
        </w:tc>
      </w:tr>
      <w:tr>
        <w:trPr>
          <w:trHeight w:val="146"/>
        </w:trPr>
        <w:tc>
          <w:tcPr>
            <w:tcW w:w="6540" w:type="dxa"/>
            <w:vAlign w:val="bottom"/>
            <w:gridSpan w:val="3"/>
          </w:tcPr>
          <w:p>
            <w:pPr>
              <w:ind w:left="20"/>
              <w:spacing w:after="0"/>
              <w:rPr>
                <w:sz w:val="20"/>
                <w:szCs w:val="20"/>
                <w:color w:val="auto"/>
              </w:rPr>
            </w:pPr>
            <w:r>
              <w:rPr>
                <w:rFonts w:ascii="Arial" w:cs="Arial" w:eastAsia="Arial" w:hAnsi="Arial"/>
                <w:sz w:val="10"/>
                <w:szCs w:val="10"/>
                <w:b w:val="1"/>
                <w:bCs w:val="1"/>
                <w:color w:val="auto"/>
              </w:rPr>
              <w:t xml:space="preserve">(In millions, except per share data) </w:t>
            </w:r>
            <w:r>
              <w:rPr>
                <w:rFonts w:ascii="Arial" w:cs="Arial" w:eastAsia="Arial" w:hAnsi="Arial"/>
                <w:sz w:val="5"/>
                <w:szCs w:val="5"/>
                <w:b w:val="1"/>
                <w:bCs w:val="1"/>
                <w:color w:val="auto"/>
              </w:rPr>
              <w:t>(a)</w:t>
            </w:r>
          </w:p>
        </w:tc>
        <w:tc>
          <w:tcPr>
            <w:tcW w:w="160" w:type="dxa"/>
            <w:vAlign w:val="bottom"/>
          </w:tcPr>
          <w:p>
            <w:pPr>
              <w:spacing w:after="0"/>
              <w:rPr>
                <w:sz w:val="12"/>
                <w:szCs w:val="12"/>
                <w:color w:val="auto"/>
              </w:rPr>
            </w:pPr>
          </w:p>
        </w:tc>
        <w:tc>
          <w:tcPr>
            <w:tcW w:w="920" w:type="dxa"/>
            <w:vAlign w:val="bottom"/>
          </w:tcPr>
          <w:p>
            <w:pPr>
              <w:jc w:val="right"/>
              <w:ind w:right="82"/>
              <w:spacing w:after="0"/>
              <w:rPr>
                <w:sz w:val="20"/>
                <w:szCs w:val="20"/>
                <w:color w:val="auto"/>
              </w:rPr>
            </w:pPr>
            <w:r>
              <w:rPr>
                <w:rFonts w:ascii="Arial" w:cs="Arial" w:eastAsia="Arial" w:hAnsi="Arial"/>
                <w:sz w:val="10"/>
                <w:szCs w:val="10"/>
                <w:b w:val="1"/>
                <w:bCs w:val="1"/>
                <w:color w:val="auto"/>
                <w:w w:val="91"/>
              </w:rPr>
              <w:t>Common Class A</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ind w:left="60"/>
              <w:spacing w:after="0"/>
              <w:rPr>
                <w:sz w:val="20"/>
                <w:szCs w:val="20"/>
                <w:color w:val="auto"/>
              </w:rPr>
            </w:pPr>
            <w:r>
              <w:rPr>
                <w:rFonts w:ascii="Arial" w:cs="Arial" w:eastAsia="Arial" w:hAnsi="Arial"/>
                <w:sz w:val="10"/>
                <w:szCs w:val="10"/>
                <w:b w:val="1"/>
                <w:bCs w:val="1"/>
                <w:color w:val="auto"/>
              </w:rPr>
              <w:t>Common Class C</w:t>
            </w:r>
          </w:p>
        </w:tc>
        <w:tc>
          <w:tcPr>
            <w:tcW w:w="140" w:type="dxa"/>
            <w:vAlign w:val="bottom"/>
          </w:tcPr>
          <w:p>
            <w:pPr>
              <w:spacing w:after="0"/>
              <w:rPr>
                <w:sz w:val="12"/>
                <w:szCs w:val="12"/>
                <w:color w:val="auto"/>
              </w:rPr>
            </w:pPr>
          </w:p>
        </w:tc>
        <w:tc>
          <w:tcPr>
            <w:tcW w:w="920" w:type="dxa"/>
            <w:vAlign w:val="bottom"/>
          </w:tcPr>
          <w:p>
            <w:pPr>
              <w:jc w:val="right"/>
              <w:ind w:right="82"/>
              <w:spacing w:after="0"/>
              <w:rPr>
                <w:sz w:val="20"/>
                <w:szCs w:val="20"/>
                <w:color w:val="auto"/>
              </w:rPr>
            </w:pPr>
            <w:r>
              <w:rPr>
                <w:rFonts w:ascii="Arial" w:cs="Arial" w:eastAsia="Arial" w:hAnsi="Arial"/>
                <w:sz w:val="10"/>
                <w:szCs w:val="10"/>
                <w:b w:val="1"/>
                <w:bCs w:val="1"/>
                <w:color w:val="auto"/>
                <w:w w:val="91"/>
              </w:rPr>
              <w:t>Common Class A</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ind w:right="162"/>
              <w:spacing w:after="0"/>
              <w:rPr>
                <w:sz w:val="20"/>
                <w:szCs w:val="20"/>
                <w:color w:val="auto"/>
              </w:rPr>
            </w:pPr>
            <w:r>
              <w:rPr>
                <w:rFonts w:ascii="Arial" w:cs="Arial" w:eastAsia="Arial" w:hAnsi="Arial"/>
                <w:sz w:val="10"/>
                <w:szCs w:val="10"/>
                <w:b w:val="1"/>
                <w:bCs w:val="1"/>
                <w:color w:val="auto"/>
                <w:w w:val="91"/>
              </w:rPr>
              <w:t>Common Class C</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CCEEFF"/>
            </w:tcBorders>
          </w:tcPr>
          <w:p>
            <w:pPr>
              <w:spacing w:after="0" w:line="20" w:lineRule="exact"/>
              <w:rPr>
                <w:sz w:val="1"/>
                <w:szCs w:val="1"/>
                <w:color w:val="auto"/>
              </w:rPr>
            </w:pPr>
          </w:p>
        </w:tc>
        <w:tc>
          <w:tcPr>
            <w:tcW w:w="5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56"/>
        </w:trPr>
        <w:tc>
          <w:tcPr>
            <w:tcW w:w="6540" w:type="dxa"/>
            <w:vAlign w:val="bottom"/>
            <w:gridSpan w:val="3"/>
            <w:shd w:val="clear" w:color="auto" w:fill="CCEEFF"/>
          </w:tcPr>
          <w:p>
            <w:pPr>
              <w:ind w:left="20"/>
              <w:spacing w:after="0"/>
              <w:rPr>
                <w:sz w:val="20"/>
                <w:szCs w:val="20"/>
                <w:color w:val="auto"/>
              </w:rPr>
            </w:pPr>
            <w:r>
              <w:rPr>
                <w:rFonts w:ascii="Arial" w:cs="Arial" w:eastAsia="Arial" w:hAnsi="Arial"/>
                <w:sz w:val="12"/>
                <w:szCs w:val="12"/>
                <w:b w:val="1"/>
                <w:bCs w:val="1"/>
                <w:color w:val="auto"/>
              </w:rPr>
              <w:t>Basic earnings per share attributable to NRG Yield, Inc. common stockholders</w:t>
            </w: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6520" w:type="dxa"/>
            <w:vAlign w:val="bottom"/>
            <w:gridSpan w:val="2"/>
          </w:tcPr>
          <w:p>
            <w:pPr>
              <w:ind w:left="300"/>
              <w:spacing w:after="0"/>
              <w:rPr>
                <w:sz w:val="20"/>
                <w:szCs w:val="20"/>
                <w:color w:val="auto"/>
              </w:rPr>
            </w:pPr>
            <w:r>
              <w:rPr>
                <w:rFonts w:ascii="Arial" w:cs="Arial" w:eastAsia="Arial" w:hAnsi="Arial"/>
                <w:sz w:val="12"/>
                <w:szCs w:val="12"/>
                <w:color w:val="auto"/>
              </w:rPr>
              <w:t>Net income attributable to NRG Yield, Inc.</w:t>
            </w: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33</w:t>
            </w:r>
          </w:p>
        </w:tc>
        <w:tc>
          <w:tcPr>
            <w:tcW w:w="360" w:type="dxa"/>
            <w:vAlign w:val="bottom"/>
            <w:gridSpan w:val="3"/>
          </w:tcPr>
          <w:p>
            <w:pPr>
              <w:jc w:val="right"/>
              <w:ind w:right="2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63"/>
              <w:spacing w:after="0"/>
              <w:rPr>
                <w:sz w:val="20"/>
                <w:szCs w:val="20"/>
                <w:color w:val="auto"/>
              </w:rPr>
            </w:pPr>
            <w:r>
              <w:rPr>
                <w:rFonts w:ascii="Arial" w:cs="Arial" w:eastAsia="Arial" w:hAnsi="Arial"/>
                <w:sz w:val="12"/>
                <w:szCs w:val="12"/>
                <w:color w:val="auto"/>
              </w:rPr>
              <w:t>62</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9</w:t>
            </w:r>
          </w:p>
        </w:tc>
        <w:tc>
          <w:tcPr>
            <w:tcW w:w="32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62"/>
              <w:spacing w:after="0"/>
              <w:rPr>
                <w:sz w:val="20"/>
                <w:szCs w:val="20"/>
                <w:color w:val="auto"/>
              </w:rPr>
            </w:pPr>
            <w:r>
              <w:rPr>
                <w:rFonts w:ascii="Arial" w:cs="Arial" w:eastAsia="Arial" w:hAnsi="Arial"/>
                <w:sz w:val="12"/>
                <w:szCs w:val="12"/>
                <w:color w:val="auto"/>
              </w:rPr>
              <w:t>16</w:t>
            </w:r>
          </w:p>
        </w:tc>
      </w:tr>
      <w:tr>
        <w:trPr>
          <w:trHeight w:val="180"/>
        </w:trPr>
        <w:tc>
          <w:tcPr>
            <w:tcW w:w="20" w:type="dxa"/>
            <w:vAlign w:val="bottom"/>
            <w:shd w:val="clear" w:color="auto" w:fill="CCEEFF"/>
          </w:tcPr>
          <w:p>
            <w:pPr>
              <w:spacing w:after="0"/>
              <w:rPr>
                <w:sz w:val="15"/>
                <w:szCs w:val="15"/>
                <w:color w:val="auto"/>
              </w:rPr>
            </w:pPr>
          </w:p>
        </w:tc>
        <w:tc>
          <w:tcPr>
            <w:tcW w:w="652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 xml:space="preserve">Weighted average number of common shares outstanding </w:t>
            </w:r>
            <w:r>
              <w:rPr>
                <w:rFonts w:ascii="Arial" w:cs="Arial" w:eastAsia="Arial" w:hAnsi="Arial"/>
                <w:sz w:val="12"/>
                <w:szCs w:val="12"/>
                <w:b w:val="1"/>
                <w:bCs w:val="1"/>
                <w:color w:val="auto"/>
              </w:rPr>
              <w:t>—</w:t>
            </w:r>
            <w:r>
              <w:rPr>
                <w:rFonts w:ascii="Arial" w:cs="Arial" w:eastAsia="Arial" w:hAnsi="Arial"/>
                <w:sz w:val="12"/>
                <w:szCs w:val="12"/>
                <w:color w:val="auto"/>
              </w:rPr>
              <w:t xml:space="preserve"> basic</w:t>
            </w:r>
          </w:p>
        </w:tc>
        <w:tc>
          <w:tcPr>
            <w:tcW w:w="1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w:t>
            </w: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66</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w:t>
            </w: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63</w:t>
            </w:r>
          </w:p>
        </w:tc>
      </w:tr>
      <w:tr>
        <w:trPr>
          <w:trHeight w:val="185"/>
        </w:trPr>
        <w:tc>
          <w:tcPr>
            <w:tcW w:w="20" w:type="dxa"/>
            <w:vAlign w:val="bottom"/>
          </w:tcPr>
          <w:p>
            <w:pPr>
              <w:spacing w:after="0"/>
              <w:rPr>
                <w:sz w:val="16"/>
                <w:szCs w:val="16"/>
                <w:color w:val="auto"/>
              </w:rPr>
            </w:pPr>
          </w:p>
        </w:tc>
        <w:tc>
          <w:tcPr>
            <w:tcW w:w="6520" w:type="dxa"/>
            <w:vAlign w:val="bottom"/>
            <w:gridSpan w:val="2"/>
          </w:tcPr>
          <w:p>
            <w:pPr>
              <w:ind w:left="300"/>
              <w:spacing w:after="0"/>
              <w:rPr>
                <w:sz w:val="20"/>
                <w:szCs w:val="20"/>
                <w:color w:val="auto"/>
              </w:rPr>
            </w:pPr>
            <w:r>
              <w:rPr>
                <w:rFonts w:ascii="Arial" w:cs="Arial" w:eastAsia="Arial" w:hAnsi="Arial"/>
                <w:sz w:val="12"/>
                <w:szCs w:val="12"/>
                <w:b w:val="1"/>
                <w:bCs w:val="1"/>
                <w:color w:val="auto"/>
              </w:rPr>
              <w:t>Earnings per weighted average common share — basic</w:t>
            </w: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0.94</w:t>
            </w:r>
          </w:p>
        </w:tc>
        <w:tc>
          <w:tcPr>
            <w:tcW w:w="360" w:type="dxa"/>
            <w:vAlign w:val="bottom"/>
            <w:gridSpan w:val="3"/>
          </w:tcPr>
          <w:p>
            <w:pPr>
              <w:jc w:val="right"/>
              <w:ind w:right="2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63"/>
              <w:spacing w:after="0"/>
              <w:rPr>
                <w:sz w:val="20"/>
                <w:szCs w:val="20"/>
                <w:color w:val="auto"/>
              </w:rPr>
            </w:pPr>
            <w:r>
              <w:rPr>
                <w:rFonts w:ascii="Arial" w:cs="Arial" w:eastAsia="Arial" w:hAnsi="Arial"/>
                <w:sz w:val="12"/>
                <w:szCs w:val="12"/>
                <w:color w:val="auto"/>
              </w:rPr>
              <w:t>0.94</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0.26</w:t>
            </w:r>
          </w:p>
        </w:tc>
        <w:tc>
          <w:tcPr>
            <w:tcW w:w="32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62"/>
              <w:spacing w:after="0"/>
              <w:rPr>
                <w:sz w:val="20"/>
                <w:szCs w:val="20"/>
                <w:color w:val="auto"/>
              </w:rPr>
            </w:pPr>
            <w:r>
              <w:rPr>
                <w:rFonts w:ascii="Arial" w:cs="Arial" w:eastAsia="Arial" w:hAnsi="Arial"/>
                <w:sz w:val="12"/>
                <w:szCs w:val="12"/>
                <w:color w:val="auto"/>
              </w:rPr>
              <w:t>0.26</w:t>
            </w:r>
          </w:p>
        </w:tc>
      </w:tr>
      <w:tr>
        <w:trPr>
          <w:trHeight w:val="180"/>
        </w:trPr>
        <w:tc>
          <w:tcPr>
            <w:tcW w:w="65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2"/>
                <w:szCs w:val="12"/>
                <w:b w:val="1"/>
                <w:bCs w:val="1"/>
                <w:color w:val="auto"/>
              </w:rPr>
              <w:t>Diluted earnings per share attributable to NRG Yield, Inc. common stockholders</w:t>
            </w:r>
          </w:p>
        </w:tc>
        <w:tc>
          <w:tcPr>
            <w:tcW w:w="1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6520" w:type="dxa"/>
            <w:vAlign w:val="bottom"/>
            <w:gridSpan w:val="2"/>
          </w:tcPr>
          <w:p>
            <w:pPr>
              <w:ind w:left="300"/>
              <w:spacing w:after="0"/>
              <w:rPr>
                <w:sz w:val="20"/>
                <w:szCs w:val="20"/>
                <w:color w:val="auto"/>
              </w:rPr>
            </w:pPr>
            <w:r>
              <w:rPr>
                <w:rFonts w:ascii="Arial" w:cs="Arial" w:eastAsia="Arial" w:hAnsi="Arial"/>
                <w:sz w:val="12"/>
                <w:szCs w:val="12"/>
                <w:color w:val="auto"/>
              </w:rPr>
              <w:t>Net income attributable to NRG Yield, Inc.</w:t>
            </w: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40</w:t>
            </w:r>
          </w:p>
        </w:tc>
        <w:tc>
          <w:tcPr>
            <w:tcW w:w="360" w:type="dxa"/>
            <w:vAlign w:val="bottom"/>
            <w:gridSpan w:val="3"/>
          </w:tcPr>
          <w:p>
            <w:pPr>
              <w:jc w:val="right"/>
              <w:ind w:right="2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63"/>
              <w:spacing w:after="0"/>
              <w:rPr>
                <w:sz w:val="20"/>
                <w:szCs w:val="20"/>
                <w:color w:val="auto"/>
              </w:rPr>
            </w:pPr>
            <w:r>
              <w:rPr>
                <w:rFonts w:ascii="Arial" w:cs="Arial" w:eastAsia="Arial" w:hAnsi="Arial"/>
                <w:sz w:val="12"/>
                <w:szCs w:val="12"/>
                <w:color w:val="auto"/>
              </w:rPr>
              <w:t>68</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9</w:t>
            </w:r>
          </w:p>
        </w:tc>
        <w:tc>
          <w:tcPr>
            <w:tcW w:w="32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62"/>
              <w:spacing w:after="0"/>
              <w:rPr>
                <w:sz w:val="20"/>
                <w:szCs w:val="20"/>
                <w:color w:val="auto"/>
              </w:rPr>
            </w:pPr>
            <w:r>
              <w:rPr>
                <w:rFonts w:ascii="Arial" w:cs="Arial" w:eastAsia="Arial" w:hAnsi="Arial"/>
                <w:sz w:val="12"/>
                <w:szCs w:val="12"/>
                <w:color w:val="auto"/>
              </w:rPr>
              <w:t>16</w:t>
            </w:r>
          </w:p>
        </w:tc>
      </w:tr>
      <w:tr>
        <w:trPr>
          <w:trHeight w:val="180"/>
        </w:trPr>
        <w:tc>
          <w:tcPr>
            <w:tcW w:w="20" w:type="dxa"/>
            <w:vAlign w:val="bottom"/>
            <w:shd w:val="clear" w:color="auto" w:fill="CCEEFF"/>
          </w:tcPr>
          <w:p>
            <w:pPr>
              <w:spacing w:after="0"/>
              <w:rPr>
                <w:sz w:val="15"/>
                <w:szCs w:val="15"/>
                <w:color w:val="auto"/>
              </w:rPr>
            </w:pPr>
          </w:p>
        </w:tc>
        <w:tc>
          <w:tcPr>
            <w:tcW w:w="652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 xml:space="preserve">Weighted average number of common shares outstanding </w:t>
            </w:r>
            <w:r>
              <w:rPr>
                <w:rFonts w:ascii="Arial" w:cs="Arial" w:eastAsia="Arial" w:hAnsi="Arial"/>
                <w:sz w:val="12"/>
                <w:szCs w:val="12"/>
                <w:b w:val="1"/>
                <w:bCs w:val="1"/>
                <w:color w:val="auto"/>
              </w:rPr>
              <w:t>—</w:t>
            </w:r>
            <w:r>
              <w:rPr>
                <w:rFonts w:ascii="Arial" w:cs="Arial" w:eastAsia="Arial" w:hAnsi="Arial"/>
                <w:sz w:val="12"/>
                <w:szCs w:val="12"/>
                <w:color w:val="auto"/>
              </w:rPr>
              <w:t xml:space="preserve"> diluted</w:t>
            </w:r>
          </w:p>
        </w:tc>
        <w:tc>
          <w:tcPr>
            <w:tcW w:w="1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w:t>
            </w: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77</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w:t>
            </w: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63</w:t>
            </w:r>
          </w:p>
        </w:tc>
      </w:tr>
      <w:tr>
        <w:trPr>
          <w:trHeight w:val="185"/>
        </w:trPr>
        <w:tc>
          <w:tcPr>
            <w:tcW w:w="20" w:type="dxa"/>
            <w:vAlign w:val="bottom"/>
          </w:tcPr>
          <w:p>
            <w:pPr>
              <w:spacing w:after="0"/>
              <w:rPr>
                <w:sz w:val="16"/>
                <w:szCs w:val="16"/>
                <w:color w:val="auto"/>
              </w:rPr>
            </w:pPr>
          </w:p>
        </w:tc>
        <w:tc>
          <w:tcPr>
            <w:tcW w:w="6520" w:type="dxa"/>
            <w:vAlign w:val="bottom"/>
            <w:gridSpan w:val="2"/>
          </w:tcPr>
          <w:p>
            <w:pPr>
              <w:ind w:left="300"/>
              <w:spacing w:after="0"/>
              <w:rPr>
                <w:sz w:val="20"/>
                <w:szCs w:val="20"/>
                <w:color w:val="auto"/>
              </w:rPr>
            </w:pPr>
            <w:r>
              <w:rPr>
                <w:rFonts w:ascii="Arial" w:cs="Arial" w:eastAsia="Arial" w:hAnsi="Arial"/>
                <w:sz w:val="12"/>
                <w:szCs w:val="12"/>
                <w:b w:val="1"/>
                <w:bCs w:val="1"/>
                <w:color w:val="auto"/>
              </w:rPr>
              <w:t>Earnings per weighted average common share — diluted</w:t>
            </w:r>
          </w:p>
        </w:tc>
        <w:tc>
          <w:tcPr>
            <w:tcW w:w="1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0.80</w:t>
            </w: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0.89</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0.26</w:t>
            </w: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108585</wp:posOffset>
            </wp:positionV>
            <wp:extent cx="139573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95730" cy="5715"/>
                    </a:xfrm>
                    <a:prstGeom prst="rect">
                      <a:avLst/>
                    </a:prstGeom>
                    <a:noFill/>
                  </pic:spPr>
                </pic:pic>
              </a:graphicData>
            </a:graphic>
          </wp:anchor>
        </w:drawing>
      </w:r>
    </w:p>
    <w:p>
      <w:pPr>
        <w:spacing w:after="0" w:line="151" w:lineRule="exact"/>
        <w:rPr>
          <w:sz w:val="20"/>
          <w:szCs w:val="20"/>
          <w:color w:val="auto"/>
        </w:rPr>
      </w:pPr>
    </w:p>
    <w:p>
      <w:pPr>
        <w:ind w:left="108" w:hanging="108"/>
        <w:spacing w:after="0"/>
        <w:tabs>
          <w:tab w:leader="none" w:pos="108" w:val="left"/>
        </w:tabs>
        <w:numPr>
          <w:ilvl w:val="0"/>
          <w:numId w:val="18"/>
        </w:numPr>
        <w:rPr>
          <w:rFonts w:ascii="Arial" w:cs="Arial" w:eastAsia="Arial" w:hAnsi="Arial"/>
          <w:sz w:val="13"/>
          <w:szCs w:val="13"/>
          <w:color w:val="auto"/>
          <w:vertAlign w:val="superscript"/>
        </w:rPr>
      </w:pPr>
      <w:r>
        <w:rPr>
          <w:rFonts w:ascii="Arial" w:cs="Arial" w:eastAsia="Arial" w:hAnsi="Arial"/>
          <w:sz w:val="10"/>
          <w:szCs w:val="10"/>
          <w:color w:val="auto"/>
        </w:rPr>
        <w:t>Basic and diluted earnings per share might not recalculate due to presenting values in millions rather than whole dollars.</w:t>
      </w:r>
    </w:p>
    <w:p>
      <w:pPr>
        <w:spacing w:after="0" w:line="94" w:lineRule="exact"/>
        <w:rPr>
          <w:sz w:val="20"/>
          <w:szCs w:val="20"/>
          <w:color w:val="auto"/>
        </w:rPr>
      </w:pPr>
    </w:p>
    <w:p>
      <w:pPr>
        <w:ind w:left="288"/>
        <w:spacing w:after="0"/>
        <w:rPr>
          <w:sz w:val="20"/>
          <w:szCs w:val="20"/>
          <w:color w:val="auto"/>
        </w:rPr>
      </w:pPr>
      <w:r>
        <w:rPr>
          <w:rFonts w:ascii="Arial" w:cs="Arial" w:eastAsia="Arial" w:hAnsi="Arial"/>
          <w:sz w:val="12"/>
          <w:szCs w:val="12"/>
          <w:color w:val="auto"/>
        </w:rPr>
        <w:t>The following table summarizes the Company's outstanding equity instruments that are anti-dilutive and were not included in the computation of the Company's diluted earnings per share:</w:t>
      </w:r>
    </w:p>
    <w:p>
      <w:pPr>
        <w:spacing w:after="0" w:line="154"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562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ind w:left="40"/>
              <w:spacing w:after="0"/>
              <w:rPr>
                <w:sz w:val="20"/>
                <w:szCs w:val="20"/>
                <w:color w:val="auto"/>
              </w:rPr>
            </w:pPr>
            <w:r>
              <w:rPr>
                <w:rFonts w:ascii="Arial" w:cs="Arial" w:eastAsia="Arial" w:hAnsi="Arial"/>
                <w:sz w:val="10"/>
                <w:szCs w:val="10"/>
                <w:b w:val="1"/>
                <w:bCs w:val="1"/>
                <w:color w:val="auto"/>
              </w:rPr>
              <w:t>Three months ended June 30,</w:t>
            </w: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ind w:left="60"/>
              <w:spacing w:after="0"/>
              <w:rPr>
                <w:sz w:val="20"/>
                <w:szCs w:val="20"/>
                <w:color w:val="auto"/>
              </w:rPr>
            </w:pPr>
            <w:r>
              <w:rPr>
                <w:rFonts w:ascii="Arial" w:cs="Arial" w:eastAsia="Arial" w:hAnsi="Arial"/>
                <w:sz w:val="10"/>
                <w:szCs w:val="10"/>
                <w:b w:val="1"/>
                <w:bCs w:val="1"/>
                <w:color w:val="auto"/>
                <w:w w:val="86"/>
              </w:rPr>
              <w:t>Six months ended June 30,</w:t>
            </w:r>
          </w:p>
        </w:tc>
        <w:tc>
          <w:tcPr>
            <w:tcW w:w="820" w:type="dxa"/>
            <w:vAlign w:val="bottom"/>
            <w:tcBorders>
              <w:bottom w:val="single" w:sz="8" w:color="auto"/>
            </w:tcBorders>
          </w:tcPr>
          <w:p>
            <w:pPr>
              <w:spacing w:after="0"/>
              <w:rPr>
                <w:sz w:val="11"/>
                <w:szCs w:val="11"/>
                <w:color w:val="auto"/>
              </w:rPr>
            </w:pPr>
          </w:p>
        </w:tc>
      </w:tr>
      <w:tr>
        <w:trPr>
          <w:trHeight w:val="169"/>
        </w:trPr>
        <w:tc>
          <w:tcPr>
            <w:tcW w:w="6440" w:type="dxa"/>
            <w:vAlign w:val="bottom"/>
            <w:gridSpan w:val="2"/>
          </w:tcPr>
          <w:p>
            <w:pPr>
              <w:jc w:val="right"/>
              <w:ind w:right="20"/>
              <w:spacing w:after="0"/>
              <w:rPr>
                <w:sz w:val="20"/>
                <w:szCs w:val="20"/>
                <w:color w:val="auto"/>
              </w:rPr>
            </w:pPr>
            <w:r>
              <w:rPr>
                <w:rFonts w:ascii="Arial" w:cs="Arial" w:eastAsia="Arial" w:hAnsi="Arial"/>
                <w:sz w:val="10"/>
                <w:szCs w:val="10"/>
                <w:b w:val="1"/>
                <w:bCs w:val="1"/>
                <w:color w:val="auto"/>
              </w:rPr>
              <w:t>2018</w:t>
            </w:r>
          </w:p>
        </w:tc>
        <w:tc>
          <w:tcPr>
            <w:tcW w:w="1580" w:type="dxa"/>
            <w:vAlign w:val="bottom"/>
          </w:tcPr>
          <w:p>
            <w:pPr>
              <w:jc w:val="right"/>
              <w:ind w:right="46"/>
              <w:spacing w:after="0"/>
              <w:rPr>
                <w:sz w:val="20"/>
                <w:szCs w:val="20"/>
                <w:color w:val="auto"/>
              </w:rPr>
            </w:pPr>
            <w:r>
              <w:rPr>
                <w:rFonts w:ascii="Arial" w:cs="Arial" w:eastAsia="Arial" w:hAnsi="Arial"/>
                <w:sz w:val="10"/>
                <w:szCs w:val="10"/>
                <w:b w:val="1"/>
                <w:bCs w:val="1"/>
                <w:color w:val="auto"/>
              </w:rPr>
              <w:t>2017</w:t>
            </w:r>
          </w:p>
        </w:tc>
        <w:tc>
          <w:tcPr>
            <w:tcW w:w="1440" w:type="dxa"/>
            <w:vAlign w:val="bottom"/>
            <w:gridSpan w:val="3"/>
          </w:tcPr>
          <w:p>
            <w:pPr>
              <w:jc w:val="right"/>
              <w:ind w:right="40"/>
              <w:spacing w:after="0"/>
              <w:rPr>
                <w:sz w:val="20"/>
                <w:szCs w:val="20"/>
                <w:color w:val="auto"/>
              </w:rPr>
            </w:pPr>
            <w:r>
              <w:rPr>
                <w:rFonts w:ascii="Arial" w:cs="Arial" w:eastAsia="Arial" w:hAnsi="Arial"/>
                <w:sz w:val="10"/>
                <w:szCs w:val="10"/>
                <w:b w:val="1"/>
                <w:bCs w:val="1"/>
                <w:color w:val="auto"/>
              </w:rPr>
              <w:t>2018</w:t>
            </w:r>
          </w:p>
        </w:tc>
        <w:tc>
          <w:tcPr>
            <w:tcW w:w="1200" w:type="dxa"/>
            <w:vAlign w:val="bottom"/>
          </w:tcPr>
          <w:p>
            <w:pPr>
              <w:spacing w:after="0"/>
              <w:rPr>
                <w:sz w:val="14"/>
                <w:szCs w:val="14"/>
                <w:color w:val="auto"/>
              </w:rPr>
            </w:pPr>
          </w:p>
        </w:tc>
        <w:tc>
          <w:tcPr>
            <w:tcW w:w="820" w:type="dxa"/>
            <w:vAlign w:val="bottom"/>
          </w:tcPr>
          <w:p>
            <w:pPr>
              <w:jc w:val="right"/>
              <w:ind w:right="544"/>
              <w:spacing w:after="0"/>
              <w:rPr>
                <w:sz w:val="20"/>
                <w:szCs w:val="20"/>
                <w:color w:val="auto"/>
              </w:rPr>
            </w:pPr>
            <w:r>
              <w:rPr>
                <w:rFonts w:ascii="Arial" w:cs="Arial" w:eastAsia="Arial" w:hAnsi="Arial"/>
                <w:sz w:val="10"/>
                <w:szCs w:val="10"/>
                <w:b w:val="1"/>
                <w:bCs w:val="1"/>
                <w:color w:val="auto"/>
                <w:w w:val="89"/>
              </w:rPr>
              <w:t>2017</w:t>
            </w:r>
          </w:p>
        </w:tc>
      </w:tr>
      <w:tr>
        <w:trPr>
          <w:trHeight w:val="160"/>
        </w:trPr>
        <w:tc>
          <w:tcPr>
            <w:tcW w:w="562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3"/>
          </w:tcPr>
          <w:p>
            <w:pPr>
              <w:ind w:left="100"/>
              <w:spacing w:after="0"/>
              <w:rPr>
                <w:sz w:val="20"/>
                <w:szCs w:val="20"/>
                <w:color w:val="auto"/>
              </w:rPr>
            </w:pPr>
            <w:r>
              <w:rPr>
                <w:rFonts w:ascii="Arial" w:cs="Arial" w:eastAsia="Arial" w:hAnsi="Arial"/>
                <w:sz w:val="10"/>
                <w:szCs w:val="10"/>
                <w:b w:val="1"/>
                <w:bCs w:val="1"/>
                <w:color w:val="auto"/>
              </w:rPr>
              <w:t>(In millions of shares)</w:t>
            </w:r>
          </w:p>
        </w:tc>
        <w:tc>
          <w:tcPr>
            <w:tcW w:w="1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r>
      <w:tr>
        <w:trPr>
          <w:trHeight w:val="184"/>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2019 Convertible Notes - Common Class A</w:t>
            </w:r>
          </w:p>
        </w:tc>
        <w:tc>
          <w:tcPr>
            <w:tcW w:w="1580" w:type="dxa"/>
            <w:vAlign w:val="bottom"/>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1440" w:type="dxa"/>
            <w:vAlign w:val="bottom"/>
            <w:gridSpan w:val="3"/>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15</w:t>
            </w:r>
          </w:p>
        </w:tc>
      </w:tr>
      <w:tr>
        <w:trPr>
          <w:trHeight w:val="162"/>
        </w:trPr>
        <w:tc>
          <w:tcPr>
            <w:tcW w:w="6440" w:type="dxa"/>
            <w:vAlign w:val="bottom"/>
            <w:gridSpan w:val="2"/>
          </w:tcPr>
          <w:p>
            <w:pPr>
              <w:ind w:left="20"/>
              <w:spacing w:after="0"/>
              <w:rPr>
                <w:sz w:val="20"/>
                <w:szCs w:val="20"/>
                <w:color w:val="auto"/>
              </w:rPr>
            </w:pPr>
            <w:r>
              <w:rPr>
                <w:rFonts w:ascii="Arial" w:cs="Arial" w:eastAsia="Arial" w:hAnsi="Arial"/>
                <w:sz w:val="12"/>
                <w:szCs w:val="12"/>
                <w:color w:val="auto"/>
              </w:rPr>
              <w:t>2020 Convertible Notes - Common Class C</w:t>
            </w:r>
          </w:p>
        </w:tc>
        <w:tc>
          <w:tcPr>
            <w:tcW w:w="1580" w:type="dxa"/>
            <w:vAlign w:val="bottom"/>
          </w:tcPr>
          <w:p>
            <w:pPr>
              <w:ind w:left="340"/>
              <w:spacing w:after="0"/>
              <w:rPr>
                <w:sz w:val="20"/>
                <w:szCs w:val="20"/>
                <w:color w:val="auto"/>
              </w:rPr>
            </w:pPr>
            <w:r>
              <w:rPr>
                <w:rFonts w:ascii="Arial" w:cs="Arial" w:eastAsia="Arial" w:hAnsi="Arial"/>
                <w:sz w:val="12"/>
                <w:szCs w:val="12"/>
                <w:color w:val="auto"/>
              </w:rPr>
              <w:t>—</w:t>
            </w:r>
          </w:p>
        </w:tc>
        <w:tc>
          <w:tcPr>
            <w:tcW w:w="1440" w:type="dxa"/>
            <w:vAlign w:val="bottom"/>
            <w:gridSpan w:val="3"/>
          </w:tcPr>
          <w:p>
            <w:pPr>
              <w:ind w:left="260"/>
              <w:spacing w:after="0"/>
              <w:rPr>
                <w:sz w:val="20"/>
                <w:szCs w:val="20"/>
                <w:color w:val="auto"/>
              </w:rPr>
            </w:pPr>
            <w:r>
              <w:rPr>
                <w:rFonts w:ascii="Arial" w:cs="Arial" w:eastAsia="Arial" w:hAnsi="Arial"/>
                <w:sz w:val="12"/>
                <w:szCs w:val="12"/>
                <w:color w:val="auto"/>
              </w:rPr>
              <w:t>—</w:t>
            </w:r>
          </w:p>
        </w:tc>
        <w:tc>
          <w:tcPr>
            <w:tcW w:w="1200" w:type="dxa"/>
            <w:vAlign w:val="bottom"/>
          </w:tcPr>
          <w:p>
            <w:pPr>
              <w:ind w:left="320"/>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64"/>
              <w:spacing w:after="0"/>
              <w:rPr>
                <w:sz w:val="20"/>
                <w:szCs w:val="20"/>
                <w:color w:val="auto"/>
              </w:rPr>
            </w:pPr>
            <w:r>
              <w:rPr>
                <w:rFonts w:ascii="Arial" w:cs="Arial" w:eastAsia="Arial" w:hAnsi="Arial"/>
                <w:sz w:val="12"/>
                <w:szCs w:val="12"/>
                <w:color w:val="auto"/>
              </w:rPr>
              <w:t>10</w:t>
            </w:r>
          </w:p>
        </w:tc>
      </w:tr>
      <w:tr>
        <w:trPr>
          <w:trHeight w:val="468"/>
        </w:trPr>
        <w:tc>
          <w:tcPr>
            <w:tcW w:w="6440" w:type="dxa"/>
            <w:vAlign w:val="bottom"/>
            <w:gridSpan w:val="2"/>
          </w:tcPr>
          <w:p>
            <w:pPr>
              <w:jc w:val="right"/>
              <w:ind w:right="640"/>
              <w:spacing w:after="0"/>
              <w:rPr>
                <w:sz w:val="20"/>
                <w:szCs w:val="20"/>
                <w:color w:val="auto"/>
              </w:rPr>
            </w:pPr>
            <w:r>
              <w:rPr>
                <w:rFonts w:ascii="Arial" w:cs="Arial" w:eastAsia="Arial" w:hAnsi="Arial"/>
                <w:sz w:val="12"/>
                <w:szCs w:val="12"/>
                <w:color w:val="auto"/>
              </w:rPr>
              <w:t>30</w:t>
            </w:r>
          </w:p>
        </w:tc>
        <w:tc>
          <w:tcPr>
            <w:tcW w:w="1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88"/>
          </w:cols>
          <w:pgMar w:left="212" w:top="505" w:right="199" w:bottom="1440" w:gutter="0" w:footer="0" w:header="0"/>
        </w:sectPr>
      </w:pPr>
    </w:p>
    <w:bookmarkStart w:id="30" w:name="page31"/>
    <w:bookmarkEnd w:id="30"/>
    <w:p>
      <w:pPr>
        <w:spacing w:after="0"/>
        <w:rPr>
          <w:sz w:val="20"/>
          <w:szCs w:val="20"/>
          <w:color w:val="auto"/>
        </w:rPr>
      </w:pPr>
      <w:r>
        <w:rPr>
          <w:rFonts w:ascii="Arial" w:cs="Arial" w:eastAsia="Arial" w:hAnsi="Arial"/>
          <w:sz w:val="12"/>
          <w:szCs w:val="12"/>
          <w:b w:val="1"/>
          <w:bCs w:val="1"/>
          <w:color w:val="auto"/>
        </w:rPr>
        <w:t xml:space="preserve">Note 9 — </w:t>
      </w:r>
      <w:r>
        <w:rPr>
          <w:rFonts w:ascii="Arial" w:cs="Arial" w:eastAsia="Arial" w:hAnsi="Arial"/>
          <w:sz w:val="12"/>
          <w:szCs w:val="12"/>
          <w:b w:val="1"/>
          <w:bCs w:val="1"/>
          <w:i w:val="1"/>
          <w:iCs w:val="1"/>
          <w:color w:val="auto"/>
        </w:rPr>
        <w:t>Changes in Capital Structure</w:t>
      </w:r>
    </w:p>
    <w:p>
      <w:pPr>
        <w:spacing w:after="0" w:line="118"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231F20"/>
        </w:rPr>
        <w:t>At-the-Market Equity Offering Program, or the ATM Program</w:t>
      </w:r>
    </w:p>
    <w:p>
      <w:pPr>
        <w:spacing w:after="0" w:line="114" w:lineRule="exact"/>
        <w:rPr>
          <w:sz w:val="20"/>
          <w:szCs w:val="20"/>
          <w:color w:val="auto"/>
        </w:rPr>
      </w:pPr>
    </w:p>
    <w:p>
      <w:pPr>
        <w:jc w:val="both"/>
        <w:ind w:firstLine="270"/>
        <w:spacing w:after="0" w:line="298" w:lineRule="auto"/>
        <w:rPr>
          <w:sz w:val="20"/>
          <w:szCs w:val="20"/>
          <w:color w:val="auto"/>
        </w:rPr>
      </w:pPr>
      <w:r>
        <w:rPr>
          <w:rFonts w:ascii="Arial" w:cs="Arial" w:eastAsia="Arial" w:hAnsi="Arial"/>
          <w:sz w:val="11"/>
          <w:szCs w:val="11"/>
          <w:color w:val="auto"/>
        </w:rPr>
        <w:t>NRG Yield, Inc. is party to an equity distribution agreement with Barclays Capital Inc., Credit Suisse Securities (USA) LLC, J.P. Morgan Securities LLC and RBC Capital Markets, LLC, as sales agents. Pursuant to the terms of the equity distribution agreement, NRG Yield, Inc. may offer and sell shares of its Class C common stock par value $0.01 per share, from time to time through the sales agents up to an aggregate sales price of $150 million through an at-the-market equity offering program, or the ATM Program. NRG Yield, Inc. may also sell shares of its Class C common stock to any of the sales agents, as principals for its own account, at a price agreed upon at the time of sale.</w:t>
      </w:r>
    </w:p>
    <w:p>
      <w:pPr>
        <w:spacing w:after="0" w:line="69"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The Company sold a total of 4,392,583 shares of Class C common stock for gross proceeds of $77 million during the period ended June 30, 2018, $1 million of which was received in July of 2018. The Company incurred commission fees of $762 thousand during the period ended June 30, 2018.</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2"/>
          <w:szCs w:val="12"/>
          <w:color w:val="auto"/>
        </w:rPr>
        <w:t>As of July 3, 2018, approximately $38 million of Class C common stock remains available for issuance under the ATM Program.</w:t>
      </w:r>
    </w:p>
    <w:p>
      <w:pPr>
        <w:spacing w:after="0" w:line="114"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As a result of the Company's sale of shares of Class C common stock under the ATM Program, the public shareholders of Class A and Class C common stock increased their economic and voting interests in NRG Yield, Inc. to 54.8%, and 45.0%, respectively, as of June 30, 2018.</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Dividends to Class A and Class C common stockholders</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following table lists the dividends paid on the Company's Class A common stock and Class C common stock during the six months ended June 30, 2018:</w:t>
      </w:r>
    </w:p>
    <w:p>
      <w:pPr>
        <w:spacing w:after="0" w:line="262" w:lineRule="exact"/>
        <w:rPr>
          <w:sz w:val="20"/>
          <w:szCs w:val="20"/>
          <w:color w:val="auto"/>
        </w:rPr>
      </w:pPr>
    </w:p>
    <w:tbl>
      <w:tblPr>
        <w:tblLayout w:type="fixed"/>
        <w:tblInd w:w="1260" w:type="dxa"/>
        <w:tblCellMar>
          <w:top w:w="0" w:type="dxa"/>
          <w:left w:w="0" w:type="dxa"/>
          <w:bottom w:w="0" w:type="dxa"/>
          <w:right w:w="0" w:type="dxa"/>
        </w:tblCellMar>
      </w:tblPr>
      <w:tr>
        <w:trPr>
          <w:trHeight w:val="128"/>
        </w:trPr>
        <w:tc>
          <w:tcPr>
            <w:tcW w:w="6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ind w:left="40"/>
              <w:spacing w:after="0"/>
              <w:rPr>
                <w:sz w:val="20"/>
                <w:szCs w:val="20"/>
                <w:color w:val="auto"/>
              </w:rPr>
            </w:pPr>
            <w:r>
              <w:rPr>
                <w:rFonts w:ascii="Arial" w:cs="Arial" w:eastAsia="Arial" w:hAnsi="Arial"/>
                <w:sz w:val="10"/>
                <w:szCs w:val="10"/>
                <w:b w:val="1"/>
                <w:bCs w:val="1"/>
                <w:color w:val="auto"/>
              </w:rPr>
              <w:t>Second Quarter 2018</w:t>
            </w:r>
          </w:p>
        </w:tc>
        <w:tc>
          <w:tcPr>
            <w:tcW w:w="120" w:type="dxa"/>
            <w:vAlign w:val="bottom"/>
          </w:tcPr>
          <w:p>
            <w:pPr>
              <w:spacing w:after="0"/>
              <w:rPr>
                <w:sz w:val="11"/>
                <w:szCs w:val="11"/>
                <w:color w:val="auto"/>
              </w:rPr>
            </w:pPr>
          </w:p>
        </w:tc>
        <w:tc>
          <w:tcPr>
            <w:tcW w:w="1020" w:type="dxa"/>
            <w:vAlign w:val="bottom"/>
          </w:tcPr>
          <w:p>
            <w:pPr>
              <w:jc w:val="right"/>
              <w:ind w:right="144"/>
              <w:spacing w:after="0"/>
              <w:rPr>
                <w:sz w:val="20"/>
                <w:szCs w:val="20"/>
                <w:color w:val="auto"/>
              </w:rPr>
            </w:pPr>
            <w:r>
              <w:rPr>
                <w:rFonts w:ascii="Arial" w:cs="Arial" w:eastAsia="Arial" w:hAnsi="Arial"/>
                <w:sz w:val="10"/>
                <w:szCs w:val="10"/>
                <w:b w:val="1"/>
                <w:bCs w:val="1"/>
                <w:color w:val="auto"/>
                <w:w w:val="93"/>
              </w:rPr>
              <w:t>First Quarter 2018</w:t>
            </w:r>
          </w:p>
        </w:tc>
      </w:tr>
      <w:tr>
        <w:trPr>
          <w:trHeight w:val="173"/>
        </w:trPr>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Dividends per Class A share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2"/>
                <w:szCs w:val="12"/>
                <w:color w:val="auto"/>
              </w:rPr>
              <w:t>0.309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2"/>
                <w:szCs w:val="12"/>
                <w:color w:val="auto"/>
              </w:rPr>
              <w:t>0.298</w:t>
            </w:r>
          </w:p>
        </w:tc>
      </w:tr>
      <w:tr>
        <w:trPr>
          <w:trHeight w:val="162"/>
        </w:trPr>
        <w:tc>
          <w:tcPr>
            <w:tcW w:w="6560" w:type="dxa"/>
            <w:vAlign w:val="bottom"/>
          </w:tcPr>
          <w:p>
            <w:pPr>
              <w:spacing w:after="0"/>
              <w:rPr>
                <w:sz w:val="20"/>
                <w:szCs w:val="20"/>
                <w:color w:val="auto"/>
              </w:rPr>
            </w:pPr>
            <w:r>
              <w:rPr>
                <w:rFonts w:ascii="Arial" w:cs="Arial" w:eastAsia="Arial" w:hAnsi="Arial"/>
                <w:sz w:val="12"/>
                <w:szCs w:val="12"/>
                <w:b w:val="1"/>
                <w:bCs w:val="1"/>
                <w:color w:val="auto"/>
              </w:rPr>
              <w:t>Dividends per Class C share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44"/>
              <w:spacing w:after="0"/>
              <w:rPr>
                <w:sz w:val="20"/>
                <w:szCs w:val="20"/>
                <w:color w:val="auto"/>
              </w:rPr>
            </w:pPr>
            <w:r>
              <w:rPr>
                <w:rFonts w:ascii="Arial" w:cs="Arial" w:eastAsia="Arial" w:hAnsi="Arial"/>
                <w:sz w:val="12"/>
                <w:szCs w:val="12"/>
                <w:color w:val="auto"/>
              </w:rPr>
              <w:t>0.309</w:t>
            </w:r>
          </w:p>
        </w:tc>
        <w:tc>
          <w:tcPr>
            <w:tcW w:w="100" w:type="dxa"/>
            <w:vAlign w:val="bottom"/>
          </w:tcPr>
          <w:p>
            <w:pPr>
              <w:spacing w:after="0"/>
              <w:rPr>
                <w:sz w:val="14"/>
                <w:szCs w:val="14"/>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24"/>
              <w:spacing w:after="0"/>
              <w:rPr>
                <w:sz w:val="20"/>
                <w:szCs w:val="20"/>
                <w:color w:val="auto"/>
              </w:rPr>
            </w:pPr>
            <w:r>
              <w:rPr>
                <w:rFonts w:ascii="Arial" w:cs="Arial" w:eastAsia="Arial" w:hAnsi="Arial"/>
                <w:sz w:val="12"/>
                <w:szCs w:val="12"/>
                <w:color w:val="auto"/>
              </w:rPr>
              <w:t>0.298</w:t>
            </w:r>
          </w:p>
        </w:tc>
      </w:tr>
    </w:tbl>
    <w:p>
      <w:pPr>
        <w:spacing w:after="0" w:line="117" w:lineRule="exact"/>
        <w:rPr>
          <w:sz w:val="20"/>
          <w:szCs w:val="20"/>
          <w:color w:val="auto"/>
        </w:rPr>
      </w:pPr>
    </w:p>
    <w:p>
      <w:pPr>
        <w:ind w:firstLine="270"/>
        <w:spacing w:after="0" w:line="276" w:lineRule="auto"/>
        <w:rPr>
          <w:sz w:val="20"/>
          <w:szCs w:val="20"/>
          <w:color w:val="auto"/>
        </w:rPr>
      </w:pPr>
      <w:r>
        <w:rPr>
          <w:rFonts w:ascii="Arial" w:cs="Arial" w:eastAsia="Arial" w:hAnsi="Arial"/>
          <w:sz w:val="12"/>
          <w:szCs w:val="12"/>
          <w:color w:val="auto"/>
        </w:rPr>
        <w:t>Dividends on the Class A common stock and Class C common stock are subject to available capital, market conditions, and compliance with associated laws, regulations and other contractual obligations. The Company expects that, based on current circumstances, comparable cash dividends will continue to be paid in the foreseeable future.</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1"/>
          <w:szCs w:val="11"/>
          <w:color w:val="auto"/>
        </w:rPr>
        <w:t>On July 24, 2018, the Company declared quarterly dividends on its Class A common stock and Class C common stock of $0.320 per share payable on September 18, 2018, to stockholders of record as of September 4, 2018.</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Company also has authorized 10 million shares of preferred stock, par value $0.01 per share. None of the shares of preferred stock have been issued.</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1480"/>
          </w:cols>
          <w:pgMar w:left="220" w:top="505" w:right="199" w:bottom="1440" w:gutter="0" w:footer="0" w:header="0"/>
        </w:sectPr>
      </w:pPr>
    </w:p>
    <w:bookmarkStart w:id="31" w:name="page32"/>
    <w:bookmarkEnd w:id="31"/>
    <w:p>
      <w:pPr>
        <w:spacing w:after="0"/>
        <w:rPr>
          <w:sz w:val="20"/>
          <w:szCs w:val="20"/>
          <w:color w:val="auto"/>
        </w:rPr>
      </w:pPr>
      <w:r>
        <w:rPr>
          <w:rFonts w:ascii="Arial" w:cs="Arial" w:eastAsia="Arial" w:hAnsi="Arial"/>
          <w:sz w:val="12"/>
          <w:szCs w:val="12"/>
          <w:b w:val="1"/>
          <w:bCs w:val="1"/>
          <w:color w:val="auto"/>
        </w:rPr>
        <w:t xml:space="preserve">Note 10 — </w:t>
      </w:r>
      <w:r>
        <w:rPr>
          <w:rFonts w:ascii="Arial" w:cs="Arial" w:eastAsia="Arial" w:hAnsi="Arial"/>
          <w:sz w:val="12"/>
          <w:szCs w:val="12"/>
          <w:b w:val="1"/>
          <w:bCs w:val="1"/>
          <w:i w:val="1"/>
          <w:iCs w:val="1"/>
          <w:color w:val="auto"/>
        </w:rPr>
        <w:t>Segment Reporting</w:t>
      </w:r>
    </w:p>
    <w:p>
      <w:pPr>
        <w:spacing w:after="0" w:line="118" w:lineRule="exact"/>
        <w:rPr>
          <w:sz w:val="20"/>
          <w:szCs w:val="20"/>
          <w:color w:val="auto"/>
        </w:rPr>
      </w:pPr>
    </w:p>
    <w:p>
      <w:pPr>
        <w:jc w:val="both"/>
        <w:ind w:firstLine="270"/>
        <w:spacing w:after="0" w:line="298" w:lineRule="auto"/>
        <w:rPr>
          <w:sz w:val="20"/>
          <w:szCs w:val="20"/>
          <w:color w:val="auto"/>
        </w:rPr>
      </w:pPr>
      <w:r>
        <w:rPr>
          <w:rFonts w:ascii="Arial" w:cs="Arial" w:eastAsia="Arial" w:hAnsi="Arial"/>
          <w:sz w:val="11"/>
          <w:szCs w:val="11"/>
          <w:color w:val="auto"/>
        </w:rPr>
        <w:t>The Company’s segment structure reflects how management currently operates and allocates resources. The Company's businesses are segregated based on conventional power generation, renewable businesses which consist of solar and wind, and the thermal and chilled water business. The Corporate segment reflects the Company's corporate costs. The Company's chief operating decision maker, its Chief Executive Officer, evaluates the performance of its segments based on operational measures including adjusted earnings before interest, taxes, depreciation and amortization, or Adjusted EBITDA, and CAFD, as well as economic gross margin and net income (loss).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7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0"/>
                <w:szCs w:val="10"/>
                <w:b w:val="1"/>
                <w:bCs w:val="1"/>
                <w:color w:val="auto"/>
                <w:w w:val="85"/>
              </w:rPr>
              <w:t>Three months ended June 30, 2018</w:t>
            </w:r>
          </w:p>
        </w:tc>
        <w:tc>
          <w:tcPr>
            <w:tcW w:w="2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r>
      <w:tr>
        <w:trPr>
          <w:trHeight w:val="16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(In millions)</w:t>
            </w: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6"/>
              <w:spacing w:after="0"/>
              <w:rPr>
                <w:sz w:val="20"/>
                <w:szCs w:val="20"/>
                <w:color w:val="auto"/>
              </w:rPr>
            </w:pPr>
            <w:r>
              <w:rPr>
                <w:rFonts w:ascii="Arial" w:cs="Arial" w:eastAsia="Arial" w:hAnsi="Arial"/>
                <w:sz w:val="10"/>
                <w:szCs w:val="10"/>
                <w:b w:val="1"/>
                <w:bCs w:val="1"/>
                <w:color w:val="auto"/>
                <w:w w:val="87"/>
              </w:rPr>
              <w:t>Conventional Generation</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46"/>
              <w:spacing w:after="0"/>
              <w:rPr>
                <w:sz w:val="20"/>
                <w:szCs w:val="20"/>
                <w:color w:val="auto"/>
              </w:rPr>
            </w:pPr>
            <w:r>
              <w:rPr>
                <w:rFonts w:ascii="Arial" w:cs="Arial" w:eastAsia="Arial" w:hAnsi="Arial"/>
                <w:sz w:val="10"/>
                <w:szCs w:val="10"/>
                <w:b w:val="1"/>
                <w:bCs w:val="1"/>
                <w:color w:val="auto"/>
              </w:rPr>
              <w:t>Renewables</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86"/>
              <w:spacing w:after="0"/>
              <w:rPr>
                <w:sz w:val="20"/>
                <w:szCs w:val="20"/>
                <w:color w:val="auto"/>
              </w:rPr>
            </w:pPr>
            <w:r>
              <w:rPr>
                <w:rFonts w:ascii="Arial" w:cs="Arial" w:eastAsia="Arial" w:hAnsi="Arial"/>
                <w:sz w:val="10"/>
                <w:szCs w:val="10"/>
                <w:b w:val="1"/>
                <w:bCs w:val="1"/>
                <w:color w:val="auto"/>
                <w:w w:val="92"/>
              </w:rPr>
              <w:t>Thermal</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66"/>
              <w:spacing w:after="0"/>
              <w:rPr>
                <w:sz w:val="20"/>
                <w:szCs w:val="20"/>
                <w:color w:val="auto"/>
              </w:rPr>
            </w:pPr>
            <w:r>
              <w:rPr>
                <w:rFonts w:ascii="Arial" w:cs="Arial" w:eastAsia="Arial" w:hAnsi="Arial"/>
                <w:sz w:val="10"/>
                <w:szCs w:val="10"/>
                <w:b w:val="1"/>
                <w:bCs w:val="1"/>
                <w:color w:val="auto"/>
              </w:rPr>
              <w:t>Corporate</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66"/>
              <w:spacing w:after="0"/>
              <w:rPr>
                <w:sz w:val="20"/>
                <w:szCs w:val="20"/>
                <w:color w:val="auto"/>
              </w:rPr>
            </w:pPr>
            <w:r>
              <w:rPr>
                <w:rFonts w:ascii="Arial" w:cs="Arial" w:eastAsia="Arial" w:hAnsi="Arial"/>
                <w:sz w:val="10"/>
                <w:szCs w:val="10"/>
                <w:b w:val="1"/>
                <w:bCs w:val="1"/>
                <w:color w:val="auto"/>
              </w:rPr>
              <w:t>Total</w:t>
            </w:r>
          </w:p>
        </w:tc>
      </w:tr>
      <w:tr>
        <w:trPr>
          <w:trHeight w:val="1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Operating revenues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85</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177</w:t>
            </w:r>
          </w:p>
        </w:tc>
        <w:tc>
          <w:tcPr>
            <w:tcW w:w="380" w:type="dxa"/>
            <w:vAlign w:val="bottom"/>
            <w:tcBorders>
              <w:bottom w:val="single" w:sz="8" w:color="CCEEFF"/>
            </w:tcBorders>
            <w:gridSpan w:val="2"/>
            <w:shd w:val="clear" w:color="auto" w:fill="CCEEFF"/>
          </w:tcPr>
          <w:p>
            <w:pPr>
              <w:jc w:val="right"/>
              <w:ind w:right="151"/>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45</w:t>
            </w:r>
          </w:p>
        </w:tc>
        <w:tc>
          <w:tcPr>
            <w:tcW w:w="1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307</w:t>
            </w:r>
          </w:p>
        </w:tc>
      </w:tr>
      <w:tr>
        <w:trPr>
          <w:trHeight w:val="158"/>
        </w:trPr>
        <w:tc>
          <w:tcPr>
            <w:tcW w:w="4700" w:type="dxa"/>
            <w:vAlign w:val="bottom"/>
          </w:tcPr>
          <w:p>
            <w:pPr>
              <w:ind w:left="20"/>
              <w:spacing w:after="0"/>
              <w:rPr>
                <w:sz w:val="20"/>
                <w:szCs w:val="20"/>
                <w:color w:val="auto"/>
              </w:rPr>
            </w:pPr>
            <w:r>
              <w:rPr>
                <w:rFonts w:ascii="Arial" w:cs="Arial" w:eastAsia="Arial" w:hAnsi="Arial"/>
                <w:sz w:val="11"/>
                <w:szCs w:val="11"/>
                <w:color w:val="auto"/>
              </w:rPr>
              <w:t>Cost of operations</w:t>
            </w:r>
          </w:p>
        </w:tc>
        <w:tc>
          <w:tcPr>
            <w:tcW w:w="100" w:type="dxa"/>
            <w:vAlign w:val="bottom"/>
          </w:tcPr>
          <w:p>
            <w:pPr>
              <w:spacing w:after="0"/>
              <w:rPr>
                <w:sz w:val="13"/>
                <w:szCs w:val="13"/>
                <w:color w:val="auto"/>
              </w:rPr>
            </w:pPr>
          </w:p>
        </w:tc>
        <w:tc>
          <w:tcPr>
            <w:tcW w:w="1180" w:type="dxa"/>
            <w:vAlign w:val="bottom"/>
          </w:tcPr>
          <w:p>
            <w:pPr>
              <w:jc w:val="right"/>
              <w:ind w:right="66"/>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jc w:val="right"/>
              <w:ind w:right="66"/>
              <w:spacing w:after="0"/>
              <w:rPr>
                <w:sz w:val="20"/>
                <w:szCs w:val="20"/>
                <w:color w:val="auto"/>
              </w:rPr>
            </w:pPr>
            <w:r>
              <w:rPr>
                <w:rFonts w:ascii="Arial" w:cs="Arial" w:eastAsia="Arial" w:hAnsi="Arial"/>
                <w:sz w:val="11"/>
                <w:szCs w:val="11"/>
                <w:color w:val="auto"/>
              </w:rPr>
              <w:t>33</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31</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74</w:t>
            </w:r>
          </w:p>
        </w:tc>
      </w:tr>
      <w:tr>
        <w:trPr>
          <w:trHeight w:val="22"/>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Depreciation and amortization</w:t>
            </w:r>
          </w:p>
        </w:tc>
        <w:tc>
          <w:tcPr>
            <w:tcW w:w="10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52</w:t>
            </w:r>
          </w:p>
        </w:tc>
        <w:tc>
          <w:tcPr>
            <w:tcW w:w="1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82</w:t>
            </w:r>
          </w:p>
        </w:tc>
      </w:tr>
      <w:tr>
        <w:trPr>
          <w:trHeight w:val="158"/>
        </w:trPr>
        <w:tc>
          <w:tcPr>
            <w:tcW w:w="4700" w:type="dxa"/>
            <w:vAlign w:val="bottom"/>
          </w:tcPr>
          <w:p>
            <w:pPr>
              <w:ind w:left="20"/>
              <w:spacing w:after="0"/>
              <w:rPr>
                <w:sz w:val="20"/>
                <w:szCs w:val="20"/>
                <w:color w:val="auto"/>
              </w:rPr>
            </w:pPr>
            <w:r>
              <w:rPr>
                <w:rFonts w:ascii="Arial" w:cs="Arial" w:eastAsia="Arial" w:hAnsi="Arial"/>
                <w:sz w:val="11"/>
                <w:szCs w:val="11"/>
                <w:color w:val="auto"/>
              </w:rPr>
              <w:t>General and administrative</w:t>
            </w:r>
          </w:p>
        </w:tc>
        <w:tc>
          <w:tcPr>
            <w:tcW w:w="100" w:type="dxa"/>
            <w:vAlign w:val="bottom"/>
          </w:tcPr>
          <w:p>
            <w:pPr>
              <w:spacing w:after="0"/>
              <w:rPr>
                <w:sz w:val="13"/>
                <w:szCs w:val="1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10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1020" w:type="dxa"/>
            <w:vAlign w:val="bottom"/>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6</w:t>
            </w:r>
          </w:p>
        </w:tc>
      </w:tr>
      <w:tr>
        <w:trPr>
          <w:trHeight w:val="22"/>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8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Acquisition-related transaction and integration costs</w:t>
            </w: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r>
      <w:tr>
        <w:trPr>
          <w:trHeight w:val="138"/>
        </w:trPr>
        <w:tc>
          <w:tcPr>
            <w:tcW w:w="4700" w:type="dxa"/>
            <w:vAlign w:val="bottom"/>
          </w:tcPr>
          <w:p>
            <w:pPr>
              <w:ind w:left="20"/>
              <w:spacing w:after="0"/>
              <w:rPr>
                <w:sz w:val="20"/>
                <w:szCs w:val="20"/>
                <w:color w:val="auto"/>
              </w:rPr>
            </w:pPr>
            <w:r>
              <w:rPr>
                <w:rFonts w:ascii="Arial" w:cs="Arial" w:eastAsia="Arial" w:hAnsi="Arial"/>
                <w:sz w:val="11"/>
                <w:szCs w:val="11"/>
                <w:color w:val="auto"/>
              </w:rPr>
              <w:t>Operating income (loss)</w:t>
            </w: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51</w:t>
            </w: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92</w:t>
            </w: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8</w:t>
            </w: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144</w:t>
            </w:r>
          </w:p>
        </w:tc>
      </w:tr>
      <w:tr>
        <w:trPr>
          <w:trHeight w:val="22"/>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Equity in earnings of unconsolidated affiliates</w:t>
            </w:r>
          </w:p>
        </w:tc>
        <w:tc>
          <w:tcPr>
            <w:tcW w:w="10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w:t>
            </w:r>
          </w:p>
        </w:tc>
        <w:tc>
          <w:tcPr>
            <w:tcW w:w="1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w:t>
            </w:r>
          </w:p>
        </w:tc>
      </w:tr>
      <w:tr>
        <w:trPr>
          <w:trHeight w:val="158"/>
        </w:trPr>
        <w:tc>
          <w:tcPr>
            <w:tcW w:w="4700" w:type="dxa"/>
            <w:vAlign w:val="bottom"/>
          </w:tcPr>
          <w:p>
            <w:pPr>
              <w:ind w:left="20"/>
              <w:spacing w:after="0"/>
              <w:rPr>
                <w:sz w:val="20"/>
                <w:szCs w:val="20"/>
                <w:color w:val="auto"/>
              </w:rPr>
            </w:pPr>
            <w:r>
              <w:rPr>
                <w:rFonts w:ascii="Arial" w:cs="Arial" w:eastAsia="Arial" w:hAnsi="Arial"/>
                <w:sz w:val="11"/>
                <w:szCs w:val="11"/>
                <w:color w:val="auto"/>
              </w:rPr>
              <w:t>Other income, net</w:t>
            </w:r>
          </w:p>
        </w:tc>
        <w:tc>
          <w:tcPr>
            <w:tcW w:w="100" w:type="dxa"/>
            <w:vAlign w:val="bottom"/>
          </w:tcPr>
          <w:p>
            <w:pPr>
              <w:spacing w:after="0"/>
              <w:rPr>
                <w:sz w:val="13"/>
                <w:szCs w:val="13"/>
                <w:color w:val="auto"/>
              </w:rPr>
            </w:pPr>
          </w:p>
        </w:tc>
        <w:tc>
          <w:tcPr>
            <w:tcW w:w="11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1</w:t>
            </w:r>
          </w:p>
        </w:tc>
      </w:tr>
      <w:tr>
        <w:trPr>
          <w:trHeight w:val="22"/>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8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Interest expense</w:t>
            </w: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(13)</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(35)</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(21)</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(71)</w:t>
            </w:r>
          </w:p>
        </w:tc>
      </w:tr>
      <w:tr>
        <w:trPr>
          <w:trHeight w:val="138"/>
        </w:trPr>
        <w:tc>
          <w:tcPr>
            <w:tcW w:w="4700" w:type="dxa"/>
            <w:vAlign w:val="bottom"/>
          </w:tcPr>
          <w:p>
            <w:pPr>
              <w:ind w:left="20"/>
              <w:spacing w:after="0"/>
              <w:rPr>
                <w:sz w:val="20"/>
                <w:szCs w:val="20"/>
                <w:color w:val="auto"/>
              </w:rPr>
            </w:pPr>
            <w:r>
              <w:rPr>
                <w:rFonts w:ascii="Arial" w:cs="Arial" w:eastAsia="Arial" w:hAnsi="Arial"/>
                <w:sz w:val="11"/>
                <w:szCs w:val="11"/>
                <w:color w:val="auto"/>
              </w:rPr>
              <w:t>Income (loss) before income taxes</w:t>
            </w: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41</w:t>
            </w: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84</w:t>
            </w: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(28)</w:t>
            </w: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103</w:t>
            </w:r>
          </w:p>
        </w:tc>
      </w:tr>
      <w:tr>
        <w:trPr>
          <w:trHeight w:val="22"/>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8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Income tax expense</w:t>
            </w: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w:t>
            </w:r>
          </w:p>
        </w:tc>
      </w:tr>
      <w:tr>
        <w:trPr>
          <w:trHeight w:val="167"/>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Net Income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18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41</w:t>
            </w:r>
          </w:p>
        </w:tc>
        <w:tc>
          <w:tcPr>
            <w:tcW w:w="10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color w:val="auto"/>
                <w:w w:val="97"/>
              </w:rPr>
              <w:t>$</w:t>
            </w:r>
          </w:p>
        </w:tc>
        <w:tc>
          <w:tcPr>
            <w:tcW w:w="104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84</w:t>
            </w:r>
          </w:p>
        </w:tc>
        <w:tc>
          <w:tcPr>
            <w:tcW w:w="12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(35)</w:t>
            </w:r>
          </w:p>
        </w:tc>
        <w:tc>
          <w:tcPr>
            <w:tcW w:w="12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96</w:t>
            </w:r>
          </w:p>
        </w:tc>
      </w:tr>
      <w:tr>
        <w:trPr>
          <w:trHeight w:val="151"/>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 Assets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1,828</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5,937</w:t>
            </w:r>
          </w:p>
        </w:tc>
        <w:tc>
          <w:tcPr>
            <w:tcW w:w="380" w:type="dxa"/>
            <w:vAlign w:val="bottom"/>
            <w:tcBorders>
              <w:bottom w:val="single" w:sz="8" w:color="CCEEFF"/>
            </w:tcBorders>
            <w:gridSpan w:val="2"/>
            <w:shd w:val="clear" w:color="auto" w:fill="CCEEFF"/>
          </w:tcPr>
          <w:p>
            <w:pPr>
              <w:jc w:val="right"/>
              <w:ind w:right="151"/>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512</w:t>
            </w: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171</w:t>
            </w: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8,448</w:t>
            </w:r>
          </w:p>
        </w:tc>
      </w:tr>
      <w:tr>
        <w:trPr>
          <w:trHeight w:val="374"/>
        </w:trPr>
        <w:tc>
          <w:tcPr>
            <w:tcW w:w="47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0"/>
                <w:szCs w:val="10"/>
                <w:b w:val="1"/>
                <w:bCs w:val="1"/>
                <w:color w:val="auto"/>
                <w:w w:val="85"/>
              </w:rPr>
              <w:t>Three months ended June 30, 2017</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16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(In millions)</w:t>
            </w: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6"/>
              <w:spacing w:after="0"/>
              <w:rPr>
                <w:sz w:val="20"/>
                <w:szCs w:val="20"/>
                <w:color w:val="auto"/>
              </w:rPr>
            </w:pPr>
            <w:r>
              <w:rPr>
                <w:rFonts w:ascii="Arial" w:cs="Arial" w:eastAsia="Arial" w:hAnsi="Arial"/>
                <w:sz w:val="10"/>
                <w:szCs w:val="10"/>
                <w:b w:val="1"/>
                <w:bCs w:val="1"/>
                <w:color w:val="auto"/>
                <w:w w:val="87"/>
              </w:rPr>
              <w:t>Conventional Generation</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46"/>
              <w:spacing w:after="0"/>
              <w:rPr>
                <w:sz w:val="20"/>
                <w:szCs w:val="20"/>
                <w:color w:val="auto"/>
              </w:rPr>
            </w:pPr>
            <w:r>
              <w:rPr>
                <w:rFonts w:ascii="Arial" w:cs="Arial" w:eastAsia="Arial" w:hAnsi="Arial"/>
                <w:sz w:val="10"/>
                <w:szCs w:val="10"/>
                <w:b w:val="1"/>
                <w:bCs w:val="1"/>
                <w:color w:val="auto"/>
              </w:rPr>
              <w:t>Renewables</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86"/>
              <w:spacing w:after="0"/>
              <w:rPr>
                <w:sz w:val="20"/>
                <w:szCs w:val="20"/>
                <w:color w:val="auto"/>
              </w:rPr>
            </w:pPr>
            <w:r>
              <w:rPr>
                <w:rFonts w:ascii="Arial" w:cs="Arial" w:eastAsia="Arial" w:hAnsi="Arial"/>
                <w:sz w:val="10"/>
                <w:szCs w:val="10"/>
                <w:b w:val="1"/>
                <w:bCs w:val="1"/>
                <w:color w:val="auto"/>
                <w:w w:val="92"/>
              </w:rPr>
              <w:t>Thermal</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66"/>
              <w:spacing w:after="0"/>
              <w:rPr>
                <w:sz w:val="20"/>
                <w:szCs w:val="20"/>
                <w:color w:val="auto"/>
              </w:rPr>
            </w:pPr>
            <w:r>
              <w:rPr>
                <w:rFonts w:ascii="Arial" w:cs="Arial" w:eastAsia="Arial" w:hAnsi="Arial"/>
                <w:sz w:val="10"/>
                <w:szCs w:val="10"/>
                <w:b w:val="1"/>
                <w:bCs w:val="1"/>
                <w:color w:val="auto"/>
              </w:rPr>
              <w:t>Corporate</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66"/>
              <w:spacing w:after="0"/>
              <w:rPr>
                <w:sz w:val="20"/>
                <w:szCs w:val="20"/>
                <w:color w:val="auto"/>
              </w:rPr>
            </w:pPr>
            <w:r>
              <w:rPr>
                <w:rFonts w:ascii="Arial" w:cs="Arial" w:eastAsia="Arial" w:hAnsi="Arial"/>
                <w:sz w:val="10"/>
                <w:szCs w:val="10"/>
                <w:b w:val="1"/>
                <w:bCs w:val="1"/>
                <w:color w:val="auto"/>
              </w:rPr>
              <w:t>Total</w:t>
            </w:r>
          </w:p>
        </w:tc>
      </w:tr>
      <w:tr>
        <w:trPr>
          <w:trHeight w:val="1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Operating revenues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83</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165</w:t>
            </w:r>
          </w:p>
        </w:tc>
        <w:tc>
          <w:tcPr>
            <w:tcW w:w="380" w:type="dxa"/>
            <w:vAlign w:val="bottom"/>
            <w:tcBorders>
              <w:bottom w:val="single" w:sz="8" w:color="CCEEFF"/>
            </w:tcBorders>
            <w:gridSpan w:val="2"/>
            <w:shd w:val="clear" w:color="auto" w:fill="CCEEFF"/>
          </w:tcPr>
          <w:p>
            <w:pPr>
              <w:jc w:val="right"/>
              <w:ind w:right="151"/>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40</w:t>
            </w:r>
          </w:p>
        </w:tc>
        <w:tc>
          <w:tcPr>
            <w:tcW w:w="1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288</w:t>
            </w:r>
          </w:p>
        </w:tc>
      </w:tr>
      <w:tr>
        <w:trPr>
          <w:trHeight w:val="158"/>
        </w:trPr>
        <w:tc>
          <w:tcPr>
            <w:tcW w:w="4700" w:type="dxa"/>
            <w:vAlign w:val="bottom"/>
          </w:tcPr>
          <w:p>
            <w:pPr>
              <w:ind w:left="20"/>
              <w:spacing w:after="0"/>
              <w:rPr>
                <w:sz w:val="20"/>
                <w:szCs w:val="20"/>
                <w:color w:val="auto"/>
              </w:rPr>
            </w:pPr>
            <w:r>
              <w:rPr>
                <w:rFonts w:ascii="Arial" w:cs="Arial" w:eastAsia="Arial" w:hAnsi="Arial"/>
                <w:sz w:val="11"/>
                <w:szCs w:val="11"/>
                <w:color w:val="auto"/>
              </w:rPr>
              <w:t>Cost of operations</w:t>
            </w:r>
          </w:p>
        </w:tc>
        <w:tc>
          <w:tcPr>
            <w:tcW w:w="100" w:type="dxa"/>
            <w:vAlign w:val="bottom"/>
          </w:tcPr>
          <w:p>
            <w:pPr>
              <w:spacing w:after="0"/>
              <w:rPr>
                <w:sz w:val="13"/>
                <w:szCs w:val="13"/>
                <w:color w:val="auto"/>
              </w:rPr>
            </w:pPr>
          </w:p>
        </w:tc>
        <w:tc>
          <w:tcPr>
            <w:tcW w:w="1180" w:type="dxa"/>
            <w:vAlign w:val="bottom"/>
          </w:tcPr>
          <w:p>
            <w:pPr>
              <w:jc w:val="right"/>
              <w:ind w:right="66"/>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jc w:val="right"/>
              <w:ind w:right="66"/>
              <w:spacing w:after="0"/>
              <w:rPr>
                <w:sz w:val="20"/>
                <w:szCs w:val="20"/>
                <w:color w:val="auto"/>
              </w:rPr>
            </w:pPr>
            <w:r>
              <w:rPr>
                <w:rFonts w:ascii="Arial" w:cs="Arial" w:eastAsia="Arial" w:hAnsi="Arial"/>
                <w:sz w:val="11"/>
                <w:szCs w:val="11"/>
                <w:color w:val="auto"/>
              </w:rPr>
              <w:t>35</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27</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77</w:t>
            </w:r>
          </w:p>
        </w:tc>
      </w:tr>
      <w:tr>
        <w:trPr>
          <w:trHeight w:val="22"/>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Depreciation and amortization</w:t>
            </w:r>
          </w:p>
        </w:tc>
        <w:tc>
          <w:tcPr>
            <w:tcW w:w="10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48</w:t>
            </w:r>
          </w:p>
        </w:tc>
        <w:tc>
          <w:tcPr>
            <w:tcW w:w="1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79</w:t>
            </w:r>
          </w:p>
        </w:tc>
      </w:tr>
      <w:tr>
        <w:trPr>
          <w:trHeight w:val="158"/>
        </w:trPr>
        <w:tc>
          <w:tcPr>
            <w:tcW w:w="4700" w:type="dxa"/>
            <w:vAlign w:val="bottom"/>
          </w:tcPr>
          <w:p>
            <w:pPr>
              <w:ind w:left="20"/>
              <w:spacing w:after="0"/>
              <w:rPr>
                <w:sz w:val="20"/>
                <w:szCs w:val="20"/>
                <w:color w:val="auto"/>
              </w:rPr>
            </w:pPr>
            <w:r>
              <w:rPr>
                <w:rFonts w:ascii="Arial" w:cs="Arial" w:eastAsia="Arial" w:hAnsi="Arial"/>
                <w:sz w:val="11"/>
                <w:szCs w:val="11"/>
                <w:color w:val="auto"/>
              </w:rPr>
              <w:t>General and administrative</w:t>
            </w:r>
          </w:p>
        </w:tc>
        <w:tc>
          <w:tcPr>
            <w:tcW w:w="100" w:type="dxa"/>
            <w:vAlign w:val="bottom"/>
          </w:tcPr>
          <w:p>
            <w:pPr>
              <w:spacing w:after="0"/>
              <w:rPr>
                <w:sz w:val="13"/>
                <w:szCs w:val="1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10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1020" w:type="dxa"/>
            <w:vAlign w:val="bottom"/>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6</w:t>
            </w:r>
          </w:p>
        </w:tc>
      </w:tr>
      <w:tr>
        <w:trPr>
          <w:trHeight w:val="22"/>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8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Acquisition-related transaction and integration costs</w:t>
            </w: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r>
      <w:tr>
        <w:trPr>
          <w:trHeight w:val="138"/>
        </w:trPr>
        <w:tc>
          <w:tcPr>
            <w:tcW w:w="4700" w:type="dxa"/>
            <w:vAlign w:val="bottom"/>
          </w:tcPr>
          <w:p>
            <w:pPr>
              <w:ind w:left="20"/>
              <w:spacing w:after="0"/>
              <w:rPr>
                <w:sz w:val="20"/>
                <w:szCs w:val="20"/>
                <w:color w:val="auto"/>
              </w:rPr>
            </w:pPr>
            <w:r>
              <w:rPr>
                <w:rFonts w:ascii="Arial" w:cs="Arial" w:eastAsia="Arial" w:hAnsi="Arial"/>
                <w:sz w:val="11"/>
                <w:szCs w:val="11"/>
                <w:color w:val="auto"/>
              </w:rPr>
              <w:t>Operating income (loss)</w:t>
            </w: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42</w:t>
            </w: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82</w:t>
            </w: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8</w:t>
            </w: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125</w:t>
            </w:r>
          </w:p>
        </w:tc>
      </w:tr>
      <w:tr>
        <w:trPr>
          <w:trHeight w:val="22"/>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Equity in earnings of unconsolidated affiliates</w:t>
            </w:r>
          </w:p>
        </w:tc>
        <w:tc>
          <w:tcPr>
            <w:tcW w:w="10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w:t>
            </w:r>
          </w:p>
        </w:tc>
      </w:tr>
      <w:tr>
        <w:trPr>
          <w:trHeight w:val="158"/>
        </w:trPr>
        <w:tc>
          <w:tcPr>
            <w:tcW w:w="4700" w:type="dxa"/>
            <w:vAlign w:val="bottom"/>
          </w:tcPr>
          <w:p>
            <w:pPr>
              <w:ind w:left="20"/>
              <w:spacing w:after="0"/>
              <w:rPr>
                <w:sz w:val="20"/>
                <w:szCs w:val="20"/>
                <w:color w:val="auto"/>
              </w:rPr>
            </w:pPr>
            <w:r>
              <w:rPr>
                <w:rFonts w:ascii="Arial" w:cs="Arial" w:eastAsia="Arial" w:hAnsi="Arial"/>
                <w:sz w:val="11"/>
                <w:szCs w:val="11"/>
                <w:color w:val="auto"/>
              </w:rPr>
              <w:t>Other income, net</w:t>
            </w:r>
          </w:p>
        </w:tc>
        <w:tc>
          <w:tcPr>
            <w:tcW w:w="100" w:type="dxa"/>
            <w:vAlign w:val="bottom"/>
          </w:tcPr>
          <w:p>
            <w:pPr>
              <w:spacing w:after="0"/>
              <w:rPr>
                <w:sz w:val="13"/>
                <w:szCs w:val="1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10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10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1</w:t>
            </w:r>
          </w:p>
        </w:tc>
      </w:tr>
      <w:tr>
        <w:trPr>
          <w:trHeight w:val="22"/>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8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Interest expense</w:t>
            </w: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(14)</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(53)</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(21)</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(90)</w:t>
            </w:r>
          </w:p>
        </w:tc>
      </w:tr>
      <w:tr>
        <w:trPr>
          <w:trHeight w:val="138"/>
        </w:trPr>
        <w:tc>
          <w:tcPr>
            <w:tcW w:w="4700" w:type="dxa"/>
            <w:vAlign w:val="bottom"/>
          </w:tcPr>
          <w:p>
            <w:pPr>
              <w:ind w:left="20"/>
              <w:spacing w:after="0"/>
              <w:rPr>
                <w:sz w:val="20"/>
                <w:szCs w:val="20"/>
                <w:color w:val="auto"/>
              </w:rPr>
            </w:pPr>
            <w:r>
              <w:rPr>
                <w:rFonts w:ascii="Arial" w:cs="Arial" w:eastAsia="Arial" w:hAnsi="Arial"/>
                <w:sz w:val="11"/>
                <w:szCs w:val="11"/>
                <w:color w:val="auto"/>
              </w:rPr>
              <w:t>Income (loss) before income taxes</w:t>
            </w: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42</w:t>
            </w: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(27)</w:t>
            </w: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52</w:t>
            </w:r>
          </w:p>
        </w:tc>
      </w:tr>
      <w:tr>
        <w:trPr>
          <w:trHeight w:val="22"/>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8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Income tax expense</w:t>
            </w: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w:t>
            </w:r>
          </w:p>
        </w:tc>
      </w:tr>
      <w:tr>
        <w:trPr>
          <w:trHeight w:val="167"/>
        </w:trPr>
        <w:tc>
          <w:tcPr>
            <w:tcW w:w="4700" w:type="dxa"/>
            <w:vAlign w:val="bottom"/>
          </w:tcPr>
          <w:p>
            <w:pPr>
              <w:ind w:left="20"/>
              <w:spacing w:after="0"/>
              <w:rPr>
                <w:sz w:val="20"/>
                <w:szCs w:val="20"/>
                <w:color w:val="auto"/>
              </w:rPr>
            </w:pPr>
            <w:r>
              <w:rPr>
                <w:rFonts w:ascii="Arial" w:cs="Arial" w:eastAsia="Arial" w:hAnsi="Arial"/>
                <w:sz w:val="11"/>
                <w:szCs w:val="11"/>
                <w:b w:val="1"/>
                <w:bCs w:val="1"/>
                <w:color w:val="auto"/>
              </w:rPr>
              <w:t>Net Income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18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color w:val="auto"/>
                <w:w w:val="97"/>
              </w:rPr>
              <w:t>$</w:t>
            </w:r>
          </w:p>
        </w:tc>
        <w:tc>
          <w:tcPr>
            <w:tcW w:w="104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42</w:t>
            </w:r>
          </w:p>
        </w:tc>
        <w:tc>
          <w:tcPr>
            <w:tcW w:w="12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(35)</w:t>
            </w:r>
          </w:p>
        </w:tc>
        <w:tc>
          <w:tcPr>
            <w:tcW w:w="12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44</w:t>
            </w:r>
          </w:p>
        </w:tc>
      </w:tr>
    </w:tbl>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ectPr>
          <w:pgSz w:w="11900" w:h="16838" w:orient="portrait"/>
          <w:cols w:equalWidth="0" w:num="1">
            <w:col w:w="11480"/>
          </w:cols>
          <w:pgMar w:left="220" w:top="505" w:right="19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28"/>
        </w:trPr>
        <w:tc>
          <w:tcPr>
            <w:tcW w:w="47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0"/>
                <w:szCs w:val="10"/>
                <w:b w:val="1"/>
                <w:bCs w:val="1"/>
                <w:color w:val="auto"/>
                <w:w w:val="85"/>
              </w:rPr>
              <w:t>Six months ended June 30, 2018</w:t>
            </w:r>
          </w:p>
        </w:tc>
        <w:tc>
          <w:tcPr>
            <w:tcW w:w="2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r>
      <w:tr>
        <w:trPr>
          <w:trHeight w:val="124"/>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(In millions)</w:t>
            </w:r>
          </w:p>
        </w:tc>
        <w:tc>
          <w:tcPr>
            <w:tcW w:w="1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ind w:right="66"/>
              <w:spacing w:after="0"/>
              <w:rPr>
                <w:sz w:val="20"/>
                <w:szCs w:val="20"/>
                <w:color w:val="auto"/>
              </w:rPr>
            </w:pPr>
            <w:r>
              <w:rPr>
                <w:rFonts w:ascii="Arial" w:cs="Arial" w:eastAsia="Arial" w:hAnsi="Arial"/>
                <w:sz w:val="10"/>
                <w:szCs w:val="10"/>
                <w:b w:val="1"/>
                <w:bCs w:val="1"/>
                <w:color w:val="auto"/>
                <w:w w:val="87"/>
              </w:rPr>
              <w:t>Conventional Generation</w:t>
            </w:r>
          </w:p>
        </w:tc>
        <w:tc>
          <w:tcPr>
            <w:tcW w:w="100" w:type="dxa"/>
            <w:vAlign w:val="bottom"/>
            <w:tcBorders>
              <w:bottom w:val="single" w:sz="8" w:color="CCEEFF"/>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Renewables</w:t>
            </w:r>
          </w:p>
        </w:tc>
        <w:tc>
          <w:tcPr>
            <w:tcW w:w="38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center"/>
              <w:ind w:right="186"/>
              <w:spacing w:after="0"/>
              <w:rPr>
                <w:sz w:val="20"/>
                <w:szCs w:val="20"/>
                <w:color w:val="auto"/>
              </w:rPr>
            </w:pPr>
            <w:r>
              <w:rPr>
                <w:rFonts w:ascii="Arial" w:cs="Arial" w:eastAsia="Arial" w:hAnsi="Arial"/>
                <w:sz w:val="10"/>
                <w:szCs w:val="10"/>
                <w:b w:val="1"/>
                <w:bCs w:val="1"/>
                <w:color w:val="auto"/>
                <w:w w:val="92"/>
              </w:rPr>
              <w:t>Thermal</w:t>
            </w:r>
          </w:p>
        </w:tc>
        <w:tc>
          <w:tcPr>
            <w:tcW w:w="12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366"/>
              <w:spacing w:after="0"/>
              <w:rPr>
                <w:sz w:val="20"/>
                <w:szCs w:val="20"/>
                <w:color w:val="auto"/>
              </w:rPr>
            </w:pPr>
            <w:r>
              <w:rPr>
                <w:rFonts w:ascii="Arial" w:cs="Arial" w:eastAsia="Arial" w:hAnsi="Arial"/>
                <w:sz w:val="10"/>
                <w:szCs w:val="10"/>
                <w:b w:val="1"/>
                <w:bCs w:val="1"/>
                <w:color w:val="auto"/>
              </w:rPr>
              <w:t>Corporate</w:t>
            </w:r>
          </w:p>
        </w:tc>
        <w:tc>
          <w:tcPr>
            <w:tcW w:w="12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466"/>
              <w:spacing w:after="0"/>
              <w:rPr>
                <w:sz w:val="20"/>
                <w:szCs w:val="20"/>
                <w:color w:val="auto"/>
              </w:rPr>
            </w:pPr>
            <w:r>
              <w:rPr>
                <w:rFonts w:ascii="Arial" w:cs="Arial" w:eastAsia="Arial" w:hAnsi="Arial"/>
                <w:sz w:val="10"/>
                <w:szCs w:val="10"/>
                <w:b w:val="1"/>
                <w:bCs w:val="1"/>
                <w:color w:val="auto"/>
              </w:rPr>
              <w:t>Total</w:t>
            </w:r>
          </w:p>
        </w:tc>
      </w:tr>
      <w:tr>
        <w:trPr>
          <w:trHeight w:val="1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Operating revenues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164</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jc w:val="right"/>
              <w:ind w:right="768"/>
              <w:spacing w:after="0"/>
              <w:rPr>
                <w:sz w:val="20"/>
                <w:szCs w:val="20"/>
                <w:color w:val="auto"/>
              </w:rPr>
            </w:pPr>
            <w:r>
              <w:rPr>
                <w:rFonts w:ascii="Arial" w:cs="Arial" w:eastAsia="Arial" w:hAnsi="Arial"/>
                <w:sz w:val="11"/>
                <w:szCs w:val="11"/>
                <w:color w:val="auto"/>
                <w:w w:val="97"/>
              </w:rPr>
              <w:t>$</w:t>
            </w:r>
          </w:p>
        </w:tc>
        <w:tc>
          <w:tcPr>
            <w:tcW w:w="3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275</w:t>
            </w:r>
          </w:p>
        </w:tc>
        <w:tc>
          <w:tcPr>
            <w:tcW w:w="380" w:type="dxa"/>
            <w:vAlign w:val="bottom"/>
            <w:tcBorders>
              <w:bottom w:val="single" w:sz="8" w:color="CCEEFF"/>
            </w:tcBorders>
            <w:gridSpan w:val="2"/>
            <w:shd w:val="clear" w:color="auto" w:fill="CCEEFF"/>
          </w:tcPr>
          <w:p>
            <w:pPr>
              <w:jc w:val="right"/>
              <w:ind w:right="151"/>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93</w:t>
            </w:r>
          </w:p>
        </w:tc>
        <w:tc>
          <w:tcPr>
            <w:tcW w:w="1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532</w:t>
            </w:r>
          </w:p>
        </w:tc>
      </w:tr>
      <w:tr>
        <w:trPr>
          <w:trHeight w:val="158"/>
        </w:trPr>
        <w:tc>
          <w:tcPr>
            <w:tcW w:w="4700" w:type="dxa"/>
            <w:vAlign w:val="bottom"/>
          </w:tcPr>
          <w:p>
            <w:pPr>
              <w:ind w:left="20"/>
              <w:spacing w:after="0"/>
              <w:rPr>
                <w:sz w:val="20"/>
                <w:szCs w:val="20"/>
                <w:color w:val="auto"/>
              </w:rPr>
            </w:pPr>
            <w:r>
              <w:rPr>
                <w:rFonts w:ascii="Arial" w:cs="Arial" w:eastAsia="Arial" w:hAnsi="Arial"/>
                <w:sz w:val="11"/>
                <w:szCs w:val="11"/>
                <w:color w:val="auto"/>
              </w:rPr>
              <w:t>Cost of operations</w:t>
            </w:r>
          </w:p>
        </w:tc>
        <w:tc>
          <w:tcPr>
            <w:tcW w:w="100" w:type="dxa"/>
            <w:vAlign w:val="bottom"/>
          </w:tcPr>
          <w:p>
            <w:pPr>
              <w:spacing w:after="0"/>
              <w:rPr>
                <w:sz w:val="13"/>
                <w:szCs w:val="13"/>
                <w:color w:val="auto"/>
              </w:rPr>
            </w:pPr>
          </w:p>
        </w:tc>
        <w:tc>
          <w:tcPr>
            <w:tcW w:w="1180" w:type="dxa"/>
            <w:vAlign w:val="bottom"/>
          </w:tcPr>
          <w:p>
            <w:pPr>
              <w:jc w:val="right"/>
              <w:ind w:right="66"/>
              <w:spacing w:after="0"/>
              <w:rPr>
                <w:sz w:val="20"/>
                <w:szCs w:val="20"/>
                <w:color w:val="auto"/>
              </w:rPr>
            </w:pPr>
            <w:r>
              <w:rPr>
                <w:rFonts w:ascii="Arial" w:cs="Arial" w:eastAsia="Arial" w:hAnsi="Arial"/>
                <w:sz w:val="11"/>
                <w:szCs w:val="11"/>
                <w:color w:val="auto"/>
              </w:rPr>
              <w:t>32</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jc w:val="right"/>
              <w:ind w:right="66"/>
              <w:spacing w:after="0"/>
              <w:rPr>
                <w:sz w:val="20"/>
                <w:szCs w:val="20"/>
                <w:color w:val="auto"/>
              </w:rPr>
            </w:pPr>
            <w:r>
              <w:rPr>
                <w:rFonts w:ascii="Arial" w:cs="Arial" w:eastAsia="Arial" w:hAnsi="Arial"/>
                <w:sz w:val="11"/>
                <w:szCs w:val="11"/>
                <w:color w:val="auto"/>
              </w:rPr>
              <w:t>67</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64</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163</w:t>
            </w:r>
          </w:p>
        </w:tc>
      </w:tr>
      <w:tr>
        <w:trPr>
          <w:trHeight w:val="22"/>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Depreciation and amortization</w:t>
            </w:r>
          </w:p>
        </w:tc>
        <w:tc>
          <w:tcPr>
            <w:tcW w:w="10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50</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102</w:t>
            </w:r>
          </w:p>
        </w:tc>
        <w:tc>
          <w:tcPr>
            <w:tcW w:w="1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w:t>
            </w: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163</w:t>
            </w:r>
          </w:p>
        </w:tc>
      </w:tr>
      <w:tr>
        <w:trPr>
          <w:trHeight w:val="158"/>
        </w:trPr>
        <w:tc>
          <w:tcPr>
            <w:tcW w:w="4700" w:type="dxa"/>
            <w:vAlign w:val="bottom"/>
          </w:tcPr>
          <w:p>
            <w:pPr>
              <w:ind w:left="20"/>
              <w:spacing w:after="0"/>
              <w:rPr>
                <w:sz w:val="20"/>
                <w:szCs w:val="20"/>
                <w:color w:val="auto"/>
              </w:rPr>
            </w:pPr>
            <w:r>
              <w:rPr>
                <w:rFonts w:ascii="Arial" w:cs="Arial" w:eastAsia="Arial" w:hAnsi="Arial"/>
                <w:sz w:val="11"/>
                <w:szCs w:val="11"/>
                <w:color w:val="auto"/>
              </w:rPr>
              <w:t>General and administrative</w:t>
            </w:r>
          </w:p>
        </w:tc>
        <w:tc>
          <w:tcPr>
            <w:tcW w:w="100" w:type="dxa"/>
            <w:vAlign w:val="bottom"/>
          </w:tcPr>
          <w:p>
            <w:pPr>
              <w:spacing w:after="0"/>
              <w:rPr>
                <w:sz w:val="13"/>
                <w:szCs w:val="1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tcPr>
          <w:p>
            <w:pPr>
              <w:spacing w:after="0"/>
              <w:rPr>
                <w:sz w:val="13"/>
                <w:szCs w:val="13"/>
                <w:color w:val="auto"/>
              </w:rPr>
            </w:pPr>
          </w:p>
        </w:tc>
        <w:tc>
          <w:tcPr>
            <w:tcW w:w="3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1020" w:type="dxa"/>
            <w:vAlign w:val="bottom"/>
          </w:tcPr>
          <w:p>
            <w:pPr>
              <w:jc w:val="right"/>
              <w:ind w:right="46"/>
              <w:spacing w:after="0"/>
              <w:rPr>
                <w:sz w:val="20"/>
                <w:szCs w:val="20"/>
                <w:color w:val="auto"/>
              </w:rPr>
            </w:pPr>
            <w:r>
              <w:rPr>
                <w:rFonts w:ascii="Arial" w:cs="Arial" w:eastAsia="Arial" w:hAnsi="Arial"/>
                <w:sz w:val="11"/>
                <w:szCs w:val="11"/>
                <w:color w:val="auto"/>
              </w:rPr>
              <w:t>11</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11</w:t>
            </w:r>
          </w:p>
        </w:tc>
      </w:tr>
      <w:tr>
        <w:trPr>
          <w:trHeight w:val="22"/>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8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Acquisition-related transaction and integration costs</w:t>
            </w: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r>
      <w:tr>
        <w:trPr>
          <w:trHeight w:val="138"/>
        </w:trPr>
        <w:tc>
          <w:tcPr>
            <w:tcW w:w="4700" w:type="dxa"/>
            <w:vAlign w:val="bottom"/>
          </w:tcPr>
          <w:p>
            <w:pPr>
              <w:ind w:left="20"/>
              <w:spacing w:after="0"/>
              <w:rPr>
                <w:sz w:val="20"/>
                <w:szCs w:val="20"/>
                <w:color w:val="auto"/>
              </w:rPr>
            </w:pPr>
            <w:r>
              <w:rPr>
                <w:rFonts w:ascii="Arial" w:cs="Arial" w:eastAsia="Arial" w:hAnsi="Arial"/>
                <w:sz w:val="11"/>
                <w:szCs w:val="11"/>
                <w:color w:val="auto"/>
              </w:rPr>
              <w:t>Operating income (loss)</w:t>
            </w: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82</w:t>
            </w:r>
          </w:p>
        </w:tc>
        <w:tc>
          <w:tcPr>
            <w:tcW w:w="1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106</w:t>
            </w: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18</w:t>
            </w: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(13)</w:t>
            </w: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193</w:t>
            </w:r>
          </w:p>
        </w:tc>
      </w:tr>
      <w:tr>
        <w:trPr>
          <w:trHeight w:val="22"/>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Equity in earnings of unconsolidated affiliates</w:t>
            </w:r>
          </w:p>
        </w:tc>
        <w:tc>
          <w:tcPr>
            <w:tcW w:w="10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w:t>
            </w:r>
          </w:p>
        </w:tc>
        <w:tc>
          <w:tcPr>
            <w:tcW w:w="1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w:t>
            </w:r>
          </w:p>
        </w:tc>
      </w:tr>
      <w:tr>
        <w:trPr>
          <w:trHeight w:val="158"/>
        </w:trPr>
        <w:tc>
          <w:tcPr>
            <w:tcW w:w="4700" w:type="dxa"/>
            <w:vAlign w:val="bottom"/>
          </w:tcPr>
          <w:p>
            <w:pPr>
              <w:ind w:left="20"/>
              <w:spacing w:after="0"/>
              <w:rPr>
                <w:sz w:val="20"/>
                <w:szCs w:val="20"/>
                <w:color w:val="auto"/>
              </w:rPr>
            </w:pPr>
            <w:r>
              <w:rPr>
                <w:rFonts w:ascii="Arial" w:cs="Arial" w:eastAsia="Arial" w:hAnsi="Arial"/>
                <w:sz w:val="11"/>
                <w:szCs w:val="11"/>
                <w:color w:val="auto"/>
              </w:rPr>
              <w:t>Other income, net</w:t>
            </w:r>
          </w:p>
        </w:tc>
        <w:tc>
          <w:tcPr>
            <w:tcW w:w="100" w:type="dxa"/>
            <w:vAlign w:val="bottom"/>
          </w:tcPr>
          <w:p>
            <w:pPr>
              <w:spacing w:after="0"/>
              <w:rPr>
                <w:sz w:val="13"/>
                <w:szCs w:val="13"/>
                <w:color w:val="auto"/>
              </w:rPr>
            </w:pPr>
          </w:p>
        </w:tc>
        <w:tc>
          <w:tcPr>
            <w:tcW w:w="11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2</w:t>
            </w:r>
          </w:p>
        </w:tc>
      </w:tr>
      <w:tr>
        <w:trPr>
          <w:trHeight w:val="22"/>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8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Interest expense</w:t>
            </w: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(20)</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(59)</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(43)</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(126)</w:t>
            </w:r>
          </w:p>
        </w:tc>
      </w:tr>
      <w:tr>
        <w:trPr>
          <w:trHeight w:val="138"/>
        </w:trPr>
        <w:tc>
          <w:tcPr>
            <w:tcW w:w="4700" w:type="dxa"/>
            <w:vAlign w:val="bottom"/>
          </w:tcPr>
          <w:p>
            <w:pPr>
              <w:ind w:left="20"/>
              <w:spacing w:after="0"/>
              <w:rPr>
                <w:sz w:val="20"/>
                <w:szCs w:val="20"/>
                <w:color w:val="auto"/>
              </w:rPr>
            </w:pPr>
            <w:r>
              <w:rPr>
                <w:rFonts w:ascii="Arial" w:cs="Arial" w:eastAsia="Arial" w:hAnsi="Arial"/>
                <w:sz w:val="11"/>
                <w:szCs w:val="11"/>
                <w:color w:val="auto"/>
              </w:rPr>
              <w:t>Income (loss) before income taxes</w:t>
            </w: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68</w:t>
            </w:r>
          </w:p>
        </w:tc>
        <w:tc>
          <w:tcPr>
            <w:tcW w:w="1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76</w:t>
            </w: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14</w:t>
            </w: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(56)</w:t>
            </w: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102</w:t>
            </w:r>
          </w:p>
        </w:tc>
      </w:tr>
      <w:tr>
        <w:trPr>
          <w:trHeight w:val="22"/>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8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Income tax expense</w:t>
            </w: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r>
      <w:tr>
        <w:trPr>
          <w:trHeight w:val="167"/>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Net Income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18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68</w:t>
            </w:r>
          </w:p>
        </w:tc>
        <w:tc>
          <w:tcPr>
            <w:tcW w:w="100" w:type="dxa"/>
            <w:vAlign w:val="bottom"/>
            <w:tcBorders>
              <w:bottom w:val="single" w:sz="8" w:color="CCEEFF"/>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768"/>
              <w:spacing w:after="0"/>
              <w:rPr>
                <w:sz w:val="20"/>
                <w:szCs w:val="20"/>
                <w:color w:val="auto"/>
              </w:rPr>
            </w:pPr>
            <w:r>
              <w:rPr>
                <w:rFonts w:ascii="Arial" w:cs="Arial" w:eastAsia="Arial" w:hAnsi="Arial"/>
                <w:sz w:val="11"/>
                <w:szCs w:val="11"/>
                <w:color w:val="auto"/>
                <w:w w:val="97"/>
              </w:rPr>
              <w:t>$</w:t>
            </w:r>
          </w:p>
        </w:tc>
        <w:tc>
          <w:tcPr>
            <w:tcW w:w="38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76</w:t>
            </w:r>
          </w:p>
        </w:tc>
        <w:tc>
          <w:tcPr>
            <w:tcW w:w="12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14</w:t>
            </w:r>
          </w:p>
        </w:tc>
        <w:tc>
          <w:tcPr>
            <w:tcW w:w="12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(62)</w:t>
            </w:r>
          </w:p>
        </w:tc>
        <w:tc>
          <w:tcPr>
            <w:tcW w:w="12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96</w:t>
            </w:r>
          </w:p>
        </w:tc>
      </w:tr>
      <w:tr>
        <w:trPr>
          <w:trHeight w:val="151"/>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 Assets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1,828</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ind w:right="768"/>
              <w:spacing w:after="0"/>
              <w:rPr>
                <w:sz w:val="20"/>
                <w:szCs w:val="20"/>
                <w:color w:val="auto"/>
              </w:rPr>
            </w:pPr>
            <w:r>
              <w:rPr>
                <w:rFonts w:ascii="Arial" w:cs="Arial" w:eastAsia="Arial" w:hAnsi="Arial"/>
                <w:sz w:val="11"/>
                <w:szCs w:val="11"/>
                <w:color w:val="auto"/>
                <w:w w:val="97"/>
              </w:rPr>
              <w:t>$</w:t>
            </w:r>
          </w:p>
        </w:tc>
        <w:tc>
          <w:tcPr>
            <w:tcW w:w="3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87"/>
              </w:rPr>
              <w:t>5,937</w:t>
            </w:r>
          </w:p>
        </w:tc>
        <w:tc>
          <w:tcPr>
            <w:tcW w:w="380" w:type="dxa"/>
            <w:vAlign w:val="bottom"/>
            <w:tcBorders>
              <w:bottom w:val="single" w:sz="8" w:color="CCEEFF"/>
            </w:tcBorders>
            <w:gridSpan w:val="2"/>
            <w:shd w:val="clear" w:color="auto" w:fill="CCEEFF"/>
          </w:tcPr>
          <w:p>
            <w:pPr>
              <w:jc w:val="right"/>
              <w:ind w:right="151"/>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512</w:t>
            </w: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171</w:t>
            </w: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8,448</w:t>
            </w:r>
          </w:p>
        </w:tc>
      </w:tr>
      <w:tr>
        <w:trPr>
          <w:trHeight w:val="266"/>
        </w:trPr>
        <w:tc>
          <w:tcPr>
            <w:tcW w:w="47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0"/>
                <w:szCs w:val="10"/>
                <w:b w:val="1"/>
                <w:bCs w:val="1"/>
                <w:color w:val="auto"/>
                <w:w w:val="85"/>
              </w:rPr>
              <w:t>Six months ended June 30, 2017</w:t>
            </w: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r>
      <w:tr>
        <w:trPr>
          <w:trHeight w:val="16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(In millions)</w:t>
            </w: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6"/>
              <w:spacing w:after="0"/>
              <w:rPr>
                <w:sz w:val="20"/>
                <w:szCs w:val="20"/>
                <w:color w:val="auto"/>
              </w:rPr>
            </w:pPr>
            <w:r>
              <w:rPr>
                <w:rFonts w:ascii="Arial" w:cs="Arial" w:eastAsia="Arial" w:hAnsi="Arial"/>
                <w:sz w:val="10"/>
                <w:szCs w:val="10"/>
                <w:b w:val="1"/>
                <w:bCs w:val="1"/>
                <w:color w:val="auto"/>
                <w:w w:val="87"/>
              </w:rPr>
              <w:t>Conventional Generation</w:t>
            </w: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Renewables</w:t>
            </w: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86"/>
              <w:spacing w:after="0"/>
              <w:rPr>
                <w:sz w:val="20"/>
                <w:szCs w:val="20"/>
                <w:color w:val="auto"/>
              </w:rPr>
            </w:pPr>
            <w:r>
              <w:rPr>
                <w:rFonts w:ascii="Arial" w:cs="Arial" w:eastAsia="Arial" w:hAnsi="Arial"/>
                <w:sz w:val="10"/>
                <w:szCs w:val="10"/>
                <w:b w:val="1"/>
                <w:bCs w:val="1"/>
                <w:color w:val="auto"/>
                <w:w w:val="92"/>
              </w:rPr>
              <w:t>Thermal</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66"/>
              <w:spacing w:after="0"/>
              <w:rPr>
                <w:sz w:val="20"/>
                <w:szCs w:val="20"/>
                <w:color w:val="auto"/>
              </w:rPr>
            </w:pPr>
            <w:r>
              <w:rPr>
                <w:rFonts w:ascii="Arial" w:cs="Arial" w:eastAsia="Arial" w:hAnsi="Arial"/>
                <w:sz w:val="10"/>
                <w:szCs w:val="10"/>
                <w:b w:val="1"/>
                <w:bCs w:val="1"/>
                <w:color w:val="auto"/>
              </w:rPr>
              <w:t>Corporate</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66"/>
              <w:spacing w:after="0"/>
              <w:rPr>
                <w:sz w:val="20"/>
                <w:szCs w:val="20"/>
                <w:color w:val="auto"/>
              </w:rPr>
            </w:pPr>
            <w:r>
              <w:rPr>
                <w:rFonts w:ascii="Arial" w:cs="Arial" w:eastAsia="Arial" w:hAnsi="Arial"/>
                <w:sz w:val="10"/>
                <w:szCs w:val="10"/>
                <w:b w:val="1"/>
                <w:bCs w:val="1"/>
                <w:color w:val="auto"/>
              </w:rPr>
              <w:t>Total</w:t>
            </w:r>
          </w:p>
        </w:tc>
      </w:tr>
      <w:tr>
        <w:trPr>
          <w:trHeight w:val="1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Operating revenues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158</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jc w:val="right"/>
              <w:ind w:right="768"/>
              <w:spacing w:after="0"/>
              <w:rPr>
                <w:sz w:val="20"/>
                <w:szCs w:val="20"/>
                <w:color w:val="auto"/>
              </w:rPr>
            </w:pPr>
            <w:r>
              <w:rPr>
                <w:rFonts w:ascii="Arial" w:cs="Arial" w:eastAsia="Arial" w:hAnsi="Arial"/>
                <w:sz w:val="11"/>
                <w:szCs w:val="11"/>
                <w:color w:val="auto"/>
                <w:w w:val="97"/>
              </w:rPr>
              <w:t>$</w:t>
            </w:r>
          </w:p>
        </w:tc>
        <w:tc>
          <w:tcPr>
            <w:tcW w:w="3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267</w:t>
            </w:r>
          </w:p>
        </w:tc>
        <w:tc>
          <w:tcPr>
            <w:tcW w:w="380" w:type="dxa"/>
            <w:vAlign w:val="bottom"/>
            <w:tcBorders>
              <w:bottom w:val="single" w:sz="8" w:color="CCEEFF"/>
            </w:tcBorders>
            <w:gridSpan w:val="2"/>
            <w:shd w:val="clear" w:color="auto" w:fill="CCEEFF"/>
          </w:tcPr>
          <w:p>
            <w:pPr>
              <w:jc w:val="right"/>
              <w:ind w:right="151"/>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84</w:t>
            </w:r>
          </w:p>
        </w:tc>
        <w:tc>
          <w:tcPr>
            <w:tcW w:w="1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509</w:t>
            </w:r>
          </w:p>
        </w:tc>
      </w:tr>
      <w:tr>
        <w:trPr>
          <w:trHeight w:val="158"/>
        </w:trPr>
        <w:tc>
          <w:tcPr>
            <w:tcW w:w="4700" w:type="dxa"/>
            <w:vAlign w:val="bottom"/>
          </w:tcPr>
          <w:p>
            <w:pPr>
              <w:ind w:left="20"/>
              <w:spacing w:after="0"/>
              <w:rPr>
                <w:sz w:val="20"/>
                <w:szCs w:val="20"/>
                <w:color w:val="auto"/>
              </w:rPr>
            </w:pPr>
            <w:r>
              <w:rPr>
                <w:rFonts w:ascii="Arial" w:cs="Arial" w:eastAsia="Arial" w:hAnsi="Arial"/>
                <w:sz w:val="11"/>
                <w:szCs w:val="11"/>
                <w:color w:val="auto"/>
              </w:rPr>
              <w:t>Cost of operations</w:t>
            </w:r>
          </w:p>
        </w:tc>
        <w:tc>
          <w:tcPr>
            <w:tcW w:w="100" w:type="dxa"/>
            <w:vAlign w:val="bottom"/>
          </w:tcPr>
          <w:p>
            <w:pPr>
              <w:spacing w:after="0"/>
              <w:rPr>
                <w:sz w:val="13"/>
                <w:szCs w:val="13"/>
                <w:color w:val="auto"/>
              </w:rPr>
            </w:pPr>
          </w:p>
        </w:tc>
        <w:tc>
          <w:tcPr>
            <w:tcW w:w="1180" w:type="dxa"/>
            <w:vAlign w:val="bottom"/>
          </w:tcPr>
          <w:p>
            <w:pPr>
              <w:jc w:val="right"/>
              <w:ind w:right="66"/>
              <w:spacing w:after="0"/>
              <w:rPr>
                <w:sz w:val="20"/>
                <w:szCs w:val="20"/>
                <w:color w:val="auto"/>
              </w:rPr>
            </w:pPr>
            <w:r>
              <w:rPr>
                <w:rFonts w:ascii="Arial" w:cs="Arial" w:eastAsia="Arial" w:hAnsi="Arial"/>
                <w:sz w:val="11"/>
                <w:szCs w:val="11"/>
                <w:color w:val="auto"/>
              </w:rPr>
              <w:t>37</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jc w:val="right"/>
              <w:ind w:right="66"/>
              <w:spacing w:after="0"/>
              <w:rPr>
                <w:sz w:val="20"/>
                <w:szCs w:val="20"/>
                <w:color w:val="auto"/>
              </w:rPr>
            </w:pPr>
            <w:r>
              <w:rPr>
                <w:rFonts w:ascii="Arial" w:cs="Arial" w:eastAsia="Arial" w:hAnsi="Arial"/>
                <w:sz w:val="11"/>
                <w:szCs w:val="11"/>
                <w:color w:val="auto"/>
              </w:rPr>
              <w:t>68</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57</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162</w:t>
            </w:r>
          </w:p>
        </w:tc>
      </w:tr>
      <w:tr>
        <w:trPr>
          <w:trHeight w:val="22"/>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Depreciation and amortization</w:t>
            </w:r>
          </w:p>
        </w:tc>
        <w:tc>
          <w:tcPr>
            <w:tcW w:w="10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50</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96</w:t>
            </w:r>
          </w:p>
        </w:tc>
        <w:tc>
          <w:tcPr>
            <w:tcW w:w="1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156</w:t>
            </w:r>
          </w:p>
        </w:tc>
      </w:tr>
      <w:tr>
        <w:trPr>
          <w:trHeight w:val="158"/>
        </w:trPr>
        <w:tc>
          <w:tcPr>
            <w:tcW w:w="4700" w:type="dxa"/>
            <w:vAlign w:val="bottom"/>
          </w:tcPr>
          <w:p>
            <w:pPr>
              <w:ind w:left="20"/>
              <w:spacing w:after="0"/>
              <w:rPr>
                <w:sz w:val="20"/>
                <w:szCs w:val="20"/>
                <w:color w:val="auto"/>
              </w:rPr>
            </w:pPr>
            <w:r>
              <w:rPr>
                <w:rFonts w:ascii="Arial" w:cs="Arial" w:eastAsia="Arial" w:hAnsi="Arial"/>
                <w:sz w:val="11"/>
                <w:szCs w:val="11"/>
                <w:color w:val="auto"/>
              </w:rPr>
              <w:t>General and administrative</w:t>
            </w:r>
          </w:p>
        </w:tc>
        <w:tc>
          <w:tcPr>
            <w:tcW w:w="100" w:type="dxa"/>
            <w:vAlign w:val="bottom"/>
          </w:tcPr>
          <w:p>
            <w:pPr>
              <w:spacing w:after="0"/>
              <w:rPr>
                <w:sz w:val="13"/>
                <w:szCs w:val="1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tcPr>
          <w:p>
            <w:pPr>
              <w:spacing w:after="0"/>
              <w:rPr>
                <w:sz w:val="13"/>
                <w:szCs w:val="13"/>
                <w:color w:val="auto"/>
              </w:rPr>
            </w:pPr>
          </w:p>
        </w:tc>
        <w:tc>
          <w:tcPr>
            <w:tcW w:w="3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1020" w:type="dxa"/>
            <w:vAlign w:val="bottom"/>
          </w:tcPr>
          <w:p>
            <w:pPr>
              <w:jc w:val="right"/>
              <w:ind w:right="46"/>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10</w:t>
            </w:r>
          </w:p>
        </w:tc>
      </w:tr>
      <w:tr>
        <w:trPr>
          <w:trHeight w:val="22"/>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8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Acquisition-related transaction and integration costs</w:t>
            </w: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r>
      <w:tr>
        <w:trPr>
          <w:trHeight w:val="138"/>
        </w:trPr>
        <w:tc>
          <w:tcPr>
            <w:tcW w:w="4700" w:type="dxa"/>
            <w:vAlign w:val="bottom"/>
          </w:tcPr>
          <w:p>
            <w:pPr>
              <w:ind w:left="20"/>
              <w:spacing w:after="0"/>
              <w:rPr>
                <w:sz w:val="20"/>
                <w:szCs w:val="20"/>
                <w:color w:val="auto"/>
              </w:rPr>
            </w:pPr>
            <w:r>
              <w:rPr>
                <w:rFonts w:ascii="Arial" w:cs="Arial" w:eastAsia="Arial" w:hAnsi="Arial"/>
                <w:sz w:val="11"/>
                <w:szCs w:val="11"/>
                <w:color w:val="auto"/>
              </w:rPr>
              <w:t>Operating income (loss)</w:t>
            </w: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71</w:t>
            </w:r>
          </w:p>
        </w:tc>
        <w:tc>
          <w:tcPr>
            <w:tcW w:w="1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103</w:t>
            </w: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17</w:t>
            </w: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(12)</w:t>
            </w: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179</w:t>
            </w:r>
          </w:p>
        </w:tc>
      </w:tr>
      <w:tr>
        <w:trPr>
          <w:trHeight w:val="22"/>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Equity in earnings of unconsolidated affiliates</w:t>
            </w:r>
          </w:p>
        </w:tc>
        <w:tc>
          <w:tcPr>
            <w:tcW w:w="10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w:t>
            </w:r>
          </w:p>
        </w:tc>
        <w:tc>
          <w:tcPr>
            <w:tcW w:w="1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w:t>
            </w:r>
          </w:p>
        </w:tc>
      </w:tr>
      <w:tr>
        <w:trPr>
          <w:trHeight w:val="158"/>
        </w:trPr>
        <w:tc>
          <w:tcPr>
            <w:tcW w:w="4700" w:type="dxa"/>
            <w:vAlign w:val="bottom"/>
          </w:tcPr>
          <w:p>
            <w:pPr>
              <w:ind w:left="20"/>
              <w:spacing w:after="0"/>
              <w:rPr>
                <w:sz w:val="20"/>
                <w:szCs w:val="20"/>
                <w:color w:val="auto"/>
              </w:rPr>
            </w:pPr>
            <w:r>
              <w:rPr>
                <w:rFonts w:ascii="Arial" w:cs="Arial" w:eastAsia="Arial" w:hAnsi="Arial"/>
                <w:sz w:val="11"/>
                <w:szCs w:val="11"/>
                <w:color w:val="auto"/>
              </w:rPr>
              <w:t>Other income, net</w:t>
            </w:r>
          </w:p>
        </w:tc>
        <w:tc>
          <w:tcPr>
            <w:tcW w:w="100" w:type="dxa"/>
            <w:vAlign w:val="bottom"/>
          </w:tcPr>
          <w:p>
            <w:pPr>
              <w:spacing w:after="0"/>
              <w:rPr>
                <w:sz w:val="13"/>
                <w:szCs w:val="1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tcPr>
          <w:p>
            <w:pPr>
              <w:spacing w:after="0"/>
              <w:rPr>
                <w:sz w:val="13"/>
                <w:szCs w:val="13"/>
                <w:color w:val="auto"/>
              </w:rPr>
            </w:pPr>
          </w:p>
        </w:tc>
        <w:tc>
          <w:tcPr>
            <w:tcW w:w="3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10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2</w:t>
            </w:r>
          </w:p>
        </w:tc>
      </w:tr>
      <w:tr>
        <w:trPr>
          <w:trHeight w:val="22"/>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Loss on debt extinguishment</w:t>
            </w:r>
          </w:p>
        </w:tc>
        <w:tc>
          <w:tcPr>
            <w:tcW w:w="10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w:t>
            </w:r>
          </w:p>
        </w:tc>
      </w:tr>
      <w:tr>
        <w:trPr>
          <w:trHeight w:val="158"/>
        </w:trPr>
        <w:tc>
          <w:tcPr>
            <w:tcW w:w="4700" w:type="dxa"/>
            <w:vAlign w:val="bottom"/>
          </w:tcPr>
          <w:p>
            <w:pPr>
              <w:ind w:left="20"/>
              <w:spacing w:after="0"/>
              <w:rPr>
                <w:sz w:val="20"/>
                <w:szCs w:val="20"/>
                <w:color w:val="auto"/>
              </w:rPr>
            </w:pPr>
            <w:r>
              <w:rPr>
                <w:rFonts w:ascii="Arial" w:cs="Arial" w:eastAsia="Arial" w:hAnsi="Arial"/>
                <w:sz w:val="11"/>
                <w:szCs w:val="11"/>
                <w:color w:val="auto"/>
              </w:rPr>
              <w:t>Interest expense</w:t>
            </w:r>
          </w:p>
        </w:tc>
        <w:tc>
          <w:tcPr>
            <w:tcW w:w="100" w:type="dxa"/>
            <w:vAlign w:val="bottom"/>
          </w:tcPr>
          <w:p>
            <w:pPr>
              <w:spacing w:after="0"/>
              <w:rPr>
                <w:sz w:val="13"/>
                <w:szCs w:val="13"/>
                <w:color w:val="auto"/>
              </w:rPr>
            </w:pPr>
          </w:p>
        </w:tc>
        <w:tc>
          <w:tcPr>
            <w:tcW w:w="1180" w:type="dxa"/>
            <w:vAlign w:val="bottom"/>
          </w:tcPr>
          <w:p>
            <w:pPr>
              <w:jc w:val="right"/>
              <w:ind w:right="26"/>
              <w:spacing w:after="0"/>
              <w:rPr>
                <w:sz w:val="20"/>
                <w:szCs w:val="20"/>
                <w:color w:val="auto"/>
              </w:rPr>
            </w:pPr>
            <w:r>
              <w:rPr>
                <w:rFonts w:ascii="Arial" w:cs="Arial" w:eastAsia="Arial" w:hAnsi="Arial"/>
                <w:sz w:val="11"/>
                <w:szCs w:val="11"/>
                <w:color w:val="auto"/>
              </w:rPr>
              <w:t>(26)</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jc w:val="right"/>
              <w:ind w:right="26"/>
              <w:spacing w:after="0"/>
              <w:rPr>
                <w:sz w:val="20"/>
                <w:szCs w:val="20"/>
                <w:color w:val="auto"/>
              </w:rPr>
            </w:pPr>
            <w:r>
              <w:rPr>
                <w:rFonts w:ascii="Arial" w:cs="Arial" w:eastAsia="Arial" w:hAnsi="Arial"/>
                <w:sz w:val="11"/>
                <w:szCs w:val="11"/>
                <w:color w:val="auto"/>
              </w:rPr>
              <w:t>(92)</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2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(42)</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26"/>
              <w:spacing w:after="0"/>
              <w:rPr>
                <w:sz w:val="20"/>
                <w:szCs w:val="20"/>
                <w:color w:val="auto"/>
              </w:rPr>
            </w:pPr>
            <w:r>
              <w:rPr>
                <w:rFonts w:ascii="Arial" w:cs="Arial" w:eastAsia="Arial" w:hAnsi="Arial"/>
                <w:sz w:val="11"/>
                <w:szCs w:val="11"/>
                <w:color w:val="auto"/>
              </w:rPr>
              <w:t>(165)</w:t>
            </w:r>
          </w:p>
        </w:tc>
      </w:tr>
      <w:tr>
        <w:trPr>
          <w:trHeight w:val="22"/>
        </w:trPr>
        <w:tc>
          <w:tcPr>
            <w:tcW w:w="4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4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Income (loss) before income taxes</w:t>
            </w:r>
          </w:p>
        </w:tc>
        <w:tc>
          <w:tcPr>
            <w:tcW w:w="10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51</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39</w:t>
            </w:r>
          </w:p>
        </w:tc>
        <w:tc>
          <w:tcPr>
            <w:tcW w:w="1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(53)</w:t>
            </w:r>
          </w:p>
        </w:tc>
        <w:tc>
          <w:tcPr>
            <w:tcW w:w="1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49</w:t>
            </w:r>
          </w:p>
        </w:tc>
      </w:tr>
      <w:tr>
        <w:trPr>
          <w:trHeight w:val="158"/>
        </w:trPr>
        <w:tc>
          <w:tcPr>
            <w:tcW w:w="4700" w:type="dxa"/>
            <w:vAlign w:val="bottom"/>
          </w:tcPr>
          <w:p>
            <w:pPr>
              <w:ind w:left="20"/>
              <w:spacing w:after="0"/>
              <w:rPr>
                <w:sz w:val="20"/>
                <w:szCs w:val="20"/>
                <w:color w:val="auto"/>
              </w:rPr>
            </w:pPr>
            <w:r>
              <w:rPr>
                <w:rFonts w:ascii="Arial" w:cs="Arial" w:eastAsia="Arial" w:hAnsi="Arial"/>
                <w:sz w:val="11"/>
                <w:szCs w:val="11"/>
                <w:color w:val="auto"/>
              </w:rPr>
              <w:t>Income tax expense</w:t>
            </w:r>
          </w:p>
        </w:tc>
        <w:tc>
          <w:tcPr>
            <w:tcW w:w="100" w:type="dxa"/>
            <w:vAlign w:val="bottom"/>
          </w:tcPr>
          <w:p>
            <w:pPr>
              <w:spacing w:after="0"/>
              <w:rPr>
                <w:sz w:val="13"/>
                <w:szCs w:val="1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tcPr>
          <w:p>
            <w:pPr>
              <w:spacing w:after="0"/>
              <w:rPr>
                <w:sz w:val="13"/>
                <w:szCs w:val="13"/>
                <w:color w:val="auto"/>
              </w:rPr>
            </w:pPr>
          </w:p>
        </w:tc>
        <w:tc>
          <w:tcPr>
            <w:tcW w:w="3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1020" w:type="dxa"/>
            <w:vAlign w:val="bottom"/>
          </w:tcPr>
          <w:p>
            <w:pPr>
              <w:jc w:val="right"/>
              <w:ind w:right="46"/>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7</w:t>
            </w:r>
          </w:p>
        </w:tc>
      </w:tr>
      <w:tr>
        <w:trPr>
          <w:trHeight w:val="22"/>
        </w:trPr>
        <w:tc>
          <w:tcPr>
            <w:tcW w:w="4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7"/>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Net Income (Loss)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51</w:t>
            </w: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1"/>
                <w:szCs w:val="11"/>
                <w:color w:val="auto"/>
                <w:w w:val="97"/>
              </w:rPr>
              <w:t>$</w:t>
            </w:r>
          </w:p>
        </w:tc>
        <w:tc>
          <w:tcPr>
            <w:tcW w:w="3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39</w:t>
            </w: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(60)</w:t>
            </w:r>
          </w:p>
        </w:tc>
        <w:tc>
          <w:tcPr>
            <w:tcW w:w="1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42</w:t>
            </w:r>
          </w:p>
        </w:tc>
      </w:tr>
    </w:tbl>
    <w:p>
      <w:pPr>
        <w:spacing w:after="0" w:line="3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Note 11 — </w:t>
      </w:r>
      <w:r>
        <w:rPr>
          <w:rFonts w:ascii="Arial" w:cs="Arial" w:eastAsia="Arial" w:hAnsi="Arial"/>
          <w:sz w:val="12"/>
          <w:szCs w:val="12"/>
          <w:b w:val="1"/>
          <w:bCs w:val="1"/>
          <w:i w:val="1"/>
          <w:iCs w:val="1"/>
          <w:color w:val="auto"/>
        </w:rPr>
        <w:t>Income Taxes</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Effective Tax Rate</w:t>
      </w:r>
    </w:p>
    <w:p>
      <w:pPr>
        <w:spacing w:after="0" w:line="87"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income tax provision consisted of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562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2"/>
          </w:tcPr>
          <w:p>
            <w:pPr>
              <w:jc w:val="center"/>
              <w:ind w:right="286"/>
              <w:spacing w:after="0"/>
              <w:rPr>
                <w:sz w:val="20"/>
                <w:szCs w:val="20"/>
                <w:color w:val="auto"/>
              </w:rPr>
            </w:pPr>
            <w:r>
              <w:rPr>
                <w:rFonts w:ascii="Arial" w:cs="Arial" w:eastAsia="Arial" w:hAnsi="Arial"/>
                <w:sz w:val="10"/>
                <w:szCs w:val="10"/>
                <w:b w:val="1"/>
                <w:bCs w:val="1"/>
                <w:color w:val="auto"/>
                <w:w w:val="86"/>
              </w:rPr>
              <w:t>Three months ended June 30,</w:t>
            </w:r>
          </w:p>
        </w:tc>
        <w:tc>
          <w:tcPr>
            <w:tcW w:w="4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Six months ended June 30,</w:t>
            </w:r>
          </w:p>
        </w:tc>
        <w:tc>
          <w:tcPr>
            <w:tcW w:w="840" w:type="dxa"/>
            <w:vAlign w:val="bottom"/>
            <w:tcBorders>
              <w:bottom w:val="single" w:sz="8" w:color="auto"/>
            </w:tcBorders>
          </w:tcPr>
          <w:p>
            <w:pPr>
              <w:spacing w:after="0"/>
              <w:rPr>
                <w:sz w:val="11"/>
                <w:szCs w:val="11"/>
                <w:color w:val="auto"/>
              </w:rPr>
            </w:pPr>
          </w:p>
        </w:tc>
      </w:tr>
      <w:tr>
        <w:trPr>
          <w:trHeight w:val="169"/>
        </w:trPr>
        <w:tc>
          <w:tcPr>
            <w:tcW w:w="562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2018</w:t>
            </w:r>
          </w:p>
        </w:tc>
        <w:tc>
          <w:tcPr>
            <w:tcW w:w="6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6"/>
              <w:spacing w:after="0"/>
              <w:rPr>
                <w:sz w:val="20"/>
                <w:szCs w:val="20"/>
                <w:color w:val="auto"/>
              </w:rPr>
            </w:pPr>
            <w:r>
              <w:rPr>
                <w:rFonts w:ascii="Arial" w:cs="Arial" w:eastAsia="Arial" w:hAnsi="Arial"/>
                <w:sz w:val="10"/>
                <w:szCs w:val="10"/>
                <w:b w:val="1"/>
                <w:bCs w:val="1"/>
                <w:color w:val="auto"/>
              </w:rPr>
              <w:t>2017</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86"/>
              <w:spacing w:after="0"/>
              <w:rPr>
                <w:sz w:val="20"/>
                <w:szCs w:val="20"/>
                <w:color w:val="auto"/>
              </w:rPr>
            </w:pPr>
            <w:r>
              <w:rPr>
                <w:rFonts w:ascii="Arial" w:cs="Arial" w:eastAsia="Arial" w:hAnsi="Arial"/>
                <w:sz w:val="10"/>
                <w:szCs w:val="10"/>
                <w:b w:val="1"/>
                <w:bCs w:val="1"/>
                <w:color w:val="auto"/>
              </w:rPr>
              <w:t>2018</w:t>
            </w:r>
          </w:p>
        </w:tc>
        <w:tc>
          <w:tcPr>
            <w:tcW w:w="6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543"/>
              <w:spacing w:after="0"/>
              <w:rPr>
                <w:sz w:val="20"/>
                <w:szCs w:val="20"/>
                <w:color w:val="auto"/>
              </w:rPr>
            </w:pPr>
            <w:r>
              <w:rPr>
                <w:rFonts w:ascii="Arial" w:cs="Arial" w:eastAsia="Arial" w:hAnsi="Arial"/>
                <w:sz w:val="10"/>
                <w:szCs w:val="10"/>
                <w:b w:val="1"/>
                <w:bCs w:val="1"/>
                <w:color w:val="auto"/>
                <w:w w:val="98"/>
              </w:rPr>
              <w:t>2017</w:t>
            </w:r>
          </w:p>
        </w:tc>
      </w:tr>
      <w:tr>
        <w:trPr>
          <w:trHeight w:val="160"/>
        </w:trPr>
        <w:tc>
          <w:tcPr>
            <w:tcW w:w="5620" w:type="dxa"/>
            <w:vAlign w:val="bottom"/>
          </w:tcPr>
          <w:p>
            <w:pPr>
              <w:spacing w:after="0"/>
              <w:rPr>
                <w:sz w:val="13"/>
                <w:szCs w:val="13"/>
                <w:color w:val="auto"/>
              </w:rPr>
            </w:pPr>
          </w:p>
        </w:tc>
        <w:tc>
          <w:tcPr>
            <w:tcW w:w="2420" w:type="dxa"/>
            <w:vAlign w:val="bottom"/>
            <w:gridSpan w:val="3"/>
          </w:tcPr>
          <w:p>
            <w:pPr>
              <w:jc w:val="center"/>
              <w:ind w:left="448"/>
              <w:spacing w:after="0"/>
              <w:rPr>
                <w:sz w:val="20"/>
                <w:szCs w:val="20"/>
                <w:color w:val="auto"/>
              </w:rPr>
            </w:pPr>
            <w:r>
              <w:rPr>
                <w:rFonts w:ascii="Arial" w:cs="Arial" w:eastAsia="Arial" w:hAnsi="Arial"/>
                <w:sz w:val="10"/>
                <w:szCs w:val="10"/>
                <w:b w:val="1"/>
                <w:bCs w:val="1"/>
                <w:color w:val="auto"/>
                <w:w w:val="85"/>
              </w:rPr>
              <w:t>(In millions, except percentages)</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40" w:type="dxa"/>
            <w:vAlign w:val="bottom"/>
            <w:gridSpan w:val="3"/>
          </w:tcPr>
          <w:p>
            <w:pPr>
              <w:jc w:val="right"/>
              <w:ind w:right="703"/>
              <w:spacing w:after="0"/>
              <w:rPr>
                <w:sz w:val="20"/>
                <w:szCs w:val="20"/>
                <w:color w:val="auto"/>
              </w:rPr>
            </w:pPr>
            <w:r>
              <w:rPr>
                <w:rFonts w:ascii="Arial" w:cs="Arial" w:eastAsia="Arial" w:hAnsi="Arial"/>
                <w:sz w:val="10"/>
                <w:szCs w:val="10"/>
                <w:b w:val="1"/>
                <w:bCs w:val="1"/>
                <w:color w:val="auto"/>
              </w:rPr>
              <w:t>(In millions, except percentages)</w:t>
            </w:r>
          </w:p>
        </w:tc>
      </w:tr>
      <w:tr>
        <w:trPr>
          <w:trHeight w:val="184"/>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before income taxes</w:t>
            </w:r>
          </w:p>
        </w:tc>
        <w:tc>
          <w:tcPr>
            <w:tcW w:w="820" w:type="dxa"/>
            <w:vAlign w:val="bottom"/>
            <w:shd w:val="clear" w:color="auto" w:fill="CCEEFF"/>
          </w:tcPr>
          <w:p>
            <w:pPr>
              <w:jc w:val="right"/>
              <w:ind w:right="688"/>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jc w:val="right"/>
              <w:ind w:right="103"/>
              <w:spacing w:after="0"/>
              <w:rPr>
                <w:sz w:val="20"/>
                <w:szCs w:val="20"/>
                <w:color w:val="auto"/>
              </w:rPr>
            </w:pPr>
            <w:r>
              <w:rPr>
                <w:rFonts w:ascii="Arial" w:cs="Arial" w:eastAsia="Arial" w:hAnsi="Arial"/>
                <w:sz w:val="12"/>
                <w:szCs w:val="12"/>
                <w:color w:val="auto"/>
              </w:rPr>
              <w:t>103</w:t>
            </w:r>
          </w:p>
        </w:tc>
        <w:tc>
          <w:tcPr>
            <w:tcW w:w="980" w:type="dxa"/>
            <w:vAlign w:val="bottom"/>
            <w:shd w:val="clear" w:color="auto" w:fill="CCEEFF"/>
          </w:tcPr>
          <w:p>
            <w:pPr>
              <w:jc w:val="right"/>
              <w:ind w:right="786"/>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52</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ind w:right="126"/>
              <w:spacing w:after="0"/>
              <w:rPr>
                <w:sz w:val="20"/>
                <w:szCs w:val="20"/>
                <w:color w:val="auto"/>
              </w:rPr>
            </w:pPr>
            <w:r>
              <w:rPr>
                <w:rFonts w:ascii="Arial" w:cs="Arial" w:eastAsia="Arial" w:hAnsi="Arial"/>
                <w:sz w:val="12"/>
                <w:szCs w:val="12"/>
                <w:color w:val="auto"/>
              </w:rPr>
              <w:t>102</w:t>
            </w:r>
          </w:p>
        </w:tc>
        <w:tc>
          <w:tcPr>
            <w:tcW w:w="60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49</w:t>
            </w:r>
          </w:p>
        </w:tc>
      </w:tr>
      <w:tr>
        <w:trPr>
          <w:trHeight w:val="171"/>
        </w:trPr>
        <w:tc>
          <w:tcPr>
            <w:tcW w:w="5620" w:type="dxa"/>
            <w:vAlign w:val="bottom"/>
          </w:tcPr>
          <w:p>
            <w:pPr>
              <w:ind w:left="20"/>
              <w:spacing w:after="0"/>
              <w:rPr>
                <w:sz w:val="20"/>
                <w:szCs w:val="20"/>
                <w:color w:val="auto"/>
              </w:rPr>
            </w:pPr>
            <w:r>
              <w:rPr>
                <w:rFonts w:ascii="Arial" w:cs="Arial" w:eastAsia="Arial" w:hAnsi="Arial"/>
                <w:sz w:val="12"/>
                <w:szCs w:val="12"/>
                <w:color w:val="auto"/>
              </w:rPr>
              <w:t>Income tax expense</w:t>
            </w:r>
          </w:p>
        </w:tc>
        <w:tc>
          <w:tcPr>
            <w:tcW w:w="820" w:type="dxa"/>
            <w:vAlign w:val="bottom"/>
          </w:tcPr>
          <w:p>
            <w:pPr>
              <w:spacing w:after="0"/>
              <w:rPr>
                <w:sz w:val="14"/>
                <w:szCs w:val="14"/>
                <w:color w:val="auto"/>
              </w:rPr>
            </w:pPr>
          </w:p>
        </w:tc>
        <w:tc>
          <w:tcPr>
            <w:tcW w:w="620" w:type="dxa"/>
            <w:vAlign w:val="bottom"/>
          </w:tcPr>
          <w:p>
            <w:pPr>
              <w:jc w:val="right"/>
              <w:ind w:right="103"/>
              <w:spacing w:after="0"/>
              <w:rPr>
                <w:sz w:val="20"/>
                <w:szCs w:val="20"/>
                <w:color w:val="auto"/>
              </w:rPr>
            </w:pPr>
            <w:r>
              <w:rPr>
                <w:rFonts w:ascii="Arial" w:cs="Arial" w:eastAsia="Arial" w:hAnsi="Arial"/>
                <w:sz w:val="12"/>
                <w:szCs w:val="12"/>
                <w:color w:val="auto"/>
              </w:rPr>
              <w:t>7</w:t>
            </w:r>
          </w:p>
        </w:tc>
        <w:tc>
          <w:tcPr>
            <w:tcW w:w="980" w:type="dxa"/>
            <w:vAlign w:val="bottom"/>
          </w:tcPr>
          <w:p>
            <w:pPr>
              <w:spacing w:after="0"/>
              <w:rPr>
                <w:sz w:val="14"/>
                <w:szCs w:val="14"/>
                <w:color w:val="auto"/>
              </w:rPr>
            </w:pPr>
          </w:p>
        </w:tc>
        <w:tc>
          <w:tcPr>
            <w:tcW w:w="460" w:type="dxa"/>
            <w:vAlign w:val="bottom"/>
          </w:tcPr>
          <w:p>
            <w:pPr>
              <w:jc w:val="right"/>
              <w:ind w:right="60"/>
              <w:spacing w:after="0"/>
              <w:rPr>
                <w:sz w:val="20"/>
                <w:szCs w:val="20"/>
                <w:color w:val="auto"/>
              </w:rPr>
            </w:pPr>
            <w:r>
              <w:rPr>
                <w:rFonts w:ascii="Arial" w:cs="Arial" w:eastAsia="Arial" w:hAnsi="Arial"/>
                <w:sz w:val="12"/>
                <w:szCs w:val="12"/>
                <w:color w:val="auto"/>
              </w:rPr>
              <w:t>8</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126"/>
              <w:spacing w:after="0"/>
              <w:rPr>
                <w:sz w:val="20"/>
                <w:szCs w:val="20"/>
                <w:color w:val="auto"/>
              </w:rPr>
            </w:pPr>
            <w:r>
              <w:rPr>
                <w:rFonts w:ascii="Arial" w:cs="Arial" w:eastAsia="Arial" w:hAnsi="Arial"/>
                <w:sz w:val="12"/>
                <w:szCs w:val="12"/>
                <w:color w:val="auto"/>
              </w:rPr>
              <w:t>6</w:t>
            </w:r>
          </w:p>
        </w:tc>
        <w:tc>
          <w:tcPr>
            <w:tcW w:w="600" w:type="dxa"/>
            <w:vAlign w:val="bottom"/>
          </w:tcPr>
          <w:p>
            <w:pPr>
              <w:spacing w:after="0"/>
              <w:rPr>
                <w:sz w:val="14"/>
                <w:szCs w:val="14"/>
                <w:color w:val="auto"/>
              </w:rPr>
            </w:pPr>
          </w:p>
        </w:tc>
        <w:tc>
          <w:tcPr>
            <w:tcW w:w="840" w:type="dxa"/>
            <w:vAlign w:val="bottom"/>
          </w:tcPr>
          <w:p>
            <w:pPr>
              <w:jc w:val="right"/>
              <w:ind w:right="63"/>
              <w:spacing w:after="0"/>
              <w:rPr>
                <w:sz w:val="20"/>
                <w:szCs w:val="20"/>
                <w:color w:val="auto"/>
              </w:rPr>
            </w:pPr>
            <w:r>
              <w:rPr>
                <w:rFonts w:ascii="Arial" w:cs="Arial" w:eastAsia="Arial" w:hAnsi="Arial"/>
                <w:sz w:val="12"/>
                <w:szCs w:val="12"/>
                <w:color w:val="auto"/>
              </w:rPr>
              <w:t>7</w:t>
            </w:r>
          </w:p>
        </w:tc>
      </w:tr>
      <w:tr>
        <w:trPr>
          <w:trHeight w:val="189"/>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Effective income tax rate</w:t>
            </w:r>
          </w:p>
        </w:tc>
        <w:tc>
          <w:tcPr>
            <w:tcW w:w="82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6.8%</w:t>
            </w:r>
          </w:p>
        </w:tc>
        <w:tc>
          <w:tcPr>
            <w:tcW w:w="9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15.4%</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6"/>
              <w:spacing w:after="0"/>
              <w:rPr>
                <w:sz w:val="20"/>
                <w:szCs w:val="20"/>
                <w:color w:val="auto"/>
              </w:rPr>
            </w:pPr>
            <w:r>
              <w:rPr>
                <w:rFonts w:ascii="Arial" w:cs="Arial" w:eastAsia="Arial" w:hAnsi="Arial"/>
                <w:sz w:val="12"/>
                <w:szCs w:val="12"/>
                <w:color w:val="auto"/>
              </w:rPr>
              <w:t>5.9%</w:t>
            </w:r>
          </w:p>
        </w:tc>
        <w:tc>
          <w:tcPr>
            <w:tcW w:w="6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14.3%</w:t>
            </w:r>
          </w:p>
        </w:tc>
      </w:tr>
    </w:tbl>
    <w:p>
      <w:pPr>
        <w:spacing w:after="0" w:line="171" w:lineRule="exact"/>
        <w:rPr>
          <w:sz w:val="20"/>
          <w:szCs w:val="20"/>
          <w:color w:val="auto"/>
        </w:rPr>
      </w:pPr>
    </w:p>
    <w:p>
      <w:pPr>
        <w:jc w:val="both"/>
        <w:ind w:right="20" w:firstLine="270"/>
        <w:spacing w:after="0" w:line="276" w:lineRule="auto"/>
        <w:rPr>
          <w:sz w:val="20"/>
          <w:szCs w:val="20"/>
          <w:color w:val="auto"/>
        </w:rPr>
      </w:pPr>
      <w:r>
        <w:rPr>
          <w:rFonts w:ascii="Arial" w:cs="Arial" w:eastAsia="Arial" w:hAnsi="Arial"/>
          <w:sz w:val="12"/>
          <w:szCs w:val="12"/>
          <w:color w:val="auto"/>
        </w:rPr>
        <w:t>For the three and six months ended June 30, 2018 and 2017, the overall effective tax rate was different than the statutory rate of 21% and 35%, respectively, primarily due to production and investment tax credits generated from certain wind and solar assets, respectively, and earnings allocated to NRG resulting from its interest in NRG Yield LLC.</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2"/>
          <w:szCs w:val="12"/>
          <w:color w:val="auto"/>
        </w:rPr>
        <w:t>For tax purposes, NRG Yield LLC is treated as a partnership; therefore, the Company and NRG each record their respective share of taxable income or loss.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11480"/>
          </w:cols>
          <w:pgMar w:left="220" w:top="611" w:right="199" w:bottom="1440" w:gutter="0" w:footer="0" w:header="0"/>
        </w:sectPr>
      </w:pPr>
    </w:p>
    <w:bookmarkStart w:id="33" w:name="page34"/>
    <w:bookmarkEnd w:id="33"/>
    <w:p>
      <w:pPr>
        <w:spacing w:after="0"/>
        <w:rPr>
          <w:sz w:val="20"/>
          <w:szCs w:val="20"/>
          <w:color w:val="auto"/>
        </w:rPr>
      </w:pPr>
      <w:r>
        <w:rPr>
          <w:rFonts w:ascii="Arial" w:cs="Arial" w:eastAsia="Arial" w:hAnsi="Arial"/>
          <w:sz w:val="12"/>
          <w:szCs w:val="12"/>
          <w:b w:val="1"/>
          <w:bCs w:val="1"/>
          <w:color w:val="auto"/>
        </w:rPr>
        <w:t xml:space="preserve">Note 12 — </w:t>
      </w:r>
      <w:r>
        <w:rPr>
          <w:rFonts w:ascii="Arial" w:cs="Arial" w:eastAsia="Arial" w:hAnsi="Arial"/>
          <w:sz w:val="12"/>
          <w:szCs w:val="12"/>
          <w:b w:val="1"/>
          <w:bCs w:val="1"/>
          <w:i w:val="1"/>
          <w:iCs w:val="1"/>
          <w:color w:val="auto"/>
        </w:rPr>
        <w:t>Related Party Transactions</w:t>
      </w:r>
    </w:p>
    <w:p>
      <w:pPr>
        <w:spacing w:after="0" w:line="118" w:lineRule="exact"/>
        <w:rPr>
          <w:sz w:val="20"/>
          <w:szCs w:val="20"/>
          <w:color w:val="auto"/>
        </w:rPr>
      </w:pPr>
    </w:p>
    <w:p>
      <w:pPr>
        <w:jc w:val="both"/>
        <w:ind w:firstLine="270"/>
        <w:spacing w:after="0" w:line="298" w:lineRule="auto"/>
        <w:rPr>
          <w:sz w:val="20"/>
          <w:szCs w:val="20"/>
          <w:color w:val="auto"/>
        </w:rPr>
      </w:pPr>
      <w:r>
        <w:rPr>
          <w:rFonts w:ascii="Arial" w:cs="Arial" w:eastAsia="Arial" w:hAnsi="Arial"/>
          <w:sz w:val="11"/>
          <w:szCs w:val="11"/>
          <w:color w:val="auto"/>
        </w:rPr>
        <w:t>In addition to the transactions and relationships described elsewhere in the notes to the consolidated financial statements, NRG or certain subsidiaries of NRG provide services to the Company's project entities. Amounts due to NRG or its subsidiaries are recorded as accounts payable - affiliate and amounts due to the Company from NRG subsidiaries are recorded as accounts receivable - affiliate on the Company's consolidated balance sheet. The disclosures below summarize the Company's material related party transactions with NRG and its subsidiaries that are included in the Company's operating revenues and operating costs.</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Power Purchase Agreements (PPAs) between the Company and NRG Power Marketing</w:t>
      </w:r>
    </w:p>
    <w:p>
      <w:pPr>
        <w:spacing w:after="0" w:line="114"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auto"/>
        </w:rPr>
        <w:t>Elbow Creek and Dover are parties to PPAs with NRG Power Marketing and generate revenue under the PPAs, which are recorded to operating revenues in the Company's consolidated statements of operations. For the three and six months ended June 30, 2018, Elbow Creek and Dover, collectively, generated revenues of $3 million and $6 million, respectively. For the three and six months ended June 30, 2017, Elbow Creek and Dover, collectively, generated revenue of $3 million and $7 million, respectively.</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Energy Marketing Services Agreement by and between Thermal entities and NRG Power Marketing</w:t>
      </w:r>
    </w:p>
    <w:p>
      <w:pPr>
        <w:spacing w:after="0" w:line="114" w:lineRule="exact"/>
        <w:rPr>
          <w:sz w:val="20"/>
          <w:szCs w:val="20"/>
          <w:color w:val="auto"/>
        </w:rPr>
      </w:pPr>
    </w:p>
    <w:p>
      <w:pPr>
        <w:jc w:val="both"/>
        <w:ind w:firstLine="270"/>
        <w:spacing w:after="0" w:line="298" w:lineRule="auto"/>
        <w:rPr>
          <w:sz w:val="20"/>
          <w:szCs w:val="20"/>
          <w:color w:val="auto"/>
        </w:rPr>
      </w:pPr>
      <w:r>
        <w:rPr>
          <w:rFonts w:ascii="Arial" w:cs="Arial" w:eastAsia="Arial" w:hAnsi="Arial"/>
          <w:sz w:val="11"/>
          <w:szCs w:val="11"/>
          <w:color w:val="auto"/>
        </w:rPr>
        <w:t>NRG Energy Center Dover LLC, NRG Energy Center Minneapolis, NRG Energy Center Phoenix LLC, and NRG Energy Center Paxton LLC, or Thermal entities, which are subsidiaries of the Company, are parties to Energy Marketing Services Agreements with NRG Power Marketing, a wholly-owned subsidiary of NRG. Under the agreements, NRG Power Marketing procures fuel and fuel transportation for the operation of the Thermal entities. For each of the three and six months ended June 30, 2018 and 2017, the Thermal entities purchased $2 million and $6 million for each period in each year, respectively, of natural gas from NRG Power Marketing.</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Operation and Maintenance (O&amp;M) Services Agreements by and between the Company's subsidiaries and NRG</w:t>
      </w:r>
    </w:p>
    <w:p>
      <w:pPr>
        <w:spacing w:after="0" w:line="114"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auto"/>
        </w:rPr>
        <w:t>Certain of the Company's subsidiaries are party to O&amp;M Services Agreements with NRG, pursuant to which NRG subsidiaries provide necessary and appropriate services to operate and maintain the subsidiaries' plant operations, businesses and thermal facilities. NRG is reimbursed for the provided services, as well as for all reasonable and related expenses and expenditures, and payments to third parties for services and materials rendered to or on behalf of the parties to the agreements. NRG is not entitled to any management fee or mark-up under the agreements.</w:t>
      </w:r>
    </w:p>
    <w:p>
      <w:pPr>
        <w:spacing w:after="0" w:line="87" w:lineRule="exact"/>
        <w:rPr>
          <w:sz w:val="20"/>
          <w:szCs w:val="20"/>
          <w:color w:val="auto"/>
        </w:rPr>
      </w:pPr>
    </w:p>
    <w:p>
      <w:pPr>
        <w:jc w:val="both"/>
        <w:ind w:right="20" w:firstLine="270"/>
        <w:spacing w:after="0" w:line="380" w:lineRule="auto"/>
        <w:rPr>
          <w:sz w:val="20"/>
          <w:szCs w:val="20"/>
          <w:color w:val="auto"/>
        </w:rPr>
      </w:pPr>
      <w:r>
        <w:rPr>
          <w:rFonts w:ascii="Arial" w:cs="Arial" w:eastAsia="Arial" w:hAnsi="Arial"/>
          <w:sz w:val="10"/>
          <w:szCs w:val="10"/>
          <w:color w:val="auto"/>
        </w:rPr>
        <w:t>The fees incurred under these agreements were $10 million and $20 million for each of the three and six months ended June 30, 2018, respectively. For the three and six months ended June 30, 2017, the fees incurred were $9 million and $19 million, respectively. The Company had $9 million and $13 million due to NRG for the services performed under the O&amp;M Agreements in accounts payable — affiliate as of June 30, 2018 and December 31, 2017, respectively.</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O&amp;M Services Agreements by and between GenConn and NRG</w:t>
      </w:r>
    </w:p>
    <w:p>
      <w:pPr>
        <w:spacing w:after="0" w:line="114"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GenConn incurs fees under two O&amp;M agreements with wholly-owned subsidiaries of NRG. For the three and six months ended June 30, 2018 and 2017, the aggregate fees incurred under the agreements were $2 million and $3 million for each period in each year, respectively.</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Administrative Services Agreement by and between Marsh Landing and NRG West Coast LLC</w:t>
      </w:r>
    </w:p>
    <w:p>
      <w:pPr>
        <w:spacing w:after="0" w:line="114"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auto"/>
        </w:rPr>
        <w:t>Marsh Landing is a party to an administrative services agreement with NRG West Coast LLC, a wholly owned subsidiary of NRG. The Company reimbursed costs under this agreement of $6 million and $9 million for each of the three and six months ended June 30, 2018, respectively. The Company reimbursed costs under the agreement of $3 million and $6 million for the three and six months ended June 30, 2017, respectively. There was a balance of $1 million due to NRG West Coast LLC in accounts payable—affiliate as of June 30, 2018 and December 31, 2017.</w:t>
      </w:r>
    </w:p>
    <w:p>
      <w:pPr>
        <w:spacing w:after="0" w:line="87"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Administrative Services Agreements by and between the Company and NRG Renew Operation &amp; Maintenance LLC</w:t>
      </w:r>
    </w:p>
    <w:p>
      <w:pPr>
        <w:spacing w:after="0" w:line="114"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2"/>
          <w:szCs w:val="12"/>
          <w:color w:val="auto"/>
        </w:rPr>
        <w:t>Various wholly-owned subsidiaries of the Company in the Renewables segment are party to administrative services agreements with NRG Renew Operation &amp; Maintenance LLC, or RENOM, a wholly-owned subsidiary of NRG, which provides O&amp;M services to these subsidiaries. The Company incurred total expenses for these services of $8 million and $15 million for the three and six months ended June 30, 2018, respectively. The Company incurred total expenses for these services of $6 million and $12 million for the three and six months ended June 30, 2017, respectively. There was a balance of $4 million and $5 million due to RENOM as of June 30, 2018 and December 31, 2017, respectively.</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11480"/>
          </w:cols>
          <w:pgMar w:left="220" w:top="505" w:right="199" w:bottom="1440" w:gutter="0" w:footer="0" w:header="0"/>
        </w:sectPr>
      </w:pPr>
    </w:p>
    <w:bookmarkStart w:id="34" w:name="page35"/>
    <w:bookmarkEnd w:id="34"/>
    <w:p>
      <w:pPr>
        <w:ind w:left="260"/>
        <w:spacing w:after="0"/>
        <w:rPr>
          <w:sz w:val="20"/>
          <w:szCs w:val="20"/>
          <w:color w:val="auto"/>
        </w:rPr>
      </w:pPr>
      <w:r>
        <w:rPr>
          <w:rFonts w:ascii="Arial" w:cs="Arial" w:eastAsia="Arial" w:hAnsi="Arial"/>
          <w:sz w:val="12"/>
          <w:szCs w:val="12"/>
          <w:b w:val="1"/>
          <w:bCs w:val="1"/>
          <w:i w:val="1"/>
          <w:iCs w:val="1"/>
          <w:color w:val="auto"/>
        </w:rPr>
        <w:t>Management Services Agreement by and between the Company and NRG</w:t>
      </w:r>
    </w:p>
    <w:p>
      <w:pPr>
        <w:spacing w:after="0" w:line="114"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1"/>
          <w:szCs w:val="11"/>
          <w:color w:val="auto"/>
        </w:rPr>
        <w:t>NRG provides the Company with various operational, management, and administrative services, which include human resources, accounting, tax, legal, information systems, treasury, and risk management, as set forth in the Management Services Agreement. As of June 30, 2018, the base management fee was approximately $9 million per year, subject to an inflation-based adjustment annually at an inflation factor based on the year-over-year U.S. consumer price index. The fee is also subject to adjustments following the consummation of future acquisitions and as a result of a change in the scope of services provided under the Management Services Agreement. Costs incurred under this agreement were $3 million and $5 million for the three and six months ended June 30, 2018, respectively. Costs incurred under this agreement for the three and six months ended June 30, 2017 were $4 million and $6 million, respectively. The costs incurred under the Management Services Agreement included certain direct expenses incurred by NRG on behalf of the Company in addition to the base management fee.</w:t>
      </w:r>
    </w:p>
    <w:p>
      <w:pPr>
        <w:spacing w:after="0" w:line="75"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EPC Agreement by and between NECP and NRG</w:t>
      </w:r>
    </w:p>
    <w:p>
      <w:pPr>
        <w:spacing w:after="0" w:line="114"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1"/>
          <w:szCs w:val="11"/>
          <w:color w:val="auto"/>
        </w:rPr>
        <w:t xml:space="preserve">NRG Business Services LLC, a subsidiary of NRG, and NECP, a wholly owned subsidiary of the Company, entered into an EPC agreement for the construction of a 73 MWt district energy system for NECP to provide 150 kpph of steam, 6,750 tons of chilled water and 7.5 MW of emergency backup power service to UPMC Mercy. The initial term of the energy services agreement with UPMC Mercy will be for a period of twenty years from the service commencement date. On June 19, 2018, as discussed in Note 3, </w:t>
      </w:r>
      <w:r>
        <w:rPr>
          <w:rFonts w:ascii="Arial" w:cs="Arial" w:eastAsia="Arial" w:hAnsi="Arial"/>
          <w:sz w:val="11"/>
          <w:szCs w:val="11"/>
          <w:i w:val="1"/>
          <w:iCs w:val="1"/>
          <w:color w:val="auto"/>
        </w:rPr>
        <w:t>Business Acquisitions</w:t>
      </w:r>
      <w:r>
        <w:rPr>
          <w:rFonts w:ascii="Arial" w:cs="Arial" w:eastAsia="Arial" w:hAnsi="Arial"/>
          <w:sz w:val="11"/>
          <w:szCs w:val="11"/>
          <w:color w:val="auto"/>
        </w:rPr>
        <w:t>, NECP purchased the UPMC Thermal Project assets from NRG Business Services LLC for cash consideration of $84 million, subject to working capital adjustments. The Company also recorded a payable of $4 million to be paid to NRG upon final completion of the project, which is included in accounts payable - affiliate as of June 30, 2018.</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ectPr>
          <w:pgSz w:w="11900" w:h="16838" w:orient="portrait"/>
          <w:cols w:equalWidth="0" w:num="1">
            <w:col w:w="11480"/>
          </w:cols>
          <w:pgMar w:left="220" w:top="581" w:right="199" w:bottom="1440" w:gutter="0" w:footer="0" w:header="0"/>
        </w:sectPr>
      </w:pPr>
    </w:p>
    <w:bookmarkStart w:id="35" w:name="page36"/>
    <w:bookmarkEnd w:id="35"/>
    <w:p>
      <w:pPr>
        <w:spacing w:after="0"/>
        <w:rPr>
          <w:sz w:val="20"/>
          <w:szCs w:val="20"/>
          <w:color w:val="auto"/>
        </w:rPr>
      </w:pPr>
      <w:r>
        <w:rPr>
          <w:rFonts w:ascii="Arial" w:cs="Arial" w:eastAsia="Arial" w:hAnsi="Arial"/>
          <w:sz w:val="12"/>
          <w:szCs w:val="12"/>
          <w:b w:val="1"/>
          <w:bCs w:val="1"/>
          <w:color w:val="auto"/>
        </w:rPr>
        <w:t xml:space="preserve">Note 13 — </w:t>
      </w:r>
      <w:r>
        <w:rPr>
          <w:rFonts w:ascii="Arial" w:cs="Arial" w:eastAsia="Arial" w:hAnsi="Arial"/>
          <w:sz w:val="12"/>
          <w:szCs w:val="12"/>
          <w:b w:val="1"/>
          <w:bCs w:val="1"/>
          <w:i w:val="1"/>
          <w:iCs w:val="1"/>
          <w:color w:val="auto"/>
        </w:rPr>
        <w:t>Contingencies</w:t>
      </w:r>
    </w:p>
    <w:p>
      <w:pPr>
        <w:spacing w:after="0" w:line="118" w:lineRule="exact"/>
        <w:rPr>
          <w:sz w:val="20"/>
          <w:szCs w:val="20"/>
          <w:color w:val="auto"/>
        </w:rPr>
      </w:pPr>
    </w:p>
    <w:p>
      <w:pPr>
        <w:ind w:left="260"/>
        <w:spacing w:after="0"/>
        <w:rPr>
          <w:sz w:val="20"/>
          <w:szCs w:val="20"/>
          <w:color w:val="auto"/>
        </w:rPr>
      </w:pPr>
      <w:r>
        <w:rPr>
          <w:rFonts w:ascii="Arial" w:cs="Arial" w:eastAsia="Arial" w:hAnsi="Arial"/>
          <w:sz w:val="12"/>
          <w:szCs w:val="12"/>
          <w:color w:val="auto"/>
        </w:rPr>
        <w:t xml:space="preserve">This note should be read in conjunction with the complete description under Note 16, </w:t>
      </w:r>
      <w:r>
        <w:rPr>
          <w:rFonts w:ascii="Arial" w:cs="Arial" w:eastAsia="Arial" w:hAnsi="Arial"/>
          <w:sz w:val="12"/>
          <w:szCs w:val="12"/>
          <w:i w:val="1"/>
          <w:iCs w:val="1"/>
          <w:color w:val="auto"/>
        </w:rPr>
        <w:t>Commitments and Contingencies</w:t>
      </w:r>
      <w:r>
        <w:rPr>
          <w:rFonts w:ascii="Arial" w:cs="Arial" w:eastAsia="Arial" w:hAnsi="Arial"/>
          <w:sz w:val="12"/>
          <w:szCs w:val="12"/>
          <w:color w:val="auto"/>
        </w:rPr>
        <w:t>, to the Company's 2017 Form 10-K.</w:t>
      </w:r>
    </w:p>
    <w:p>
      <w:pPr>
        <w:spacing w:after="0" w:line="114" w:lineRule="exact"/>
        <w:rPr>
          <w:sz w:val="20"/>
          <w:szCs w:val="20"/>
          <w:color w:val="auto"/>
        </w:rPr>
      </w:pPr>
    </w:p>
    <w:p>
      <w:pPr>
        <w:jc w:val="both"/>
        <w:ind w:firstLine="270"/>
        <w:spacing w:after="0" w:line="283" w:lineRule="auto"/>
        <w:rPr>
          <w:sz w:val="20"/>
          <w:szCs w:val="20"/>
          <w:color w:val="auto"/>
        </w:rPr>
      </w:pPr>
      <w:r>
        <w:rPr>
          <w:rFonts w:ascii="Arial" w:cs="Arial" w:eastAsia="Arial" w:hAnsi="Arial"/>
          <w:sz w:val="11"/>
          <w:szCs w:val="11"/>
          <w:color w:val="auto"/>
        </w:rPr>
        <w:t>The Company's material legal proceedings are described below. The Company believes that it has valid defenses to these legal proceedings and intends to defend them vigorously. The Company records reserves for estimated losses from contingencies when information available indicates that a loss is probable and the amount of the loss, or range of loss, can be reasonably estimated. As applicable, the Company has established an adequate reserve for the matters discussed below.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the legal proceedings below or reasonably estimate the scope or amount of any associated costs and potential liabilities. As additional information becomes available, management adjusts its assessment and estimates of such contingencies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spacing w:after="0" w:line="78"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In addition to the legal proceedings noted below, the Company and its subsidiaries are party to other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spacing w:after="0" w:line="79"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2"/>
          <w:szCs w:val="12"/>
          <w:i w:val="1"/>
          <w:iCs w:val="1"/>
          <w:color w:val="auto"/>
        </w:rPr>
        <w:t xml:space="preserve">Braun v. NRG Yield, Inc. </w:t>
      </w:r>
      <w:r>
        <w:rPr>
          <w:rFonts w:ascii="Arial" w:cs="Arial" w:eastAsia="Arial" w:hAnsi="Arial"/>
          <w:sz w:val="12"/>
          <w:szCs w:val="12"/>
          <w:color w:val="auto"/>
        </w:rPr>
        <w:t>— On April 19, 2016, plaintiffs filed a putative class action lawsuit against NRG Yield, Inc., the current and former members of its board of directors individually, and other parties in California Superior</w:t>
      </w:r>
      <w:r>
        <w:rPr>
          <w:rFonts w:ascii="Arial" w:cs="Arial" w:eastAsia="Arial" w:hAnsi="Arial"/>
          <w:sz w:val="12"/>
          <w:szCs w:val="12"/>
          <w:i w:val="1"/>
          <w:iCs w:val="1"/>
          <w:color w:val="auto"/>
        </w:rPr>
        <w:t xml:space="preserve"> </w:t>
      </w:r>
      <w:r>
        <w:rPr>
          <w:rFonts w:ascii="Arial" w:cs="Arial" w:eastAsia="Arial" w:hAnsi="Arial"/>
          <w:sz w:val="12"/>
          <w:szCs w:val="12"/>
          <w:color w:val="auto"/>
        </w:rPr>
        <w:t>Court in Kern County, California. Plaintiffs allege various violations of the Securities Act due to the defendants’ alleged failure to disclose material facts related to low wind production prior to the NRG Yield, Inc.'s June 22, 2015 Class C common stock offering. Plaintiffs seek compensatory damages, rescission, attorney’s fees and costs. The defendants filed demurrers and a motion challenging jurisdiction on October 18, 2016. On July 30, 2018, the plaintiffs filed an opposition to the defendants’ motion to quash service of the summons and an opposition to the defendants’ demurrer.</w:t>
      </w:r>
    </w:p>
    <w:p>
      <w:pPr>
        <w:spacing w:after="0" w:line="89" w:lineRule="exact"/>
        <w:rPr>
          <w:sz w:val="20"/>
          <w:szCs w:val="20"/>
          <w:color w:val="auto"/>
        </w:rPr>
      </w:pPr>
    </w:p>
    <w:p>
      <w:pPr>
        <w:jc w:val="both"/>
        <w:ind w:firstLine="261"/>
        <w:spacing w:after="0" w:line="254" w:lineRule="auto"/>
        <w:rPr>
          <w:sz w:val="20"/>
          <w:szCs w:val="20"/>
          <w:color w:val="auto"/>
        </w:rPr>
      </w:pPr>
      <w:r>
        <w:rPr>
          <w:rFonts w:ascii="Arial" w:cs="Arial" w:eastAsia="Arial" w:hAnsi="Arial"/>
          <w:sz w:val="12"/>
          <w:szCs w:val="12"/>
          <w:i w:val="1"/>
          <w:iCs w:val="1"/>
          <w:color w:val="auto"/>
        </w:rPr>
        <w:t xml:space="preserve">GenOn Noteholders' Lawsuit </w:t>
      </w:r>
      <w:r>
        <w:rPr>
          <w:rFonts w:ascii="Arial" w:cs="Arial" w:eastAsia="Arial" w:hAnsi="Arial"/>
          <w:sz w:val="12"/>
          <w:szCs w:val="12"/>
          <w:color w:val="auto"/>
        </w:rPr>
        <w:t>— On December 13, 2016, certain indenture trustees for an ad hoc group of holders, or the Noteholders, of the GenOn Energy, Inc., or GenOn, 7.875% Senior Notes due 2017, 9.500% Notes due 2018,</w:t>
      </w:r>
      <w:r>
        <w:rPr>
          <w:rFonts w:ascii="Arial" w:cs="Arial" w:eastAsia="Arial" w:hAnsi="Arial"/>
          <w:sz w:val="12"/>
          <w:szCs w:val="12"/>
          <w:i w:val="1"/>
          <w:iCs w:val="1"/>
          <w:color w:val="auto"/>
        </w:rPr>
        <w:t xml:space="preserve"> </w:t>
      </w:r>
      <w:r>
        <w:rPr>
          <w:rFonts w:ascii="Arial" w:cs="Arial" w:eastAsia="Arial" w:hAnsi="Arial"/>
          <w:sz w:val="12"/>
          <w:szCs w:val="12"/>
          <w:color w:val="auto"/>
        </w:rPr>
        <w:t>and 9.875% Notes due 2020, and the GenOn Americas Generation, LLC 8.50% Senior Notes due 2021 and 9.125% Senior Notes due 2031, along with certain of the Noteholders, filed a complaint in the Superior Court of the State of Delaware against NRG and GenOn alleging certain claims related to the Services Agreement between NRG and GenOn. On April 30, 2017, the Noteholders filed an amended complaint that asserts additional claims of fraudulent transfer, insider preference and breach of fiduciary duties. In addition to NRG and GenOn, the amended complaint names NRG Yield LLC and certain current and former officers and directors of GenOn as defendants. The plaintiffs, among other things, generally seek return of all monies paid under the Services Agreement and any other damages that the court deems appropriate. On April 28, 2017, the bondholders filed an amended complaint adding the GenOn directors and officers as defendants and asserting claims that they breached certain fiduciary duties. Plaintiffs specifically allege that the transfer of Marsh Landing to NRG Yield LLC constituted a fraudulent transfer. On June 12, 2017, certain GenOn entities, NRG and certain holders of the GenOn and GenOn Americas Generation, LLC senior notes entered into a restructuring support and lock-up agreement. On July 13, 2018, NRG and GenOn executed a term sheet that resolves and releases the GenOn Noteholder litigation.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1480"/>
          </w:cols>
          <w:pgMar w:left="220" w:top="505" w:right="199" w:bottom="1440" w:gutter="0" w:footer="0" w:header="0"/>
        </w:sectPr>
      </w:pPr>
    </w:p>
    <w:bookmarkStart w:id="36" w:name="page37"/>
    <w:bookmarkEnd w:id="36"/>
    <w:p>
      <w:pPr>
        <w:spacing w:after="0"/>
        <w:rPr>
          <w:sz w:val="20"/>
          <w:szCs w:val="20"/>
          <w:color w:val="auto"/>
        </w:rPr>
      </w:pPr>
      <w:r>
        <w:rPr>
          <w:rFonts w:ascii="Arial" w:cs="Arial" w:eastAsia="Arial" w:hAnsi="Arial"/>
          <w:sz w:val="12"/>
          <w:szCs w:val="12"/>
          <w:b w:val="1"/>
          <w:bCs w:val="1"/>
          <w:color w:val="auto"/>
        </w:rPr>
        <w:t>ITEM 2 — Management's Discussion and Analysis of Financial Condition and the Results of Operations</w:t>
      </w:r>
    </w:p>
    <w:p>
      <w:pPr>
        <w:spacing w:after="0" w:line="226"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following discussion analyzes the Company's historical financial condition and results of operations, which were recast to include the effect of the Buckthorn Solar Drop Down Asset.</w:t>
      </w:r>
    </w:p>
    <w:p>
      <w:pPr>
        <w:spacing w:after="0" w:line="114" w:lineRule="exact"/>
        <w:rPr>
          <w:sz w:val="20"/>
          <w:szCs w:val="20"/>
          <w:color w:val="auto"/>
        </w:rPr>
      </w:pPr>
    </w:p>
    <w:p>
      <w:pPr>
        <w:ind w:firstLine="270"/>
        <w:spacing w:after="0" w:line="276" w:lineRule="auto"/>
        <w:rPr>
          <w:sz w:val="20"/>
          <w:szCs w:val="20"/>
          <w:color w:val="auto"/>
        </w:rPr>
      </w:pPr>
      <w:r>
        <w:rPr>
          <w:rFonts w:ascii="Arial" w:cs="Arial" w:eastAsia="Arial" w:hAnsi="Arial"/>
          <w:sz w:val="12"/>
          <w:szCs w:val="12"/>
          <w:color w:val="auto"/>
        </w:rPr>
        <w:t>As you read this discussion and analysis, refer to the Company's Consolidated Financial Statements to this Form 10-Q, which present the results of operations for the six months ended June 30, 2018 and 2017. Also refer to the Company's 2017 Form 10-K, which includes detailed discussions of various items impacting the Company's business, results of operations and financial condition.</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231F20"/>
        </w:rPr>
        <w:t>The discussion and analysis below has been organized as follows:</w:t>
      </w:r>
    </w:p>
    <w:p>
      <w:pPr>
        <w:spacing w:after="0" w:line="132" w:lineRule="exact"/>
        <w:rPr>
          <w:sz w:val="20"/>
          <w:szCs w:val="20"/>
          <w:color w:val="auto"/>
        </w:rPr>
      </w:pPr>
    </w:p>
    <w:p>
      <w:pPr>
        <w:ind w:left="900" w:hanging="259"/>
        <w:spacing w:after="0"/>
        <w:tabs>
          <w:tab w:leader="none" w:pos="900" w:val="left"/>
        </w:tabs>
        <w:numPr>
          <w:ilvl w:val="0"/>
          <w:numId w:val="19"/>
        </w:numPr>
        <w:rPr>
          <w:rFonts w:ascii="Arial" w:cs="Arial" w:eastAsia="Arial" w:hAnsi="Arial"/>
          <w:sz w:val="12"/>
          <w:szCs w:val="12"/>
          <w:color w:val="231F20"/>
        </w:rPr>
      </w:pPr>
      <w:r>
        <w:rPr>
          <w:rFonts w:ascii="Arial" w:cs="Arial" w:eastAsia="Arial" w:hAnsi="Arial"/>
          <w:sz w:val="12"/>
          <w:szCs w:val="12"/>
          <w:color w:val="231F20"/>
        </w:rPr>
        <w:t>Executive Summary, including a description of the business and significant events that are important to understanding the results of operations and financial condition;</w:t>
      </w:r>
    </w:p>
    <w:p>
      <w:pPr>
        <w:spacing w:after="0" w:line="141" w:lineRule="exact"/>
        <w:rPr>
          <w:rFonts w:ascii="Arial" w:cs="Arial" w:eastAsia="Arial" w:hAnsi="Arial"/>
          <w:sz w:val="12"/>
          <w:szCs w:val="12"/>
          <w:color w:val="231F20"/>
        </w:rPr>
      </w:pPr>
    </w:p>
    <w:p>
      <w:pPr>
        <w:ind w:left="900" w:hanging="259"/>
        <w:spacing w:after="0"/>
        <w:tabs>
          <w:tab w:leader="none" w:pos="900" w:val="left"/>
        </w:tabs>
        <w:numPr>
          <w:ilvl w:val="0"/>
          <w:numId w:val="19"/>
        </w:numPr>
        <w:rPr>
          <w:rFonts w:ascii="Arial" w:cs="Arial" w:eastAsia="Arial" w:hAnsi="Arial"/>
          <w:sz w:val="12"/>
          <w:szCs w:val="12"/>
          <w:color w:val="231F20"/>
        </w:rPr>
      </w:pPr>
      <w:r>
        <w:rPr>
          <w:rFonts w:ascii="Arial" w:cs="Arial" w:eastAsia="Arial" w:hAnsi="Arial"/>
          <w:sz w:val="12"/>
          <w:szCs w:val="12"/>
          <w:color w:val="auto"/>
        </w:rPr>
        <w:t>Known trends that may affect the Company’s results of operations and financial condition in the future;</w:t>
      </w:r>
    </w:p>
    <w:p>
      <w:pPr>
        <w:spacing w:after="0" w:line="141" w:lineRule="exact"/>
        <w:rPr>
          <w:rFonts w:ascii="Arial" w:cs="Arial" w:eastAsia="Arial" w:hAnsi="Arial"/>
          <w:sz w:val="12"/>
          <w:szCs w:val="12"/>
          <w:color w:val="231F20"/>
        </w:rPr>
      </w:pPr>
    </w:p>
    <w:p>
      <w:pPr>
        <w:ind w:left="900" w:hanging="259"/>
        <w:spacing w:after="0"/>
        <w:tabs>
          <w:tab w:leader="none" w:pos="900" w:val="left"/>
        </w:tabs>
        <w:numPr>
          <w:ilvl w:val="0"/>
          <w:numId w:val="19"/>
        </w:numPr>
        <w:rPr>
          <w:rFonts w:ascii="Arial" w:cs="Arial" w:eastAsia="Arial" w:hAnsi="Arial"/>
          <w:sz w:val="12"/>
          <w:szCs w:val="12"/>
          <w:color w:val="auto"/>
        </w:rPr>
      </w:pPr>
      <w:r>
        <w:rPr>
          <w:rFonts w:ascii="Arial" w:cs="Arial" w:eastAsia="Arial" w:hAnsi="Arial"/>
          <w:sz w:val="12"/>
          <w:szCs w:val="12"/>
          <w:color w:val="231F20"/>
        </w:rPr>
        <w:t>Results of operations, including an explanation of significant differences between the periods in the specific line items of the consolidated statements of income;</w:t>
      </w:r>
    </w:p>
    <w:p>
      <w:pPr>
        <w:spacing w:after="0" w:line="141" w:lineRule="exact"/>
        <w:rPr>
          <w:rFonts w:ascii="Arial" w:cs="Arial" w:eastAsia="Arial" w:hAnsi="Arial"/>
          <w:sz w:val="12"/>
          <w:szCs w:val="12"/>
          <w:color w:val="auto"/>
        </w:rPr>
      </w:pPr>
    </w:p>
    <w:p>
      <w:pPr>
        <w:ind w:left="900" w:hanging="259"/>
        <w:spacing w:after="0"/>
        <w:tabs>
          <w:tab w:leader="none" w:pos="900" w:val="left"/>
        </w:tabs>
        <w:numPr>
          <w:ilvl w:val="0"/>
          <w:numId w:val="19"/>
        </w:numPr>
        <w:rPr>
          <w:rFonts w:ascii="Arial" w:cs="Arial" w:eastAsia="Arial" w:hAnsi="Arial"/>
          <w:sz w:val="12"/>
          <w:szCs w:val="12"/>
          <w:color w:val="231F20"/>
        </w:rPr>
      </w:pPr>
      <w:r>
        <w:rPr>
          <w:rFonts w:ascii="Arial" w:cs="Arial" w:eastAsia="Arial" w:hAnsi="Arial"/>
          <w:sz w:val="12"/>
          <w:szCs w:val="12"/>
          <w:color w:val="231F20"/>
        </w:rPr>
        <w:t>Financial condition addressing liquidity position, sources and uses of cash, capital resources and requirements, commitments, and off-balance sheet arrangements; and</w:t>
      </w:r>
    </w:p>
    <w:p>
      <w:pPr>
        <w:spacing w:after="0" w:line="141" w:lineRule="exact"/>
        <w:rPr>
          <w:rFonts w:ascii="Arial" w:cs="Arial" w:eastAsia="Arial" w:hAnsi="Arial"/>
          <w:sz w:val="12"/>
          <w:szCs w:val="12"/>
          <w:color w:val="231F20"/>
        </w:rPr>
      </w:pPr>
    </w:p>
    <w:p>
      <w:pPr>
        <w:ind w:left="900" w:hanging="259"/>
        <w:spacing w:after="0"/>
        <w:tabs>
          <w:tab w:leader="none" w:pos="900" w:val="left"/>
        </w:tabs>
        <w:numPr>
          <w:ilvl w:val="0"/>
          <w:numId w:val="19"/>
        </w:numPr>
        <w:rPr>
          <w:rFonts w:ascii="Arial" w:cs="Arial" w:eastAsia="Arial" w:hAnsi="Arial"/>
          <w:sz w:val="11"/>
          <w:szCs w:val="11"/>
          <w:color w:val="auto"/>
        </w:rPr>
      </w:pPr>
      <w:r>
        <w:rPr>
          <w:rFonts w:ascii="Arial" w:cs="Arial" w:eastAsia="Arial" w:hAnsi="Arial"/>
          <w:sz w:val="11"/>
          <w:szCs w:val="11"/>
          <w:color w:val="auto"/>
        </w:rPr>
        <w:t>Critical accounting policies which are most important to both the portrayal of the Company's financial condition and results of operations, and which require management's most difficult, subjective or complex judgment.</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ectPr>
          <w:pgSz w:w="11900" w:h="16838" w:orient="portrait"/>
          <w:cols w:equalWidth="0" w:num="1">
            <w:col w:w="11480"/>
          </w:cols>
          <w:pgMar w:left="220" w:top="505" w:right="199" w:bottom="1440" w:gutter="0" w:footer="0" w:header="0"/>
        </w:sectPr>
      </w:pPr>
    </w:p>
    <w:bookmarkStart w:id="37" w:name="page38"/>
    <w:bookmarkEnd w:id="37"/>
    <w:p>
      <w:pPr>
        <w:ind w:left="8"/>
        <w:spacing w:after="0"/>
        <w:rPr>
          <w:sz w:val="20"/>
          <w:szCs w:val="20"/>
          <w:color w:val="auto"/>
        </w:rPr>
      </w:pPr>
      <w:r>
        <w:rPr>
          <w:rFonts w:ascii="Arial" w:cs="Arial" w:eastAsia="Arial" w:hAnsi="Arial"/>
          <w:sz w:val="12"/>
          <w:szCs w:val="12"/>
          <w:b w:val="1"/>
          <w:bCs w:val="1"/>
          <w:color w:val="auto"/>
        </w:rPr>
        <w:t>Executive Summary</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Introduction and Overview</w:t>
      </w:r>
    </w:p>
    <w:p>
      <w:pPr>
        <w:spacing w:after="0" w:line="118" w:lineRule="exact"/>
        <w:rPr>
          <w:sz w:val="20"/>
          <w:szCs w:val="20"/>
          <w:color w:val="auto"/>
        </w:rPr>
      </w:pPr>
    </w:p>
    <w:p>
      <w:pPr>
        <w:jc w:val="both"/>
        <w:ind w:left="8" w:firstLine="270"/>
        <w:spacing w:after="0" w:line="276" w:lineRule="auto"/>
        <w:rPr>
          <w:sz w:val="20"/>
          <w:szCs w:val="20"/>
          <w:color w:val="auto"/>
        </w:rPr>
      </w:pPr>
      <w:r>
        <w:rPr>
          <w:rFonts w:ascii="Arial" w:cs="Arial" w:eastAsia="Arial" w:hAnsi="Arial"/>
          <w:sz w:val="12"/>
          <w:szCs w:val="12"/>
          <w:color w:val="auto"/>
        </w:rPr>
        <w:t>The Company is a dividend growth-oriented company that has historically served as the primary vehicle through which NRG owns, operates and acquires contracted renewable and conventional generation and thermal infrastructure assets. The Company believes it is well positioned to be a premier company for investors seeking stable and growing dividend income from a diversified portfolio of lower-risk assets.</w:t>
      </w:r>
    </w:p>
    <w:p>
      <w:pPr>
        <w:spacing w:after="0" w:line="79" w:lineRule="exact"/>
        <w:rPr>
          <w:sz w:val="20"/>
          <w:szCs w:val="20"/>
          <w:color w:val="auto"/>
        </w:rPr>
      </w:pPr>
    </w:p>
    <w:p>
      <w:pPr>
        <w:jc w:val="both"/>
        <w:ind w:left="8" w:firstLine="270"/>
        <w:spacing w:after="0" w:line="257" w:lineRule="auto"/>
        <w:rPr>
          <w:sz w:val="20"/>
          <w:szCs w:val="20"/>
          <w:color w:val="auto"/>
        </w:rPr>
      </w:pPr>
      <w:r>
        <w:rPr>
          <w:rFonts w:ascii="Arial" w:cs="Arial" w:eastAsia="Arial" w:hAnsi="Arial"/>
          <w:sz w:val="12"/>
          <w:szCs w:val="12"/>
          <w:color w:val="auto"/>
        </w:rPr>
        <w:t xml:space="preserve">The Company owns a diversified portfolio of contracted renewable and conventional generation and thermal infrastructure assets in the U.S. The Company’s contracted generation portfolio collectively represents </w:t>
      </w:r>
      <w:r>
        <w:rPr>
          <w:rFonts w:ascii="Arial" w:cs="Arial" w:eastAsia="Arial" w:hAnsi="Arial"/>
          <w:sz w:val="12"/>
          <w:szCs w:val="12"/>
          <w:color w:val="231F20"/>
        </w:rPr>
        <w:t>5,118 net MW as of</w:t>
      </w:r>
      <w:r>
        <w:rPr>
          <w:rFonts w:ascii="Arial" w:cs="Arial" w:eastAsia="Arial" w:hAnsi="Arial"/>
          <w:sz w:val="12"/>
          <w:szCs w:val="12"/>
          <w:color w:val="auto"/>
        </w:rPr>
        <w:t xml:space="preserve"> June 30, 2018</w:t>
      </w:r>
      <w:r>
        <w:rPr>
          <w:rFonts w:ascii="Arial" w:cs="Arial" w:eastAsia="Arial" w:hAnsi="Arial"/>
          <w:sz w:val="12"/>
          <w:szCs w:val="12"/>
          <w:color w:val="231F20"/>
        </w:rPr>
        <w:t>. Nearly all</w:t>
      </w:r>
      <w:r>
        <w:rPr>
          <w:rFonts w:ascii="Arial" w:cs="Arial" w:eastAsia="Arial" w:hAnsi="Arial"/>
          <w:sz w:val="12"/>
          <w:szCs w:val="12"/>
          <w:color w:val="auto"/>
        </w:rPr>
        <w:t xml:space="preserve"> of these assets sell substantially all of their output pursuant to long-term offtake agreements with creditworthy counterparties. The weighted average remaining contract duration of these offtake agreements was approximately </w:t>
      </w:r>
      <w:r>
        <w:rPr>
          <w:rFonts w:ascii="Arial" w:cs="Arial" w:eastAsia="Arial" w:hAnsi="Arial"/>
          <w:sz w:val="12"/>
          <w:szCs w:val="12"/>
          <w:color w:val="231F20"/>
        </w:rPr>
        <w:t>15 years as of June 30, 2018,</w:t>
      </w:r>
      <w:r>
        <w:rPr>
          <w:rFonts w:ascii="Arial" w:cs="Arial" w:eastAsia="Arial" w:hAnsi="Arial"/>
          <w:sz w:val="12"/>
          <w:szCs w:val="12"/>
          <w:color w:val="auto"/>
        </w:rPr>
        <w:t xml:space="preserve"> based on CAFD</w:t>
      </w:r>
      <w:r>
        <w:rPr>
          <w:rFonts w:ascii="Arial" w:cs="Arial" w:eastAsia="Arial" w:hAnsi="Arial"/>
          <w:sz w:val="12"/>
          <w:szCs w:val="12"/>
          <w:color w:val="231F20"/>
        </w:rPr>
        <w:t>. The Company also owns thermal infrastructure assets with an aggregate steam and chilled water capacity of 1,392 net MWt and electric generation capacity of 133 net MW.</w:t>
      </w:r>
      <w:r>
        <w:rPr>
          <w:rFonts w:ascii="Arial" w:cs="Arial" w:eastAsia="Arial" w:hAnsi="Arial"/>
          <w:sz w:val="12"/>
          <w:szCs w:val="12"/>
          <w:color w:val="auto"/>
        </w:rPr>
        <w:t xml:space="preserve"> </w:t>
      </w:r>
      <w:r>
        <w:rPr>
          <w:rFonts w:ascii="Arial" w:cs="Arial" w:eastAsia="Arial" w:hAnsi="Arial"/>
          <w:sz w:val="12"/>
          <w:szCs w:val="12"/>
          <w:color w:val="231F20"/>
        </w:rPr>
        <w:t>These thermal infrastructure assets provide steam, hot water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8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Strategic Sponsorship with Global Infrastructure Partners</w:t>
      </w:r>
    </w:p>
    <w:p>
      <w:pPr>
        <w:spacing w:after="0" w:line="118" w:lineRule="exact"/>
        <w:rPr>
          <w:sz w:val="20"/>
          <w:szCs w:val="20"/>
          <w:color w:val="auto"/>
        </w:rPr>
      </w:pPr>
    </w:p>
    <w:p>
      <w:pPr>
        <w:jc w:val="both"/>
        <w:ind w:left="8" w:firstLine="324"/>
        <w:spacing w:after="0" w:line="263" w:lineRule="auto"/>
        <w:rPr>
          <w:sz w:val="20"/>
          <w:szCs w:val="20"/>
          <w:color w:val="auto"/>
        </w:rPr>
      </w:pPr>
      <w:r>
        <w:rPr>
          <w:rFonts w:ascii="Arial" w:cs="Arial" w:eastAsia="Arial" w:hAnsi="Arial"/>
          <w:sz w:val="12"/>
          <w:szCs w:val="12"/>
          <w:color w:val="auto"/>
        </w:rPr>
        <w:t>On February 6, 2018, Global Infrastructure Partners, or GIP, entered into a purchase and sale agreement with NRG, or the NRG Transaction, for the acquisition of NRG’s full ownership interest in NRG Yield, Inc. and NRG’s renewable energy development and operations platform. The NRG Transaction is subject to certain closing conditions, including customary legal and regulatory approvals. As of July 31, 2018, all regulatory approvals have been received and the Company expects the NRG Transaction to close in the third quarter of 2018.</w:t>
      </w:r>
    </w:p>
    <w:p>
      <w:pPr>
        <w:spacing w:after="0" w:line="87" w:lineRule="exact"/>
        <w:rPr>
          <w:sz w:val="20"/>
          <w:szCs w:val="20"/>
          <w:color w:val="auto"/>
        </w:rPr>
      </w:pPr>
    </w:p>
    <w:p>
      <w:pPr>
        <w:jc w:val="both"/>
        <w:ind w:left="8" w:firstLine="324"/>
        <w:spacing w:after="0" w:line="323" w:lineRule="auto"/>
        <w:rPr>
          <w:sz w:val="20"/>
          <w:szCs w:val="20"/>
          <w:color w:val="auto"/>
        </w:rPr>
      </w:pPr>
      <w:r>
        <w:rPr>
          <w:rFonts w:ascii="Arial" w:cs="Arial" w:eastAsia="Arial" w:hAnsi="Arial"/>
          <w:sz w:val="11"/>
          <w:szCs w:val="11"/>
          <w:color w:val="auto"/>
        </w:rPr>
        <w:t xml:space="preserve">In connection with the NRG Transaction, the Company entered into a Consent and Indemnity Agreement with NRG and GIP setting forth key terms and conditions of the Company's consent to the NRG Transaction. The key provisions of the Consent and Indemnity Agreement are described in the Company's 2017 Form 10-K in Item 7, </w:t>
      </w:r>
      <w:r>
        <w:rPr>
          <w:rFonts w:ascii="Arial" w:cs="Arial" w:eastAsia="Arial" w:hAnsi="Arial"/>
          <w:sz w:val="11"/>
          <w:szCs w:val="11"/>
          <w:i w:val="1"/>
          <w:iCs w:val="1"/>
          <w:color w:val="auto"/>
        </w:rPr>
        <w:t>Management's Discussion and Analysis of Financial Condition and the Results of Operations.</w:t>
      </w:r>
    </w:p>
    <w:p>
      <w:pPr>
        <w:spacing w:after="0" w:line="5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Significant Events During the Quarter</w:t>
      </w:r>
    </w:p>
    <w:p>
      <w:pPr>
        <w:spacing w:after="0" w:line="118"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Drop Down Offer</w:t>
      </w:r>
    </w:p>
    <w:p>
      <w:pPr>
        <w:spacing w:after="0" w:line="114" w:lineRule="exact"/>
        <w:rPr>
          <w:sz w:val="20"/>
          <w:szCs w:val="20"/>
          <w:color w:val="auto"/>
        </w:rPr>
      </w:pPr>
    </w:p>
    <w:p>
      <w:pPr>
        <w:ind w:left="208" w:hanging="154"/>
        <w:spacing w:after="0" w:line="276" w:lineRule="auto"/>
        <w:tabs>
          <w:tab w:leader="none" w:pos="208" w:val="left"/>
        </w:tabs>
        <w:numPr>
          <w:ilvl w:val="0"/>
          <w:numId w:val="20"/>
        </w:numPr>
        <w:rPr>
          <w:rFonts w:ascii="Arial" w:cs="Arial" w:eastAsia="Arial" w:hAnsi="Arial"/>
          <w:sz w:val="12"/>
          <w:szCs w:val="12"/>
          <w:i w:val="1"/>
          <w:iCs w:val="1"/>
          <w:color w:val="auto"/>
        </w:rPr>
      </w:pPr>
      <w:r>
        <w:rPr>
          <w:rFonts w:ascii="Arial" w:cs="Arial" w:eastAsia="Arial" w:hAnsi="Arial"/>
          <w:sz w:val="12"/>
          <w:szCs w:val="12"/>
          <w:color w:val="auto"/>
        </w:rPr>
        <w:t>On June 27, 2018, NRG, through its renewables business, offered the Company the opportunity to acquire 80 MW of utility-scale solar projects located in Kawailoa and Oahu, Hawaii. The acquisition is subject to negotiation and approval by the Company's Independent Directors.</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UPMC Thermal Project Acquisition and Thermal Financings</w:t>
      </w:r>
    </w:p>
    <w:p>
      <w:pPr>
        <w:spacing w:after="0" w:line="141" w:lineRule="exact"/>
        <w:rPr>
          <w:sz w:val="20"/>
          <w:szCs w:val="20"/>
          <w:color w:val="auto"/>
        </w:rPr>
      </w:pPr>
    </w:p>
    <w:p>
      <w:pPr>
        <w:ind w:left="208" w:hanging="208"/>
        <w:spacing w:after="0" w:line="276" w:lineRule="auto"/>
        <w:tabs>
          <w:tab w:leader="none" w:pos="208" w:val="left"/>
        </w:tabs>
        <w:numPr>
          <w:ilvl w:val="0"/>
          <w:numId w:val="21"/>
        </w:numPr>
        <w:rPr>
          <w:rFonts w:ascii="Arial" w:cs="Arial" w:eastAsia="Arial" w:hAnsi="Arial"/>
          <w:sz w:val="12"/>
          <w:szCs w:val="12"/>
          <w:color w:val="auto"/>
        </w:rPr>
      </w:pPr>
      <w:r>
        <w:rPr>
          <w:rFonts w:ascii="Arial" w:cs="Arial" w:eastAsia="Arial" w:hAnsi="Arial"/>
          <w:sz w:val="12"/>
          <w:szCs w:val="12"/>
          <w:color w:val="auto"/>
        </w:rPr>
        <w:t>On June 19, 2018, upon reaching substantial completion, the Company acquired from NRG the UPMC Thermal Project for cash consideration of $84 million, subject to working capital adjustments. The Company will pay NRG an additional $4 million at final completion of the project.</w:t>
      </w:r>
    </w:p>
    <w:p>
      <w:pPr>
        <w:spacing w:after="0" w:line="78" w:lineRule="exact"/>
        <w:rPr>
          <w:rFonts w:ascii="Arial" w:cs="Arial" w:eastAsia="Arial" w:hAnsi="Arial"/>
          <w:sz w:val="12"/>
          <w:szCs w:val="12"/>
          <w:color w:val="auto"/>
        </w:rPr>
      </w:pPr>
    </w:p>
    <w:p>
      <w:pPr>
        <w:ind w:left="208" w:right="20" w:hanging="208"/>
        <w:spacing w:after="0" w:line="323" w:lineRule="auto"/>
        <w:tabs>
          <w:tab w:leader="none" w:pos="208" w:val="left"/>
        </w:tabs>
        <w:numPr>
          <w:ilvl w:val="0"/>
          <w:numId w:val="21"/>
        </w:numPr>
        <w:rPr>
          <w:rFonts w:ascii="Arial" w:cs="Arial" w:eastAsia="Arial" w:hAnsi="Arial"/>
          <w:sz w:val="11"/>
          <w:szCs w:val="11"/>
          <w:color w:val="auto"/>
        </w:rPr>
      </w:pPr>
      <w:r>
        <w:rPr>
          <w:rFonts w:ascii="Arial" w:cs="Arial" w:eastAsia="Arial" w:hAnsi="Arial"/>
          <w:sz w:val="11"/>
          <w:szCs w:val="11"/>
          <w:color w:val="auto"/>
        </w:rPr>
        <w:t xml:space="preserve">As further described in Note 7, </w:t>
      </w:r>
      <w:r>
        <w:rPr>
          <w:rFonts w:ascii="Arial" w:cs="Arial" w:eastAsia="Arial" w:hAnsi="Arial"/>
          <w:sz w:val="11"/>
          <w:szCs w:val="11"/>
          <w:i w:val="1"/>
          <w:iCs w:val="1"/>
          <w:color w:val="auto"/>
        </w:rPr>
        <w:t>Long-term Debt,</w:t>
      </w:r>
      <w:r>
        <w:rPr>
          <w:rFonts w:ascii="Arial" w:cs="Arial" w:eastAsia="Arial" w:hAnsi="Arial"/>
          <w:sz w:val="11"/>
          <w:szCs w:val="11"/>
          <w:color w:val="auto"/>
        </w:rPr>
        <w:t xml:space="preserve"> on June 19, 2018, NRG Energy Center Minneapolis LLC, a subsidiary of the Company, entered into an amended and restated Thermal note purchase and private shelf agreement under which it authorized the issuance of the Series E Notes, Series F Notes, Series G Notes, and Series H Notes and established a private shelf facility for the further issuance of $40 million in notes.</w:t>
      </w:r>
    </w:p>
    <w:p>
      <w:pPr>
        <w:spacing w:after="0" w:line="56"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Refinancing of the Revolving Credit Facility</w:t>
      </w:r>
    </w:p>
    <w:p>
      <w:pPr>
        <w:spacing w:after="0" w:line="114" w:lineRule="exact"/>
        <w:rPr>
          <w:sz w:val="20"/>
          <w:szCs w:val="20"/>
          <w:color w:val="auto"/>
        </w:rPr>
      </w:pPr>
    </w:p>
    <w:p>
      <w:pPr>
        <w:ind w:left="208" w:hanging="208"/>
        <w:spacing w:after="0" w:line="276" w:lineRule="auto"/>
        <w:tabs>
          <w:tab w:leader="none" w:pos="208" w:val="left"/>
        </w:tabs>
        <w:numPr>
          <w:ilvl w:val="0"/>
          <w:numId w:val="22"/>
        </w:numPr>
        <w:rPr>
          <w:rFonts w:ascii="Arial" w:cs="Arial" w:eastAsia="Arial" w:hAnsi="Arial"/>
          <w:sz w:val="12"/>
          <w:szCs w:val="12"/>
          <w:color w:val="auto"/>
        </w:rPr>
      </w:pPr>
      <w:r>
        <w:rPr>
          <w:rFonts w:ascii="Arial" w:cs="Arial" w:eastAsia="Arial" w:hAnsi="Arial"/>
          <w:sz w:val="12"/>
          <w:szCs w:val="12"/>
          <w:color w:val="auto"/>
        </w:rPr>
        <w:t>On April 30, 2018, the Company closed on the refinancing of the revolving credit facility, which extended the maturity of the facility to April 28, 2023 and decreased the Company's overall cost of borrowing. The facility will continue to be used for general corporate purposes including financing of future acquisitions and posting letters of credit.</w:t>
      </w:r>
    </w:p>
    <w:p>
      <w:pPr>
        <w:spacing w:after="0" w:line="7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Environmental Matters and Regulatory Matters</w:t>
      </w:r>
    </w:p>
    <w:p>
      <w:pPr>
        <w:spacing w:after="0" w:line="118" w:lineRule="exact"/>
        <w:rPr>
          <w:sz w:val="20"/>
          <w:szCs w:val="20"/>
          <w:color w:val="auto"/>
        </w:rPr>
      </w:pPr>
    </w:p>
    <w:p>
      <w:pPr>
        <w:ind w:left="288"/>
        <w:spacing w:after="0"/>
        <w:rPr>
          <w:sz w:val="20"/>
          <w:szCs w:val="20"/>
          <w:color w:val="auto"/>
        </w:rPr>
      </w:pPr>
      <w:r>
        <w:rPr>
          <w:rFonts w:ascii="Arial" w:cs="Arial" w:eastAsia="Arial" w:hAnsi="Arial"/>
          <w:sz w:val="12"/>
          <w:szCs w:val="12"/>
          <w:color w:val="auto"/>
        </w:rPr>
        <w:t xml:space="preserve">The Company’s environmental matters and regulatory matters are described in the Company’s 2017 Form 10-K in Item 1, </w:t>
      </w:r>
      <w:r>
        <w:rPr>
          <w:rFonts w:ascii="Arial" w:cs="Arial" w:eastAsia="Arial" w:hAnsi="Arial"/>
          <w:sz w:val="12"/>
          <w:szCs w:val="12"/>
          <w:i w:val="1"/>
          <w:iCs w:val="1"/>
          <w:color w:val="auto"/>
        </w:rPr>
        <w:t>Business</w:t>
      </w:r>
      <w:r>
        <w:rPr>
          <w:rFonts w:ascii="Arial" w:cs="Arial" w:eastAsia="Arial" w:hAnsi="Arial"/>
          <w:sz w:val="12"/>
          <w:szCs w:val="12"/>
          <w:color w:val="auto"/>
        </w:rPr>
        <w:t xml:space="preserve"> — </w:t>
      </w:r>
      <w:r>
        <w:rPr>
          <w:rFonts w:ascii="Arial" w:cs="Arial" w:eastAsia="Arial" w:hAnsi="Arial"/>
          <w:sz w:val="12"/>
          <w:szCs w:val="12"/>
          <w:i w:val="1"/>
          <w:iCs w:val="1"/>
          <w:color w:val="auto"/>
        </w:rPr>
        <w:t>Regulatory Matters</w:t>
      </w:r>
      <w:r>
        <w:rPr>
          <w:rFonts w:ascii="Arial" w:cs="Arial" w:eastAsia="Arial" w:hAnsi="Arial"/>
          <w:sz w:val="12"/>
          <w:szCs w:val="12"/>
          <w:color w:val="auto"/>
        </w:rPr>
        <w:t xml:space="preserve"> and Item 1A, </w:t>
      </w:r>
      <w:r>
        <w:rPr>
          <w:rFonts w:ascii="Arial" w:cs="Arial" w:eastAsia="Arial" w:hAnsi="Arial"/>
          <w:sz w:val="12"/>
          <w:szCs w:val="12"/>
          <w:i w:val="1"/>
          <w:iCs w:val="1"/>
          <w:color w:val="auto"/>
        </w:rPr>
        <w:t>Risk Factors.</w:t>
      </w:r>
    </w:p>
    <w:p>
      <w:pPr>
        <w:spacing w:after="0" w:line="27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38</w:t>
      </w:r>
    </w:p>
    <w:p>
      <w:pPr>
        <w:sectPr>
          <w:pgSz w:w="11900" w:h="16838" w:orient="portrait"/>
          <w:cols w:equalWidth="0" w:num="1">
            <w:col w:w="11488"/>
          </w:cols>
          <w:pgMar w:left="212" w:top="505" w:right="199" w:bottom="1440" w:gutter="0" w:footer="0" w:header="0"/>
        </w:sectPr>
      </w:pPr>
    </w:p>
    <w:bookmarkStart w:id="38" w:name="page39"/>
    <w:bookmarkEnd w:id="38"/>
    <w:p>
      <w:pPr>
        <w:spacing w:after="0"/>
        <w:rPr>
          <w:sz w:val="20"/>
          <w:szCs w:val="20"/>
          <w:color w:val="auto"/>
        </w:rPr>
      </w:pPr>
      <w:r>
        <w:rPr>
          <w:rFonts w:ascii="Arial" w:cs="Arial" w:eastAsia="Arial" w:hAnsi="Arial"/>
          <w:sz w:val="12"/>
          <w:szCs w:val="12"/>
          <w:b w:val="1"/>
          <w:bCs w:val="1"/>
          <w:color w:val="auto"/>
        </w:rPr>
        <w:t>Trends Affecting Results of Operations and Future Business Performance</w:t>
      </w:r>
    </w:p>
    <w:p>
      <w:pPr>
        <w:spacing w:after="0" w:line="118" w:lineRule="exact"/>
        <w:rPr>
          <w:sz w:val="20"/>
          <w:szCs w:val="20"/>
          <w:color w:val="auto"/>
        </w:rPr>
      </w:pPr>
    </w:p>
    <w:p>
      <w:pPr>
        <w:ind w:firstLine="270"/>
        <w:spacing w:after="0" w:line="276" w:lineRule="auto"/>
        <w:rPr>
          <w:sz w:val="20"/>
          <w:szCs w:val="20"/>
          <w:color w:val="auto"/>
        </w:rPr>
      </w:pPr>
      <w:r>
        <w:rPr>
          <w:rFonts w:ascii="Arial" w:cs="Arial" w:eastAsia="Arial" w:hAnsi="Arial"/>
          <w:sz w:val="12"/>
          <w:szCs w:val="12"/>
          <w:color w:val="auto"/>
        </w:rPr>
        <w:t xml:space="preserve">The Company’s trends are described in the Company’s 2017 Form 10-K in Item 7, </w:t>
      </w:r>
      <w:r>
        <w:rPr>
          <w:rFonts w:ascii="Arial" w:cs="Arial" w:eastAsia="Arial" w:hAnsi="Arial"/>
          <w:sz w:val="12"/>
          <w:szCs w:val="12"/>
          <w:i w:val="1"/>
          <w:iCs w:val="1"/>
          <w:color w:val="auto"/>
        </w:rPr>
        <w:t>Management’s Discussion and Analysis of Financial Condition and Results of Operations - Trends Affecting Results of Operations and Future</w:t>
      </w:r>
      <w:r>
        <w:rPr>
          <w:rFonts w:ascii="Arial" w:cs="Arial" w:eastAsia="Arial" w:hAnsi="Arial"/>
          <w:sz w:val="12"/>
          <w:szCs w:val="12"/>
          <w:color w:val="auto"/>
        </w:rPr>
        <w:t xml:space="preserve"> </w:t>
      </w:r>
      <w:r>
        <w:rPr>
          <w:rFonts w:ascii="Arial" w:cs="Arial" w:eastAsia="Arial" w:hAnsi="Arial"/>
          <w:sz w:val="12"/>
          <w:szCs w:val="12"/>
          <w:i w:val="1"/>
          <w:iCs w:val="1"/>
          <w:color w:val="auto"/>
        </w:rPr>
        <w:t>Business Performance.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ectPr>
          <w:pgSz w:w="11900" w:h="16838" w:orient="portrait"/>
          <w:cols w:equalWidth="0" w:num="1">
            <w:col w:w="11480"/>
          </w:cols>
          <w:pgMar w:left="220" w:top="505" w:right="199" w:bottom="1440" w:gutter="0" w:footer="0" w:header="0"/>
        </w:sectPr>
      </w:pPr>
    </w:p>
    <w:bookmarkStart w:id="39" w:name="page40"/>
    <w:bookmarkEnd w:id="39"/>
    <w:p>
      <w:pPr>
        <w:ind w:left="8"/>
        <w:spacing w:after="0"/>
        <w:rPr>
          <w:sz w:val="20"/>
          <w:szCs w:val="20"/>
          <w:color w:val="auto"/>
        </w:rPr>
      </w:pPr>
      <w:r>
        <w:rPr>
          <w:rFonts w:ascii="Arial" w:cs="Arial" w:eastAsia="Arial" w:hAnsi="Arial"/>
          <w:sz w:val="12"/>
          <w:szCs w:val="12"/>
          <w:b w:val="1"/>
          <w:bCs w:val="1"/>
          <w:color w:val="auto"/>
        </w:rPr>
        <w:t>Consolidated Results of Operations</w:t>
      </w:r>
    </w:p>
    <w:p>
      <w:pPr>
        <w:spacing w:after="0" w:line="118" w:lineRule="exact"/>
        <w:rPr>
          <w:sz w:val="20"/>
          <w:szCs w:val="20"/>
          <w:color w:val="auto"/>
        </w:rPr>
      </w:pPr>
    </w:p>
    <w:p>
      <w:pPr>
        <w:ind w:left="268"/>
        <w:spacing w:after="0"/>
        <w:rPr>
          <w:sz w:val="20"/>
          <w:szCs w:val="20"/>
          <w:color w:val="auto"/>
        </w:rPr>
      </w:pPr>
      <w:r>
        <w:rPr>
          <w:rFonts w:ascii="Arial" w:cs="Arial" w:eastAsia="Arial" w:hAnsi="Arial"/>
          <w:sz w:val="12"/>
          <w:szCs w:val="12"/>
          <w:color w:val="auto"/>
        </w:rPr>
        <w:t>The following table provides selected financial information:</w:t>
      </w:r>
    </w:p>
    <w:p>
      <w:pPr>
        <w:spacing w:after="0" w:line="262"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0"/>
                <w:szCs w:val="10"/>
                <w:b w:val="1"/>
                <w:bCs w:val="1"/>
                <w:color w:val="auto"/>
                <w:w w:val="86"/>
              </w:rPr>
              <w:t>Three months ended June 30,</w:t>
            </w:r>
          </w:p>
        </w:tc>
        <w:tc>
          <w:tcPr>
            <w:tcW w:w="7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4"/>
          </w:tcPr>
          <w:p>
            <w:pPr>
              <w:spacing w:after="0"/>
              <w:rPr>
                <w:sz w:val="20"/>
                <w:szCs w:val="20"/>
                <w:color w:val="auto"/>
              </w:rPr>
            </w:pPr>
            <w:r>
              <w:rPr>
                <w:rFonts w:ascii="Arial" w:cs="Arial" w:eastAsia="Arial" w:hAnsi="Arial"/>
                <w:sz w:val="10"/>
                <w:szCs w:val="10"/>
                <w:b w:val="1"/>
                <w:bCs w:val="1"/>
                <w:color w:val="auto"/>
                <w:w w:val="85"/>
              </w:rPr>
              <w:t>Six months ended June 30,</w:t>
            </w: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r>
      <w:tr>
        <w:trPr>
          <w:trHeight w:val="146"/>
        </w:trPr>
        <w:tc>
          <w:tcPr>
            <w:tcW w:w="5400" w:type="dxa"/>
            <w:vAlign w:val="bottom"/>
            <w:gridSpan w:val="3"/>
          </w:tcPr>
          <w:p>
            <w:pPr>
              <w:ind w:left="20"/>
              <w:spacing w:after="0"/>
              <w:rPr>
                <w:sz w:val="20"/>
                <w:szCs w:val="20"/>
                <w:color w:val="auto"/>
              </w:rPr>
            </w:pPr>
            <w:r>
              <w:rPr>
                <w:rFonts w:ascii="Arial" w:cs="Arial" w:eastAsia="Arial" w:hAnsi="Arial"/>
                <w:sz w:val="10"/>
                <w:szCs w:val="10"/>
                <w:b w:val="1"/>
                <w:bCs w:val="1"/>
                <w:color w:val="auto"/>
              </w:rPr>
              <w:t>(In millions)</w:t>
            </w:r>
          </w:p>
        </w:tc>
        <w:tc>
          <w:tcPr>
            <w:tcW w:w="220" w:type="dxa"/>
            <w:vAlign w:val="bottom"/>
          </w:tcPr>
          <w:p>
            <w:pPr>
              <w:spacing w:after="0"/>
              <w:rPr>
                <w:sz w:val="12"/>
                <w:szCs w:val="12"/>
                <w:color w:val="auto"/>
              </w:rPr>
            </w:pPr>
          </w:p>
        </w:tc>
        <w:tc>
          <w:tcPr>
            <w:tcW w:w="660" w:type="dxa"/>
            <w:vAlign w:val="bottom"/>
          </w:tcPr>
          <w:p>
            <w:pPr>
              <w:jc w:val="right"/>
              <w:ind w:right="260"/>
              <w:spacing w:after="0"/>
              <w:rPr>
                <w:sz w:val="20"/>
                <w:szCs w:val="20"/>
                <w:color w:val="auto"/>
              </w:rPr>
            </w:pPr>
            <w:r>
              <w:rPr>
                <w:rFonts w:ascii="Arial" w:cs="Arial" w:eastAsia="Arial" w:hAnsi="Arial"/>
                <w:sz w:val="10"/>
                <w:szCs w:val="10"/>
                <w:b w:val="1"/>
                <w:bCs w:val="1"/>
                <w:color w:val="auto"/>
              </w:rPr>
              <w:t>2018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300"/>
              <w:spacing w:after="0"/>
              <w:rPr>
                <w:sz w:val="20"/>
                <w:szCs w:val="20"/>
                <w:color w:val="auto"/>
              </w:rPr>
            </w:pPr>
            <w:r>
              <w:rPr>
                <w:rFonts w:ascii="Arial" w:cs="Arial" w:eastAsia="Arial" w:hAnsi="Arial"/>
                <w:sz w:val="10"/>
                <w:szCs w:val="10"/>
                <w:b w:val="1"/>
                <w:bCs w:val="1"/>
                <w:color w:val="auto"/>
              </w:rPr>
              <w:t>2017</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ind w:left="120"/>
              <w:spacing w:after="0"/>
              <w:rPr>
                <w:sz w:val="20"/>
                <w:szCs w:val="20"/>
                <w:color w:val="auto"/>
              </w:rPr>
            </w:pPr>
            <w:r>
              <w:rPr>
                <w:rFonts w:ascii="Arial" w:cs="Arial" w:eastAsia="Arial" w:hAnsi="Arial"/>
                <w:sz w:val="10"/>
                <w:szCs w:val="10"/>
                <w:b w:val="1"/>
                <w:bCs w:val="1"/>
                <w:color w:val="auto"/>
              </w:rPr>
              <w:t>Change</w:t>
            </w:r>
          </w:p>
        </w:tc>
        <w:tc>
          <w:tcPr>
            <w:tcW w:w="220" w:type="dxa"/>
            <w:vAlign w:val="bottom"/>
          </w:tcPr>
          <w:p>
            <w:pPr>
              <w:spacing w:after="0"/>
              <w:rPr>
                <w:sz w:val="12"/>
                <w:szCs w:val="12"/>
                <w:color w:val="auto"/>
              </w:rPr>
            </w:pPr>
          </w:p>
        </w:tc>
        <w:tc>
          <w:tcPr>
            <w:tcW w:w="700" w:type="dxa"/>
            <w:vAlign w:val="bottom"/>
          </w:tcPr>
          <w:p>
            <w:pPr>
              <w:jc w:val="right"/>
              <w:ind w:right="300"/>
              <w:spacing w:after="0"/>
              <w:rPr>
                <w:sz w:val="20"/>
                <w:szCs w:val="20"/>
                <w:color w:val="auto"/>
              </w:rPr>
            </w:pPr>
            <w:r>
              <w:rPr>
                <w:rFonts w:ascii="Arial" w:cs="Arial" w:eastAsia="Arial" w:hAnsi="Arial"/>
                <w:sz w:val="10"/>
                <w:szCs w:val="10"/>
                <w:b w:val="1"/>
                <w:bCs w:val="1"/>
                <w:color w:val="auto"/>
              </w:rPr>
              <w:t>2018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ind w:right="280"/>
              <w:spacing w:after="0"/>
              <w:rPr>
                <w:sz w:val="20"/>
                <w:szCs w:val="20"/>
                <w:color w:val="auto"/>
              </w:rPr>
            </w:pPr>
            <w:r>
              <w:rPr>
                <w:rFonts w:ascii="Arial" w:cs="Arial" w:eastAsia="Arial" w:hAnsi="Arial"/>
                <w:sz w:val="10"/>
                <w:szCs w:val="10"/>
                <w:b w:val="1"/>
                <w:bCs w:val="1"/>
                <w:color w:val="auto"/>
              </w:rPr>
              <w:t>2017</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240"/>
              <w:spacing w:after="0"/>
              <w:rPr>
                <w:sz w:val="20"/>
                <w:szCs w:val="20"/>
                <w:color w:val="auto"/>
              </w:rPr>
            </w:pPr>
            <w:r>
              <w:rPr>
                <w:rFonts w:ascii="Arial" w:cs="Arial" w:eastAsia="Arial" w:hAnsi="Arial"/>
                <w:sz w:val="10"/>
                <w:szCs w:val="10"/>
                <w:b w:val="1"/>
                <w:bCs w:val="1"/>
                <w:color w:val="auto"/>
              </w:rPr>
              <w:t>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36"/>
        </w:trPr>
        <w:tc>
          <w:tcPr>
            <w:tcW w:w="54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Operating Revenues</w:t>
            </w:r>
          </w:p>
        </w:tc>
        <w:tc>
          <w:tcPr>
            <w:tcW w:w="22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r>
      <w:tr>
        <w:trPr>
          <w:trHeight w:val="171"/>
        </w:trPr>
        <w:tc>
          <w:tcPr>
            <w:tcW w:w="20" w:type="dxa"/>
            <w:vAlign w:val="bottom"/>
          </w:tcPr>
          <w:p>
            <w:pPr>
              <w:spacing w:after="0"/>
              <w:rPr>
                <w:sz w:val="14"/>
                <w:szCs w:val="14"/>
                <w:color w:val="auto"/>
              </w:rPr>
            </w:pPr>
          </w:p>
        </w:tc>
        <w:tc>
          <w:tcPr>
            <w:tcW w:w="5380" w:type="dxa"/>
            <w:vAlign w:val="bottom"/>
            <w:gridSpan w:val="2"/>
          </w:tcPr>
          <w:p>
            <w:pPr>
              <w:ind w:left="80"/>
              <w:spacing w:after="0"/>
              <w:rPr>
                <w:sz w:val="20"/>
                <w:szCs w:val="20"/>
                <w:color w:val="auto"/>
              </w:rPr>
            </w:pPr>
            <w:r>
              <w:rPr>
                <w:rFonts w:ascii="Arial" w:cs="Arial" w:eastAsia="Arial" w:hAnsi="Arial"/>
                <w:sz w:val="11"/>
                <w:szCs w:val="11"/>
                <w:color w:val="auto"/>
              </w:rPr>
              <w:t>Energy and capacity revenues</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ind w:right="20"/>
              <w:spacing w:after="0"/>
              <w:rPr>
                <w:sz w:val="20"/>
                <w:szCs w:val="20"/>
                <w:color w:val="auto"/>
              </w:rPr>
            </w:pPr>
            <w:r>
              <w:rPr>
                <w:rFonts w:ascii="Arial" w:cs="Arial" w:eastAsia="Arial" w:hAnsi="Arial"/>
                <w:sz w:val="12"/>
                <w:szCs w:val="12"/>
                <w:color w:val="auto"/>
              </w:rPr>
              <w:t>325</w:t>
            </w:r>
          </w:p>
        </w:tc>
        <w:tc>
          <w:tcPr>
            <w:tcW w:w="38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40"/>
              <w:spacing w:after="0"/>
              <w:rPr>
                <w:sz w:val="20"/>
                <w:szCs w:val="20"/>
                <w:color w:val="auto"/>
              </w:rPr>
            </w:pPr>
            <w:r>
              <w:rPr>
                <w:rFonts w:ascii="Arial" w:cs="Arial" w:eastAsia="Arial" w:hAnsi="Arial"/>
                <w:sz w:val="12"/>
                <w:szCs w:val="12"/>
                <w:color w:val="auto"/>
              </w:rPr>
              <w:t>305</w:t>
            </w:r>
          </w:p>
        </w:tc>
        <w:tc>
          <w:tcPr>
            <w:tcW w:w="12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ind w:right="60"/>
              <w:spacing w:after="0"/>
              <w:rPr>
                <w:sz w:val="20"/>
                <w:szCs w:val="20"/>
                <w:color w:val="auto"/>
              </w:rPr>
            </w:pPr>
            <w:r>
              <w:rPr>
                <w:rFonts w:ascii="Arial" w:cs="Arial" w:eastAsia="Arial" w:hAnsi="Arial"/>
                <w:sz w:val="12"/>
                <w:szCs w:val="12"/>
                <w:color w:val="auto"/>
              </w:rPr>
              <w:t>20</w:t>
            </w:r>
          </w:p>
        </w:tc>
        <w:tc>
          <w:tcPr>
            <w:tcW w:w="120" w:type="dxa"/>
            <w:vAlign w:val="bottom"/>
          </w:tcPr>
          <w:p>
            <w:pPr>
              <w:spacing w:after="0"/>
              <w:rPr>
                <w:sz w:val="14"/>
                <w:szCs w:val="14"/>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567</w:t>
            </w:r>
          </w:p>
        </w:tc>
        <w:tc>
          <w:tcPr>
            <w:tcW w:w="3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40"/>
              <w:spacing w:after="0"/>
              <w:rPr>
                <w:sz w:val="20"/>
                <w:szCs w:val="20"/>
                <w:color w:val="auto"/>
              </w:rPr>
            </w:pPr>
            <w:r>
              <w:rPr>
                <w:rFonts w:ascii="Arial" w:cs="Arial" w:eastAsia="Arial" w:hAnsi="Arial"/>
                <w:sz w:val="12"/>
                <w:szCs w:val="12"/>
                <w:color w:val="auto"/>
              </w:rPr>
              <w:t>543</w:t>
            </w:r>
          </w:p>
        </w:tc>
        <w:tc>
          <w:tcPr>
            <w:tcW w:w="120" w:type="dxa"/>
            <w:vAlign w:val="bottom"/>
          </w:tcPr>
          <w:p>
            <w:pPr>
              <w:spacing w:after="0"/>
              <w:rPr>
                <w:sz w:val="14"/>
                <w:szCs w:val="14"/>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ind w:right="60"/>
              <w:spacing w:after="0"/>
              <w:rPr>
                <w:sz w:val="20"/>
                <w:szCs w:val="20"/>
                <w:color w:val="auto"/>
              </w:rPr>
            </w:pPr>
            <w:r>
              <w:rPr>
                <w:rFonts w:ascii="Arial" w:cs="Arial" w:eastAsia="Arial" w:hAnsi="Arial"/>
                <w:sz w:val="12"/>
                <w:szCs w:val="12"/>
                <w:color w:val="auto"/>
              </w:rPr>
              <w:t>24</w:t>
            </w:r>
          </w:p>
        </w:tc>
      </w:tr>
      <w:tr>
        <w:trPr>
          <w:trHeight w:val="180"/>
        </w:trPr>
        <w:tc>
          <w:tcPr>
            <w:tcW w:w="20" w:type="dxa"/>
            <w:vAlign w:val="bottom"/>
            <w:shd w:val="clear" w:color="auto" w:fill="CCEEFF"/>
          </w:tcPr>
          <w:p>
            <w:pPr>
              <w:spacing w:after="0"/>
              <w:rPr>
                <w:sz w:val="15"/>
                <w:szCs w:val="15"/>
                <w:color w:val="auto"/>
              </w:rPr>
            </w:pPr>
          </w:p>
        </w:tc>
        <w:tc>
          <w:tcPr>
            <w:tcW w:w="53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Contract amortization</w:t>
            </w:r>
          </w:p>
        </w:tc>
        <w:tc>
          <w:tcPr>
            <w:tcW w:w="2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(35)</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w:t>
            </w:r>
          </w:p>
        </w:tc>
      </w:tr>
      <w:tr>
        <w:trPr>
          <w:trHeight w:val="169"/>
        </w:trPr>
        <w:tc>
          <w:tcPr>
            <w:tcW w:w="20" w:type="dxa"/>
            <w:vAlign w:val="bottom"/>
            <w:tcBorders>
              <w:bottom w:val="single" w:sz="8" w:color="CCEEFF"/>
            </w:tcBorders>
          </w:tcPr>
          <w:p>
            <w:pPr>
              <w:spacing w:after="0"/>
              <w:rPr>
                <w:sz w:val="14"/>
                <w:szCs w:val="14"/>
                <w:color w:val="auto"/>
              </w:rPr>
            </w:pPr>
          </w:p>
        </w:tc>
        <w:tc>
          <w:tcPr>
            <w:tcW w:w="5380" w:type="dxa"/>
            <w:vAlign w:val="bottom"/>
            <w:tcBorders>
              <w:bottom w:val="single" w:sz="8" w:color="CCEEFF"/>
            </w:tcBorders>
            <w:gridSpan w:val="2"/>
          </w:tcPr>
          <w:p>
            <w:pPr>
              <w:ind w:left="160"/>
              <w:spacing w:after="0"/>
              <w:rPr>
                <w:sz w:val="20"/>
                <w:szCs w:val="20"/>
                <w:color w:val="auto"/>
              </w:rPr>
            </w:pPr>
            <w:r>
              <w:rPr>
                <w:rFonts w:ascii="Arial" w:cs="Arial" w:eastAsia="Arial" w:hAnsi="Arial"/>
                <w:sz w:val="11"/>
                <w:szCs w:val="11"/>
                <w:color w:val="auto"/>
              </w:rPr>
              <w:t>Total operating revenues</w:t>
            </w: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307</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288</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19</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532</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509</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23</w:t>
            </w:r>
          </w:p>
        </w:tc>
      </w:tr>
      <w:tr>
        <w:trPr>
          <w:trHeight w:val="158"/>
        </w:trPr>
        <w:tc>
          <w:tcPr>
            <w:tcW w:w="54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Operating Costs and Expenses</w:t>
            </w:r>
          </w:p>
        </w:tc>
        <w:tc>
          <w:tcPr>
            <w:tcW w:w="2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5380" w:type="dxa"/>
            <w:vAlign w:val="bottom"/>
            <w:gridSpan w:val="2"/>
          </w:tcPr>
          <w:p>
            <w:pPr>
              <w:ind w:left="80"/>
              <w:spacing w:after="0"/>
              <w:rPr>
                <w:sz w:val="20"/>
                <w:szCs w:val="20"/>
                <w:color w:val="auto"/>
              </w:rPr>
            </w:pPr>
            <w:r>
              <w:rPr>
                <w:rFonts w:ascii="Arial" w:cs="Arial" w:eastAsia="Arial" w:hAnsi="Arial"/>
                <w:sz w:val="11"/>
                <w:szCs w:val="11"/>
                <w:color w:val="auto"/>
              </w:rPr>
              <w:t>Cost of fuels</w:t>
            </w:r>
          </w:p>
        </w:tc>
        <w:tc>
          <w:tcPr>
            <w:tcW w:w="220" w:type="dxa"/>
            <w:vAlign w:val="bottom"/>
          </w:tcPr>
          <w:p>
            <w:pPr>
              <w:spacing w:after="0"/>
              <w:rPr>
                <w:sz w:val="14"/>
                <w:szCs w:val="14"/>
                <w:color w:val="auto"/>
              </w:rPr>
            </w:pPr>
          </w:p>
        </w:tc>
        <w:tc>
          <w:tcPr>
            <w:tcW w:w="660" w:type="dxa"/>
            <w:vAlign w:val="bottom"/>
          </w:tcPr>
          <w:p>
            <w:pPr>
              <w:jc w:val="right"/>
              <w:ind w:right="20"/>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40"/>
              <w:spacing w:after="0"/>
              <w:rPr>
                <w:sz w:val="20"/>
                <w:szCs w:val="20"/>
                <w:color w:val="auto"/>
              </w:rPr>
            </w:pPr>
            <w:r>
              <w:rPr>
                <w:rFonts w:ascii="Arial" w:cs="Arial" w:eastAsia="Arial" w:hAnsi="Arial"/>
                <w:sz w:val="12"/>
                <w:szCs w:val="12"/>
                <w:color w:val="auto"/>
              </w:rPr>
              <w:t>14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0"/>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37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40"/>
              <w:spacing w:after="0"/>
              <w:rPr>
                <w:sz w:val="20"/>
                <w:szCs w:val="20"/>
                <w:color w:val="auto"/>
              </w:rPr>
            </w:pPr>
            <w:r>
              <w:rPr>
                <w:rFonts w:ascii="Arial" w:cs="Arial" w:eastAsia="Arial" w:hAnsi="Arial"/>
                <w:sz w:val="12"/>
                <w:szCs w:val="12"/>
                <w:color w:val="auto"/>
              </w:rPr>
              <w:t>30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60"/>
              <w:spacing w:after="0"/>
              <w:rPr>
                <w:sz w:val="20"/>
                <w:szCs w:val="20"/>
                <w:color w:val="auto"/>
              </w:rPr>
            </w:pPr>
            <w:r>
              <w:rPr>
                <w:rFonts w:ascii="Arial" w:cs="Arial" w:eastAsia="Arial" w:hAnsi="Arial"/>
                <w:sz w:val="12"/>
                <w:szCs w:val="12"/>
                <w:color w:val="auto"/>
              </w:rPr>
              <w:t>7</w:t>
            </w:r>
          </w:p>
        </w:tc>
      </w:tr>
      <w:tr>
        <w:trPr>
          <w:trHeight w:val="189"/>
        </w:trPr>
        <w:tc>
          <w:tcPr>
            <w:tcW w:w="20" w:type="dxa"/>
            <w:vAlign w:val="bottom"/>
            <w:shd w:val="clear" w:color="auto" w:fill="CCEEFF"/>
          </w:tcPr>
          <w:p>
            <w:pPr>
              <w:spacing w:after="0"/>
              <w:rPr>
                <w:sz w:val="16"/>
                <w:szCs w:val="16"/>
                <w:color w:val="auto"/>
              </w:rPr>
            </w:pPr>
          </w:p>
        </w:tc>
        <w:tc>
          <w:tcPr>
            <w:tcW w:w="53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Operations and maintenance</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42</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98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w:t>
            </w:r>
          </w:p>
        </w:tc>
      </w:tr>
      <w:tr>
        <w:trPr>
          <w:trHeight w:val="171"/>
        </w:trPr>
        <w:tc>
          <w:tcPr>
            <w:tcW w:w="20" w:type="dxa"/>
            <w:vAlign w:val="bottom"/>
          </w:tcPr>
          <w:p>
            <w:pPr>
              <w:spacing w:after="0"/>
              <w:rPr>
                <w:sz w:val="14"/>
                <w:szCs w:val="14"/>
                <w:color w:val="auto"/>
              </w:rPr>
            </w:pPr>
          </w:p>
        </w:tc>
        <w:tc>
          <w:tcPr>
            <w:tcW w:w="5380" w:type="dxa"/>
            <w:vAlign w:val="bottom"/>
            <w:gridSpan w:val="2"/>
          </w:tcPr>
          <w:p>
            <w:pPr>
              <w:ind w:left="80"/>
              <w:spacing w:after="0"/>
              <w:rPr>
                <w:sz w:val="20"/>
                <w:szCs w:val="20"/>
                <w:color w:val="auto"/>
              </w:rPr>
            </w:pPr>
            <w:r>
              <w:rPr>
                <w:rFonts w:ascii="Arial" w:cs="Arial" w:eastAsia="Arial" w:hAnsi="Arial"/>
                <w:sz w:val="11"/>
                <w:szCs w:val="11"/>
                <w:color w:val="auto"/>
              </w:rPr>
              <w:t>Other costs of operations</w:t>
            </w:r>
          </w:p>
        </w:tc>
        <w:tc>
          <w:tcPr>
            <w:tcW w:w="220" w:type="dxa"/>
            <w:vAlign w:val="bottom"/>
          </w:tcPr>
          <w:p>
            <w:pPr>
              <w:spacing w:after="0"/>
              <w:rPr>
                <w:sz w:val="14"/>
                <w:szCs w:val="14"/>
                <w:color w:val="auto"/>
              </w:rPr>
            </w:pPr>
          </w:p>
        </w:tc>
        <w:tc>
          <w:tcPr>
            <w:tcW w:w="660" w:type="dxa"/>
            <w:vAlign w:val="bottom"/>
          </w:tcPr>
          <w:p>
            <w:pPr>
              <w:jc w:val="right"/>
              <w:ind w:right="20"/>
              <w:spacing w:after="0"/>
              <w:rPr>
                <w:sz w:val="20"/>
                <w:szCs w:val="20"/>
                <w:color w:val="auto"/>
              </w:rPr>
            </w:pPr>
            <w:r>
              <w:rPr>
                <w:rFonts w:ascii="Arial" w:cs="Arial" w:eastAsia="Arial" w:hAnsi="Arial"/>
                <w:sz w:val="12"/>
                <w:szCs w:val="12"/>
                <w:color w:val="auto"/>
              </w:rPr>
              <w:t>15</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40"/>
              <w:spacing w:after="0"/>
              <w:rPr>
                <w:sz w:val="20"/>
                <w:szCs w:val="20"/>
                <w:color w:val="auto"/>
              </w:rPr>
            </w:pPr>
            <w:r>
              <w:rPr>
                <w:rFonts w:ascii="Arial" w:cs="Arial" w:eastAsia="Arial" w:hAnsi="Arial"/>
                <w:sz w:val="12"/>
                <w:szCs w:val="12"/>
                <w:color w:val="auto"/>
              </w:rPr>
              <w:t>17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0"/>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32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40"/>
              <w:spacing w:after="0"/>
              <w:rPr>
                <w:sz w:val="20"/>
                <w:szCs w:val="20"/>
                <w:color w:val="auto"/>
              </w:rPr>
            </w:pPr>
            <w:r>
              <w:rPr>
                <w:rFonts w:ascii="Arial" w:cs="Arial" w:eastAsia="Arial" w:hAnsi="Arial"/>
                <w:sz w:val="12"/>
                <w:szCs w:val="12"/>
                <w:color w:val="auto"/>
              </w:rPr>
              <w:t>34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0"/>
              <w:spacing w:after="0"/>
              <w:rPr>
                <w:sz w:val="20"/>
                <w:szCs w:val="20"/>
                <w:color w:val="auto"/>
              </w:rPr>
            </w:pPr>
            <w:r>
              <w:rPr>
                <w:rFonts w:ascii="Arial" w:cs="Arial" w:eastAsia="Arial" w:hAnsi="Arial"/>
                <w:sz w:val="12"/>
                <w:szCs w:val="12"/>
                <w:color w:val="auto"/>
              </w:rPr>
              <w:t>(2)</w:t>
            </w:r>
          </w:p>
        </w:tc>
      </w:tr>
      <w:tr>
        <w:trPr>
          <w:trHeight w:val="189"/>
        </w:trPr>
        <w:tc>
          <w:tcPr>
            <w:tcW w:w="20" w:type="dxa"/>
            <w:vAlign w:val="bottom"/>
            <w:shd w:val="clear" w:color="auto" w:fill="CCEEFF"/>
          </w:tcPr>
          <w:p>
            <w:pPr>
              <w:spacing w:after="0"/>
              <w:rPr>
                <w:sz w:val="16"/>
                <w:szCs w:val="16"/>
                <w:color w:val="auto"/>
              </w:rPr>
            </w:pPr>
          </w:p>
        </w:tc>
        <w:tc>
          <w:tcPr>
            <w:tcW w:w="53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Depreciation and amortization</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82</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163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156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w:t>
            </w:r>
          </w:p>
        </w:tc>
      </w:tr>
      <w:tr>
        <w:trPr>
          <w:trHeight w:val="171"/>
        </w:trPr>
        <w:tc>
          <w:tcPr>
            <w:tcW w:w="20" w:type="dxa"/>
            <w:vAlign w:val="bottom"/>
          </w:tcPr>
          <w:p>
            <w:pPr>
              <w:spacing w:after="0"/>
              <w:rPr>
                <w:sz w:val="14"/>
                <w:szCs w:val="14"/>
                <w:color w:val="auto"/>
              </w:rPr>
            </w:pPr>
          </w:p>
        </w:tc>
        <w:tc>
          <w:tcPr>
            <w:tcW w:w="5380" w:type="dxa"/>
            <w:vAlign w:val="bottom"/>
            <w:gridSpan w:val="2"/>
          </w:tcPr>
          <w:p>
            <w:pPr>
              <w:ind w:left="80"/>
              <w:spacing w:after="0"/>
              <w:rPr>
                <w:sz w:val="20"/>
                <w:szCs w:val="20"/>
                <w:color w:val="auto"/>
              </w:rPr>
            </w:pPr>
            <w:r>
              <w:rPr>
                <w:rFonts w:ascii="Arial" w:cs="Arial" w:eastAsia="Arial" w:hAnsi="Arial"/>
                <w:sz w:val="11"/>
                <w:szCs w:val="11"/>
                <w:color w:val="auto"/>
              </w:rPr>
              <w:t>General and administrative</w:t>
            </w:r>
          </w:p>
        </w:tc>
        <w:tc>
          <w:tcPr>
            <w:tcW w:w="220" w:type="dxa"/>
            <w:vAlign w:val="bottom"/>
          </w:tcPr>
          <w:p>
            <w:pPr>
              <w:spacing w:after="0"/>
              <w:rPr>
                <w:sz w:val="14"/>
                <w:szCs w:val="14"/>
                <w:color w:val="auto"/>
              </w:rPr>
            </w:pPr>
          </w:p>
        </w:tc>
        <w:tc>
          <w:tcPr>
            <w:tcW w:w="660" w:type="dxa"/>
            <w:vAlign w:val="bottom"/>
          </w:tcPr>
          <w:p>
            <w:pPr>
              <w:jc w:val="right"/>
              <w:ind w:right="20"/>
              <w:spacing w:after="0"/>
              <w:rPr>
                <w:sz w:val="20"/>
                <w:szCs w:val="20"/>
                <w:color w:val="auto"/>
              </w:rPr>
            </w:pPr>
            <w:r>
              <w:rPr>
                <w:rFonts w:ascii="Arial" w:cs="Arial" w:eastAsia="Arial" w:hAnsi="Arial"/>
                <w:sz w:val="12"/>
                <w:szCs w:val="12"/>
                <w:color w:val="auto"/>
              </w:rPr>
              <w:t>6</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40"/>
              <w:spacing w:after="0"/>
              <w:rPr>
                <w:sz w:val="20"/>
                <w:szCs w:val="20"/>
                <w:color w:val="auto"/>
              </w:rPr>
            </w:pPr>
            <w:r>
              <w:rPr>
                <w:rFonts w:ascii="Arial" w:cs="Arial" w:eastAsia="Arial" w:hAnsi="Arial"/>
                <w:sz w:val="12"/>
                <w:szCs w:val="12"/>
                <w:color w:val="auto"/>
              </w:rPr>
              <w:t>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40"/>
              <w:spacing w:after="0"/>
              <w:rPr>
                <w:sz w:val="20"/>
                <w:szCs w:val="20"/>
                <w:color w:val="auto"/>
              </w:rPr>
            </w:pPr>
            <w:r>
              <w:rPr>
                <w:rFonts w:ascii="Arial" w:cs="Arial" w:eastAsia="Arial" w:hAnsi="Arial"/>
                <w:sz w:val="12"/>
                <w:szCs w:val="12"/>
                <w:color w:val="auto"/>
              </w:rPr>
              <w:t>10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60"/>
              <w:spacing w:after="0"/>
              <w:rPr>
                <w:sz w:val="20"/>
                <w:szCs w:val="20"/>
                <w:color w:val="auto"/>
              </w:rPr>
            </w:pPr>
            <w:r>
              <w:rPr>
                <w:rFonts w:ascii="Arial" w:cs="Arial" w:eastAsia="Arial" w:hAnsi="Arial"/>
                <w:sz w:val="12"/>
                <w:szCs w:val="12"/>
                <w:color w:val="auto"/>
              </w:rPr>
              <w:t>1</w:t>
            </w:r>
          </w:p>
        </w:tc>
      </w:tr>
      <w:tr>
        <w:trPr>
          <w:trHeight w:val="180"/>
        </w:trPr>
        <w:tc>
          <w:tcPr>
            <w:tcW w:w="20" w:type="dxa"/>
            <w:vAlign w:val="bottom"/>
            <w:shd w:val="clear" w:color="auto" w:fill="CCEEFF"/>
          </w:tcPr>
          <w:p>
            <w:pPr>
              <w:spacing w:after="0"/>
              <w:rPr>
                <w:sz w:val="15"/>
                <w:szCs w:val="15"/>
                <w:color w:val="auto"/>
              </w:rPr>
            </w:pPr>
          </w:p>
        </w:tc>
        <w:tc>
          <w:tcPr>
            <w:tcW w:w="53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Acquisition-related transaction and integration costs</w:t>
            </w:r>
          </w:p>
        </w:tc>
        <w:tc>
          <w:tcPr>
            <w:tcW w:w="2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w:t>
            </w:r>
          </w:p>
        </w:tc>
        <w:tc>
          <w:tcPr>
            <w:tcW w:w="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69"/>
        </w:trPr>
        <w:tc>
          <w:tcPr>
            <w:tcW w:w="20" w:type="dxa"/>
            <w:vAlign w:val="bottom"/>
          </w:tcPr>
          <w:p>
            <w:pPr>
              <w:spacing w:after="0"/>
              <w:rPr>
                <w:sz w:val="14"/>
                <w:szCs w:val="14"/>
                <w:color w:val="auto"/>
              </w:rPr>
            </w:pPr>
          </w:p>
        </w:tc>
        <w:tc>
          <w:tcPr>
            <w:tcW w:w="5380" w:type="dxa"/>
            <w:vAlign w:val="bottom"/>
            <w:gridSpan w:val="2"/>
          </w:tcPr>
          <w:p>
            <w:pPr>
              <w:ind w:left="160"/>
              <w:spacing w:after="0"/>
              <w:rPr>
                <w:sz w:val="20"/>
                <w:szCs w:val="20"/>
                <w:color w:val="auto"/>
              </w:rPr>
            </w:pPr>
            <w:r>
              <w:rPr>
                <w:rFonts w:ascii="Arial" w:cs="Arial" w:eastAsia="Arial" w:hAnsi="Arial"/>
                <w:sz w:val="11"/>
                <w:szCs w:val="11"/>
                <w:color w:val="auto"/>
              </w:rPr>
              <w:t>Total operating costs and expenses</w:t>
            </w:r>
          </w:p>
        </w:tc>
        <w:tc>
          <w:tcPr>
            <w:tcW w:w="220" w:type="dxa"/>
            <w:vAlign w:val="bottom"/>
          </w:tcPr>
          <w:p>
            <w:pPr>
              <w:spacing w:after="0"/>
              <w:rPr>
                <w:sz w:val="14"/>
                <w:szCs w:val="14"/>
                <w:color w:val="auto"/>
              </w:rPr>
            </w:pPr>
          </w:p>
        </w:tc>
        <w:tc>
          <w:tcPr>
            <w:tcW w:w="660" w:type="dxa"/>
            <w:vAlign w:val="bottom"/>
          </w:tcPr>
          <w:p>
            <w:pPr>
              <w:jc w:val="right"/>
              <w:ind w:right="20"/>
              <w:spacing w:after="0"/>
              <w:rPr>
                <w:sz w:val="20"/>
                <w:szCs w:val="20"/>
                <w:color w:val="auto"/>
              </w:rPr>
            </w:pPr>
            <w:r>
              <w:rPr>
                <w:rFonts w:ascii="Arial" w:cs="Arial" w:eastAsia="Arial" w:hAnsi="Arial"/>
                <w:sz w:val="12"/>
                <w:szCs w:val="12"/>
                <w:color w:val="auto"/>
              </w:rPr>
              <w:t>163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40"/>
              <w:spacing w:after="0"/>
              <w:rPr>
                <w:sz w:val="20"/>
                <w:szCs w:val="20"/>
                <w:color w:val="auto"/>
              </w:rPr>
            </w:pPr>
            <w:r>
              <w:rPr>
                <w:rFonts w:ascii="Arial" w:cs="Arial" w:eastAsia="Arial" w:hAnsi="Arial"/>
                <w:sz w:val="12"/>
                <w:szCs w:val="12"/>
                <w:color w:val="auto"/>
              </w:rPr>
              <w:t>163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339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40"/>
              <w:spacing w:after="0"/>
              <w:rPr>
                <w:sz w:val="20"/>
                <w:szCs w:val="20"/>
                <w:color w:val="auto"/>
              </w:rPr>
            </w:pPr>
            <w:r>
              <w:rPr>
                <w:rFonts w:ascii="Arial" w:cs="Arial" w:eastAsia="Arial" w:hAnsi="Arial"/>
                <w:sz w:val="12"/>
                <w:szCs w:val="12"/>
                <w:color w:val="auto"/>
              </w:rPr>
              <w:t>330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60"/>
              <w:spacing w:after="0"/>
              <w:rPr>
                <w:sz w:val="20"/>
                <w:szCs w:val="20"/>
                <w:color w:val="auto"/>
              </w:rPr>
            </w:pPr>
            <w:r>
              <w:rPr>
                <w:rFonts w:ascii="Arial" w:cs="Arial" w:eastAsia="Arial" w:hAnsi="Arial"/>
                <w:sz w:val="12"/>
                <w:szCs w:val="12"/>
                <w:color w:val="auto"/>
              </w:rPr>
              <w:t>9</w:t>
            </w:r>
          </w:p>
        </w:tc>
      </w:tr>
      <w:tr>
        <w:trPr>
          <w:trHeight w:val="178"/>
        </w:trPr>
        <w:tc>
          <w:tcPr>
            <w:tcW w:w="540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Operating Income</w:t>
            </w: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144</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125</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19</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193</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179</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14</w:t>
            </w:r>
          </w:p>
        </w:tc>
      </w:tr>
      <w:tr>
        <w:trPr>
          <w:trHeight w:val="149"/>
        </w:trPr>
        <w:tc>
          <w:tcPr>
            <w:tcW w:w="5400" w:type="dxa"/>
            <w:vAlign w:val="bottom"/>
            <w:gridSpan w:val="3"/>
          </w:tcPr>
          <w:p>
            <w:pPr>
              <w:ind w:left="20"/>
              <w:spacing w:after="0"/>
              <w:rPr>
                <w:sz w:val="20"/>
                <w:szCs w:val="20"/>
                <w:color w:val="auto"/>
              </w:rPr>
            </w:pPr>
            <w:r>
              <w:rPr>
                <w:rFonts w:ascii="Arial" w:cs="Arial" w:eastAsia="Arial" w:hAnsi="Arial"/>
                <w:sz w:val="11"/>
                <w:szCs w:val="11"/>
                <w:b w:val="1"/>
                <w:bCs w:val="1"/>
                <w:color w:val="auto"/>
              </w:rPr>
              <w:t>Other Income (Expense)</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3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Equity in earnings of unconsolidated affiliates</w:t>
            </w: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29</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16</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w:t>
            </w:r>
          </w:p>
        </w:tc>
      </w:tr>
      <w:tr>
        <w:trPr>
          <w:trHeight w:val="171"/>
        </w:trPr>
        <w:tc>
          <w:tcPr>
            <w:tcW w:w="20" w:type="dxa"/>
            <w:vAlign w:val="bottom"/>
          </w:tcPr>
          <w:p>
            <w:pPr>
              <w:spacing w:after="0"/>
              <w:rPr>
                <w:sz w:val="14"/>
                <w:szCs w:val="14"/>
                <w:color w:val="auto"/>
              </w:rPr>
            </w:pPr>
          </w:p>
        </w:tc>
        <w:tc>
          <w:tcPr>
            <w:tcW w:w="5380" w:type="dxa"/>
            <w:vAlign w:val="bottom"/>
            <w:gridSpan w:val="2"/>
          </w:tcPr>
          <w:p>
            <w:pPr>
              <w:ind w:left="80"/>
              <w:spacing w:after="0"/>
              <w:rPr>
                <w:sz w:val="20"/>
                <w:szCs w:val="20"/>
                <w:color w:val="auto"/>
              </w:rPr>
            </w:pPr>
            <w:r>
              <w:rPr>
                <w:rFonts w:ascii="Arial" w:cs="Arial" w:eastAsia="Arial" w:hAnsi="Arial"/>
                <w:sz w:val="11"/>
                <w:szCs w:val="11"/>
                <w:color w:val="auto"/>
              </w:rPr>
              <w:t>Other income, net</w:t>
            </w:r>
          </w:p>
        </w:tc>
        <w:tc>
          <w:tcPr>
            <w:tcW w:w="220" w:type="dxa"/>
            <w:vAlign w:val="bottom"/>
          </w:tcPr>
          <w:p>
            <w:pPr>
              <w:spacing w:after="0"/>
              <w:rPr>
                <w:sz w:val="14"/>
                <w:szCs w:val="14"/>
                <w:color w:val="auto"/>
              </w:rPr>
            </w:pPr>
          </w:p>
        </w:tc>
        <w:tc>
          <w:tcPr>
            <w:tcW w:w="660" w:type="dxa"/>
            <w:vAlign w:val="bottom"/>
          </w:tcPr>
          <w:p>
            <w:pPr>
              <w:jc w:val="right"/>
              <w:ind w:right="20"/>
              <w:spacing w:after="0"/>
              <w:rPr>
                <w:sz w:val="20"/>
                <w:szCs w:val="20"/>
                <w:color w:val="auto"/>
              </w:rPr>
            </w:pPr>
            <w:r>
              <w:rPr>
                <w:rFonts w:ascii="Arial" w:cs="Arial" w:eastAsia="Arial" w:hAnsi="Arial"/>
                <w:sz w:val="12"/>
                <w:szCs w:val="12"/>
                <w:color w:val="auto"/>
              </w:rPr>
              <w:t>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40"/>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40"/>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20" w:type="dxa"/>
            <w:vAlign w:val="bottom"/>
            <w:shd w:val="clear" w:color="auto" w:fill="CCEEFF"/>
          </w:tcPr>
          <w:p>
            <w:pPr>
              <w:spacing w:after="0"/>
              <w:rPr>
                <w:sz w:val="16"/>
                <w:szCs w:val="16"/>
                <w:color w:val="auto"/>
              </w:rPr>
            </w:pPr>
          </w:p>
        </w:tc>
        <w:tc>
          <w:tcPr>
            <w:tcW w:w="53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Loss on debt extinguishment</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w:t>
            </w:r>
          </w:p>
        </w:tc>
      </w:tr>
      <w:tr>
        <w:trPr>
          <w:trHeight w:val="171"/>
        </w:trPr>
        <w:tc>
          <w:tcPr>
            <w:tcW w:w="20" w:type="dxa"/>
            <w:vAlign w:val="bottom"/>
            <w:tcBorders>
              <w:bottom w:val="single" w:sz="8" w:color="CCEEFF"/>
            </w:tcBorders>
          </w:tcPr>
          <w:p>
            <w:pPr>
              <w:spacing w:after="0"/>
              <w:rPr>
                <w:sz w:val="14"/>
                <w:szCs w:val="14"/>
                <w:color w:val="auto"/>
              </w:rPr>
            </w:pPr>
          </w:p>
        </w:tc>
        <w:tc>
          <w:tcPr>
            <w:tcW w:w="5380" w:type="dxa"/>
            <w:vAlign w:val="bottom"/>
            <w:tcBorders>
              <w:bottom w:val="single" w:sz="8" w:color="CCEEFF"/>
            </w:tcBorders>
            <w:gridSpan w:val="2"/>
          </w:tcPr>
          <w:p>
            <w:pPr>
              <w:ind w:left="80"/>
              <w:spacing w:after="0"/>
              <w:rPr>
                <w:sz w:val="20"/>
                <w:szCs w:val="20"/>
                <w:color w:val="auto"/>
              </w:rPr>
            </w:pPr>
            <w:r>
              <w:rPr>
                <w:rFonts w:ascii="Arial" w:cs="Arial" w:eastAsia="Arial" w:hAnsi="Arial"/>
                <w:sz w:val="11"/>
                <w:szCs w:val="11"/>
                <w:color w:val="auto"/>
              </w:rPr>
              <w:t>Interest expense</w:t>
            </w: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(71)</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(90)</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19</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(126)</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(165)</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39</w:t>
            </w:r>
          </w:p>
        </w:tc>
      </w:tr>
      <w:tr>
        <w:trPr>
          <w:trHeight w:val="169"/>
        </w:trPr>
        <w:tc>
          <w:tcPr>
            <w:tcW w:w="20" w:type="dxa"/>
            <w:vAlign w:val="bottom"/>
            <w:shd w:val="clear" w:color="auto" w:fill="CCEEFF"/>
          </w:tcPr>
          <w:p>
            <w:pPr>
              <w:spacing w:after="0"/>
              <w:rPr>
                <w:sz w:val="14"/>
                <w:szCs w:val="14"/>
                <w:color w:val="auto"/>
              </w:rPr>
            </w:pPr>
          </w:p>
        </w:tc>
        <w:tc>
          <w:tcPr>
            <w:tcW w:w="538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Total other expense, net</w:t>
            </w:r>
          </w:p>
        </w:tc>
        <w:tc>
          <w:tcPr>
            <w:tcW w:w="2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w:t>
            </w:r>
          </w:p>
        </w:tc>
        <w:tc>
          <w:tcPr>
            <w:tcW w:w="4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(73)</w:t>
            </w:r>
          </w:p>
        </w:tc>
        <w:tc>
          <w:tcPr>
            <w:tcW w:w="1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32</w:t>
            </w:r>
          </w:p>
        </w:tc>
        <w:tc>
          <w:tcPr>
            <w:tcW w:w="1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(91)</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(130)</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39</w:t>
            </w:r>
          </w:p>
        </w:tc>
      </w:tr>
      <w:tr>
        <w:trPr>
          <w:trHeight w:val="169"/>
        </w:trPr>
        <w:tc>
          <w:tcPr>
            <w:tcW w:w="5400" w:type="dxa"/>
            <w:vAlign w:val="bottom"/>
            <w:gridSpan w:val="3"/>
          </w:tcPr>
          <w:p>
            <w:pPr>
              <w:ind w:left="20"/>
              <w:spacing w:after="0"/>
              <w:rPr>
                <w:sz w:val="20"/>
                <w:szCs w:val="20"/>
                <w:color w:val="auto"/>
              </w:rPr>
            </w:pPr>
            <w:r>
              <w:rPr>
                <w:rFonts w:ascii="Arial" w:cs="Arial" w:eastAsia="Arial" w:hAnsi="Arial"/>
                <w:sz w:val="11"/>
                <w:szCs w:val="11"/>
                <w:b w:val="1"/>
                <w:bCs w:val="1"/>
                <w:color w:val="auto"/>
              </w:rPr>
              <w:t>Income Before Income Taxes</w:t>
            </w:r>
          </w:p>
        </w:tc>
        <w:tc>
          <w:tcPr>
            <w:tcW w:w="220" w:type="dxa"/>
            <w:vAlign w:val="bottom"/>
          </w:tcPr>
          <w:p>
            <w:pPr>
              <w:spacing w:after="0"/>
              <w:rPr>
                <w:sz w:val="14"/>
                <w:szCs w:val="14"/>
                <w:color w:val="auto"/>
              </w:rPr>
            </w:pPr>
          </w:p>
        </w:tc>
        <w:tc>
          <w:tcPr>
            <w:tcW w:w="660" w:type="dxa"/>
            <w:vAlign w:val="bottom"/>
          </w:tcPr>
          <w:p>
            <w:pPr>
              <w:jc w:val="right"/>
              <w:ind w:right="20"/>
              <w:spacing w:after="0"/>
              <w:rPr>
                <w:sz w:val="20"/>
                <w:szCs w:val="20"/>
                <w:color w:val="auto"/>
              </w:rPr>
            </w:pPr>
            <w:r>
              <w:rPr>
                <w:rFonts w:ascii="Arial" w:cs="Arial" w:eastAsia="Arial" w:hAnsi="Arial"/>
                <w:sz w:val="12"/>
                <w:szCs w:val="12"/>
                <w:color w:val="auto"/>
              </w:rPr>
              <w:t>103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40"/>
              <w:spacing w:after="0"/>
              <w:rPr>
                <w:sz w:val="20"/>
                <w:szCs w:val="20"/>
                <w:color w:val="auto"/>
              </w:rPr>
            </w:pPr>
            <w:r>
              <w:rPr>
                <w:rFonts w:ascii="Arial" w:cs="Arial" w:eastAsia="Arial" w:hAnsi="Arial"/>
                <w:sz w:val="12"/>
                <w:szCs w:val="12"/>
                <w:color w:val="auto"/>
              </w:rPr>
              <w:t>52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0"/>
              <w:spacing w:after="0"/>
              <w:rPr>
                <w:sz w:val="20"/>
                <w:szCs w:val="20"/>
                <w:color w:val="auto"/>
              </w:rPr>
            </w:pPr>
            <w:r>
              <w:rPr>
                <w:rFonts w:ascii="Arial" w:cs="Arial" w:eastAsia="Arial" w:hAnsi="Arial"/>
                <w:sz w:val="12"/>
                <w:szCs w:val="12"/>
                <w:color w:val="auto"/>
              </w:rPr>
              <w:t>51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102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40"/>
              <w:spacing w:after="0"/>
              <w:rPr>
                <w:sz w:val="20"/>
                <w:szCs w:val="20"/>
                <w:color w:val="auto"/>
              </w:rPr>
            </w:pPr>
            <w:r>
              <w:rPr>
                <w:rFonts w:ascii="Arial" w:cs="Arial" w:eastAsia="Arial" w:hAnsi="Arial"/>
                <w:sz w:val="12"/>
                <w:szCs w:val="12"/>
                <w:color w:val="auto"/>
              </w:rPr>
              <w:t>49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60"/>
              <w:spacing w:after="0"/>
              <w:rPr>
                <w:sz w:val="20"/>
                <w:szCs w:val="20"/>
                <w:color w:val="auto"/>
              </w:rPr>
            </w:pPr>
            <w:r>
              <w:rPr>
                <w:rFonts w:ascii="Arial" w:cs="Arial" w:eastAsia="Arial" w:hAnsi="Arial"/>
                <w:sz w:val="12"/>
                <w:szCs w:val="12"/>
                <w:color w:val="auto"/>
              </w:rPr>
              <w:t>53</w:t>
            </w:r>
          </w:p>
        </w:tc>
      </w:tr>
      <w:tr>
        <w:trPr>
          <w:trHeight w:val="180"/>
        </w:trPr>
        <w:tc>
          <w:tcPr>
            <w:tcW w:w="20" w:type="dxa"/>
            <w:vAlign w:val="bottom"/>
            <w:shd w:val="clear" w:color="auto" w:fill="CCEEFF"/>
          </w:tcPr>
          <w:p>
            <w:pPr>
              <w:spacing w:after="0"/>
              <w:rPr>
                <w:sz w:val="15"/>
                <w:szCs w:val="15"/>
                <w:color w:val="auto"/>
              </w:rPr>
            </w:pPr>
          </w:p>
        </w:tc>
        <w:tc>
          <w:tcPr>
            <w:tcW w:w="53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Income tax expense</w:t>
            </w:r>
          </w:p>
        </w:tc>
        <w:tc>
          <w:tcPr>
            <w:tcW w:w="2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7</w:t>
            </w:r>
          </w:p>
        </w:tc>
        <w:tc>
          <w:tcPr>
            <w:tcW w:w="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8</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7</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w:t>
            </w:r>
          </w:p>
        </w:tc>
      </w:tr>
      <w:tr>
        <w:trPr>
          <w:trHeight w:val="169"/>
        </w:trPr>
        <w:tc>
          <w:tcPr>
            <w:tcW w:w="5400" w:type="dxa"/>
            <w:vAlign w:val="bottom"/>
            <w:gridSpan w:val="3"/>
          </w:tcPr>
          <w:p>
            <w:pPr>
              <w:ind w:left="20"/>
              <w:spacing w:after="0"/>
              <w:rPr>
                <w:sz w:val="20"/>
                <w:szCs w:val="20"/>
                <w:color w:val="auto"/>
              </w:rPr>
            </w:pPr>
            <w:r>
              <w:rPr>
                <w:rFonts w:ascii="Arial" w:cs="Arial" w:eastAsia="Arial" w:hAnsi="Arial"/>
                <w:sz w:val="11"/>
                <w:szCs w:val="11"/>
                <w:b w:val="1"/>
                <w:bCs w:val="1"/>
                <w:color w:val="auto"/>
              </w:rPr>
              <w:t>Net Income</w:t>
            </w:r>
          </w:p>
        </w:tc>
        <w:tc>
          <w:tcPr>
            <w:tcW w:w="220" w:type="dxa"/>
            <w:vAlign w:val="bottom"/>
          </w:tcPr>
          <w:p>
            <w:pPr>
              <w:spacing w:after="0"/>
              <w:rPr>
                <w:sz w:val="14"/>
                <w:szCs w:val="14"/>
                <w:color w:val="auto"/>
              </w:rPr>
            </w:pPr>
          </w:p>
        </w:tc>
        <w:tc>
          <w:tcPr>
            <w:tcW w:w="660" w:type="dxa"/>
            <w:vAlign w:val="bottom"/>
          </w:tcPr>
          <w:p>
            <w:pPr>
              <w:jc w:val="right"/>
              <w:ind w:right="20"/>
              <w:spacing w:after="0"/>
              <w:rPr>
                <w:sz w:val="20"/>
                <w:szCs w:val="20"/>
                <w:color w:val="auto"/>
              </w:rPr>
            </w:pPr>
            <w:r>
              <w:rPr>
                <w:rFonts w:ascii="Arial" w:cs="Arial" w:eastAsia="Arial" w:hAnsi="Arial"/>
                <w:sz w:val="12"/>
                <w:szCs w:val="12"/>
                <w:color w:val="auto"/>
              </w:rPr>
              <w:t>96</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40"/>
              <w:spacing w:after="0"/>
              <w:rPr>
                <w:sz w:val="20"/>
                <w:szCs w:val="20"/>
                <w:color w:val="auto"/>
              </w:rPr>
            </w:pPr>
            <w:r>
              <w:rPr>
                <w:rFonts w:ascii="Arial" w:cs="Arial" w:eastAsia="Arial" w:hAnsi="Arial"/>
                <w:sz w:val="12"/>
                <w:szCs w:val="12"/>
                <w:color w:val="auto"/>
              </w:rPr>
              <w:t>44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0"/>
              <w:spacing w:after="0"/>
              <w:rPr>
                <w:sz w:val="20"/>
                <w:szCs w:val="20"/>
                <w:color w:val="auto"/>
              </w:rPr>
            </w:pPr>
            <w:r>
              <w:rPr>
                <w:rFonts w:ascii="Arial" w:cs="Arial" w:eastAsia="Arial" w:hAnsi="Arial"/>
                <w:sz w:val="12"/>
                <w:szCs w:val="12"/>
                <w:color w:val="auto"/>
              </w:rPr>
              <w:t>52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96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40"/>
              <w:spacing w:after="0"/>
              <w:rPr>
                <w:sz w:val="20"/>
                <w:szCs w:val="20"/>
                <w:color w:val="auto"/>
              </w:rPr>
            </w:pPr>
            <w:r>
              <w:rPr>
                <w:rFonts w:ascii="Arial" w:cs="Arial" w:eastAsia="Arial" w:hAnsi="Arial"/>
                <w:sz w:val="12"/>
                <w:szCs w:val="12"/>
                <w:color w:val="auto"/>
              </w:rPr>
              <w:t>42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60"/>
              <w:spacing w:after="0"/>
              <w:rPr>
                <w:sz w:val="20"/>
                <w:szCs w:val="20"/>
                <w:color w:val="auto"/>
              </w:rPr>
            </w:pPr>
            <w:r>
              <w:rPr>
                <w:rFonts w:ascii="Arial" w:cs="Arial" w:eastAsia="Arial" w:hAnsi="Arial"/>
                <w:sz w:val="12"/>
                <w:szCs w:val="12"/>
                <w:color w:val="auto"/>
              </w:rPr>
              <w:t>54</w:t>
            </w:r>
          </w:p>
        </w:tc>
      </w:tr>
      <w:tr>
        <w:trPr>
          <w:trHeight w:val="180"/>
        </w:trPr>
        <w:tc>
          <w:tcPr>
            <w:tcW w:w="20" w:type="dxa"/>
            <w:vAlign w:val="bottom"/>
            <w:shd w:val="clear" w:color="auto" w:fill="CCEEFF"/>
          </w:tcPr>
          <w:p>
            <w:pPr>
              <w:spacing w:after="0"/>
              <w:rPr>
                <w:sz w:val="15"/>
                <w:szCs w:val="15"/>
                <w:color w:val="auto"/>
              </w:rPr>
            </w:pPr>
          </w:p>
        </w:tc>
        <w:tc>
          <w:tcPr>
            <w:tcW w:w="53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Less: Pre-acquisition net income of Drop Down Assets</w:t>
            </w:r>
          </w:p>
        </w:tc>
        <w:tc>
          <w:tcPr>
            <w:tcW w:w="2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15</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(11)</w:t>
            </w:r>
          </w:p>
        </w:tc>
      </w:tr>
      <w:tr>
        <w:trPr>
          <w:trHeight w:val="169"/>
        </w:trPr>
        <w:tc>
          <w:tcPr>
            <w:tcW w:w="5400" w:type="dxa"/>
            <w:vAlign w:val="bottom"/>
            <w:gridSpan w:val="3"/>
          </w:tcPr>
          <w:p>
            <w:pPr>
              <w:ind w:left="20"/>
              <w:spacing w:after="0"/>
              <w:rPr>
                <w:sz w:val="20"/>
                <w:szCs w:val="20"/>
                <w:color w:val="auto"/>
              </w:rPr>
            </w:pPr>
            <w:r>
              <w:rPr>
                <w:rFonts w:ascii="Arial" w:cs="Arial" w:eastAsia="Arial" w:hAnsi="Arial"/>
                <w:sz w:val="11"/>
                <w:szCs w:val="11"/>
                <w:b w:val="1"/>
                <w:bCs w:val="1"/>
                <w:color w:val="auto"/>
              </w:rPr>
              <w:t>Net Income Excluding Pre-acquisition Net Income of Drop Down Assets</w:t>
            </w:r>
          </w:p>
        </w:tc>
        <w:tc>
          <w:tcPr>
            <w:tcW w:w="220" w:type="dxa"/>
            <w:vAlign w:val="bottom"/>
          </w:tcPr>
          <w:p>
            <w:pPr>
              <w:spacing w:after="0"/>
              <w:rPr>
                <w:sz w:val="14"/>
                <w:szCs w:val="14"/>
                <w:color w:val="auto"/>
              </w:rPr>
            </w:pPr>
          </w:p>
        </w:tc>
        <w:tc>
          <w:tcPr>
            <w:tcW w:w="660" w:type="dxa"/>
            <w:vAlign w:val="bottom"/>
          </w:tcPr>
          <w:p>
            <w:pPr>
              <w:jc w:val="right"/>
              <w:ind w:right="20"/>
              <w:spacing w:after="0"/>
              <w:rPr>
                <w:sz w:val="20"/>
                <w:szCs w:val="20"/>
                <w:color w:val="auto"/>
              </w:rPr>
            </w:pPr>
            <w:r>
              <w:rPr>
                <w:rFonts w:ascii="Arial" w:cs="Arial" w:eastAsia="Arial" w:hAnsi="Arial"/>
                <w:sz w:val="12"/>
                <w:szCs w:val="12"/>
                <w:color w:val="auto"/>
              </w:rPr>
              <w:t>96</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40"/>
              <w:spacing w:after="0"/>
              <w:rPr>
                <w:sz w:val="20"/>
                <w:szCs w:val="20"/>
                <w:color w:val="auto"/>
              </w:rPr>
            </w:pPr>
            <w:r>
              <w:rPr>
                <w:rFonts w:ascii="Arial" w:cs="Arial" w:eastAsia="Arial" w:hAnsi="Arial"/>
                <w:sz w:val="12"/>
                <w:szCs w:val="12"/>
                <w:color w:val="auto"/>
              </w:rPr>
              <w:t>42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0"/>
              <w:spacing w:after="0"/>
              <w:rPr>
                <w:sz w:val="20"/>
                <w:szCs w:val="20"/>
                <w:color w:val="auto"/>
              </w:rPr>
            </w:pPr>
            <w:r>
              <w:rPr>
                <w:rFonts w:ascii="Arial" w:cs="Arial" w:eastAsia="Arial" w:hAnsi="Arial"/>
                <w:sz w:val="12"/>
                <w:szCs w:val="12"/>
                <w:color w:val="auto"/>
              </w:rPr>
              <w:t>54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92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40"/>
              <w:spacing w:after="0"/>
              <w:rPr>
                <w:sz w:val="20"/>
                <w:szCs w:val="20"/>
                <w:color w:val="auto"/>
              </w:rPr>
            </w:pPr>
            <w:r>
              <w:rPr>
                <w:rFonts w:ascii="Arial" w:cs="Arial" w:eastAsia="Arial" w:hAnsi="Arial"/>
                <w:sz w:val="12"/>
                <w:szCs w:val="12"/>
                <w:color w:val="auto"/>
              </w:rPr>
              <w:t>27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60"/>
              <w:spacing w:after="0"/>
              <w:rPr>
                <w:sz w:val="20"/>
                <w:szCs w:val="20"/>
                <w:color w:val="auto"/>
              </w:rPr>
            </w:pPr>
            <w:r>
              <w:rPr>
                <w:rFonts w:ascii="Arial" w:cs="Arial" w:eastAsia="Arial" w:hAnsi="Arial"/>
                <w:sz w:val="12"/>
                <w:szCs w:val="12"/>
                <w:color w:val="auto"/>
              </w:rPr>
              <w:t>65</w:t>
            </w:r>
          </w:p>
        </w:tc>
      </w:tr>
      <w:tr>
        <w:trPr>
          <w:trHeight w:val="180"/>
        </w:trPr>
        <w:tc>
          <w:tcPr>
            <w:tcW w:w="20" w:type="dxa"/>
            <w:vAlign w:val="bottom"/>
            <w:shd w:val="clear" w:color="auto" w:fill="CCEEFF"/>
          </w:tcPr>
          <w:p>
            <w:pPr>
              <w:spacing w:after="0"/>
              <w:rPr>
                <w:sz w:val="15"/>
                <w:szCs w:val="15"/>
                <w:color w:val="auto"/>
              </w:rPr>
            </w:pPr>
          </w:p>
        </w:tc>
        <w:tc>
          <w:tcPr>
            <w:tcW w:w="53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Less: Income (loss) attributable to noncontrolling interests</w:t>
            </w:r>
          </w:p>
        </w:tc>
        <w:tc>
          <w:tcPr>
            <w:tcW w:w="2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17</w:t>
            </w:r>
          </w:p>
        </w:tc>
        <w:tc>
          <w:tcPr>
            <w:tcW w:w="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14</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(5)</w:t>
            </w:r>
          </w:p>
        </w:tc>
      </w:tr>
      <w:tr>
        <w:trPr>
          <w:trHeight w:val="185"/>
        </w:trPr>
        <w:tc>
          <w:tcPr>
            <w:tcW w:w="5400" w:type="dxa"/>
            <w:vAlign w:val="bottom"/>
            <w:gridSpan w:val="3"/>
          </w:tcPr>
          <w:p>
            <w:pPr>
              <w:ind w:left="20"/>
              <w:spacing w:after="0"/>
              <w:rPr>
                <w:sz w:val="20"/>
                <w:szCs w:val="20"/>
                <w:color w:val="auto"/>
              </w:rPr>
            </w:pPr>
            <w:r>
              <w:rPr>
                <w:rFonts w:ascii="Arial" w:cs="Arial" w:eastAsia="Arial" w:hAnsi="Arial"/>
                <w:sz w:val="11"/>
                <w:szCs w:val="11"/>
                <w:b w:val="1"/>
                <w:bCs w:val="1"/>
                <w:color w:val="auto"/>
              </w:rPr>
              <w:t>Net Income Attributable to NRG Yield, Inc.</w:t>
            </w: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79</w:t>
            </w: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28</w:t>
            </w: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51</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95</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25</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70</w:t>
            </w:r>
          </w:p>
        </w:tc>
      </w:tr>
    </w:tbl>
    <w:p>
      <w:pPr>
        <w:spacing w:after="0" w:line="247" w:lineRule="exact"/>
        <w:rPr>
          <w:sz w:val="20"/>
          <w:szCs w:val="20"/>
          <w:color w:val="auto"/>
        </w:rPr>
      </w:pPr>
    </w:p>
    <w:tbl>
      <w:tblPr>
        <w:tblLayout w:type="fixed"/>
        <w:tblInd w:w="8" w:type="dxa"/>
        <w:tblCellMar>
          <w:top w:w="0" w:type="dxa"/>
          <w:left w:w="0" w:type="dxa"/>
          <w:bottom w:w="0" w:type="dxa"/>
          <w:right w:w="0" w:type="dxa"/>
        </w:tblCellMar>
      </w:tblPr>
      <w:tr>
        <w:trPr>
          <w:trHeight w:val="124"/>
        </w:trPr>
        <w:tc>
          <w:tcPr>
            <w:tcW w:w="5600" w:type="dxa"/>
            <w:vAlign w:val="bottom"/>
          </w:tcPr>
          <w:p>
            <w:pPr>
              <w:spacing w:after="0"/>
              <w:rPr>
                <w:sz w:val="10"/>
                <w:szCs w:val="10"/>
                <w:color w:val="auto"/>
              </w:rPr>
            </w:pPr>
          </w:p>
        </w:tc>
        <w:tc>
          <w:tcPr>
            <w:tcW w:w="2080" w:type="dxa"/>
            <w:vAlign w:val="bottom"/>
            <w:tcBorders>
              <w:bottom w:val="single" w:sz="8" w:color="auto"/>
            </w:tcBorders>
            <w:gridSpan w:val="3"/>
          </w:tcPr>
          <w:p>
            <w:pPr>
              <w:ind w:left="860"/>
              <w:spacing w:after="0"/>
              <w:rPr>
                <w:sz w:val="20"/>
                <w:szCs w:val="20"/>
                <w:color w:val="auto"/>
              </w:rPr>
            </w:pPr>
            <w:r>
              <w:rPr>
                <w:rFonts w:ascii="Arial" w:cs="Arial" w:eastAsia="Arial" w:hAnsi="Arial"/>
                <w:sz w:val="10"/>
                <w:szCs w:val="10"/>
                <w:b w:val="1"/>
                <w:bCs w:val="1"/>
                <w:color w:val="auto"/>
                <w:w w:val="84"/>
              </w:rPr>
              <w:t>Three months ended June 30,</w:t>
            </w:r>
          </w:p>
        </w:tc>
        <w:tc>
          <w:tcPr>
            <w:tcW w:w="8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40" w:type="dxa"/>
            <w:vAlign w:val="bottom"/>
            <w:tcBorders>
              <w:bottom w:val="single" w:sz="8" w:color="auto"/>
            </w:tcBorders>
            <w:gridSpan w:val="3"/>
          </w:tcPr>
          <w:p>
            <w:pPr>
              <w:ind w:left="900"/>
              <w:spacing w:after="0"/>
              <w:rPr>
                <w:sz w:val="20"/>
                <w:szCs w:val="20"/>
                <w:color w:val="auto"/>
              </w:rPr>
            </w:pPr>
            <w:r>
              <w:rPr>
                <w:rFonts w:ascii="Arial" w:cs="Arial" w:eastAsia="Arial" w:hAnsi="Arial"/>
                <w:sz w:val="10"/>
                <w:szCs w:val="10"/>
                <w:b w:val="1"/>
                <w:bCs w:val="1"/>
                <w:color w:val="auto"/>
                <w:w w:val="86"/>
              </w:rPr>
              <w:t>Six months ended June 30,</w:t>
            </w:r>
          </w:p>
        </w:tc>
        <w:tc>
          <w:tcPr>
            <w:tcW w:w="840" w:type="dxa"/>
            <w:vAlign w:val="bottom"/>
            <w:tcBorders>
              <w:bottom w:val="single" w:sz="8" w:color="auto"/>
            </w:tcBorders>
          </w:tcPr>
          <w:p>
            <w:pPr>
              <w:spacing w:after="0"/>
              <w:rPr>
                <w:sz w:val="10"/>
                <w:szCs w:val="10"/>
                <w:color w:val="auto"/>
              </w:rPr>
            </w:pPr>
          </w:p>
        </w:tc>
      </w:tr>
      <w:tr>
        <w:trPr>
          <w:trHeight w:val="173"/>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Business metrics:</w:t>
            </w:r>
          </w:p>
        </w:tc>
        <w:tc>
          <w:tcPr>
            <w:tcW w:w="1400" w:type="dxa"/>
            <w:vAlign w:val="bottom"/>
            <w:tcBorders>
              <w:bottom w:val="single" w:sz="8" w:color="auto"/>
            </w:tcBorders>
          </w:tcPr>
          <w:p>
            <w:pPr>
              <w:jc w:val="right"/>
              <w:ind w:right="543"/>
              <w:spacing w:after="0"/>
              <w:rPr>
                <w:sz w:val="20"/>
                <w:szCs w:val="20"/>
                <w:color w:val="auto"/>
              </w:rPr>
            </w:pPr>
            <w:r>
              <w:rPr>
                <w:rFonts w:ascii="Arial" w:cs="Arial" w:eastAsia="Arial" w:hAnsi="Arial"/>
                <w:sz w:val="10"/>
                <w:szCs w:val="10"/>
                <w:b w:val="1"/>
                <w:bCs w:val="1"/>
                <w:color w:val="auto"/>
              </w:rPr>
              <w:t>2018</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542"/>
              <w:spacing w:after="0"/>
              <w:rPr>
                <w:sz w:val="20"/>
                <w:szCs w:val="20"/>
                <w:color w:val="auto"/>
              </w:rPr>
            </w:pPr>
            <w:r>
              <w:rPr>
                <w:rFonts w:ascii="Arial" w:cs="Arial" w:eastAsia="Arial" w:hAnsi="Arial"/>
                <w:sz w:val="10"/>
                <w:szCs w:val="10"/>
                <w:b w:val="1"/>
                <w:bCs w:val="1"/>
                <w:color w:val="auto"/>
                <w:w w:val="80"/>
              </w:rPr>
              <w:t>2017</w:t>
            </w:r>
          </w:p>
        </w:tc>
        <w:tc>
          <w:tcPr>
            <w:tcW w:w="12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ind w:right="543"/>
              <w:spacing w:after="0"/>
              <w:rPr>
                <w:sz w:val="20"/>
                <w:szCs w:val="20"/>
                <w:color w:val="auto"/>
              </w:rPr>
            </w:pPr>
            <w:r>
              <w:rPr>
                <w:rFonts w:ascii="Arial" w:cs="Arial" w:eastAsia="Arial" w:hAnsi="Arial"/>
                <w:sz w:val="10"/>
                <w:szCs w:val="10"/>
                <w:b w:val="1"/>
                <w:bCs w:val="1"/>
                <w:color w:val="auto"/>
              </w:rPr>
              <w:t>2018</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542"/>
              <w:spacing w:after="0"/>
              <w:rPr>
                <w:sz w:val="20"/>
                <w:szCs w:val="20"/>
                <w:color w:val="auto"/>
              </w:rPr>
            </w:pPr>
            <w:r>
              <w:rPr>
                <w:rFonts w:ascii="Arial" w:cs="Arial" w:eastAsia="Arial" w:hAnsi="Arial"/>
                <w:sz w:val="10"/>
                <w:szCs w:val="10"/>
                <w:b w:val="1"/>
                <w:bCs w:val="1"/>
                <w:color w:val="auto"/>
                <w:w w:val="98"/>
              </w:rPr>
              <w:t>2017</w:t>
            </w:r>
          </w:p>
        </w:tc>
      </w:tr>
      <w:tr>
        <w:trPr>
          <w:trHeight w:val="173"/>
        </w:trPr>
        <w:tc>
          <w:tcPr>
            <w:tcW w:w="5600" w:type="dxa"/>
            <w:vAlign w:val="bottom"/>
            <w:shd w:val="clear" w:color="auto" w:fill="CCEEFF"/>
          </w:tcPr>
          <w:p>
            <w:pPr>
              <w:ind w:left="20"/>
              <w:spacing w:after="0" w:line="173" w:lineRule="exact"/>
              <w:rPr>
                <w:sz w:val="20"/>
                <w:szCs w:val="20"/>
                <w:color w:val="auto"/>
              </w:rPr>
            </w:pPr>
            <w:r>
              <w:rPr>
                <w:rFonts w:ascii="Arial" w:cs="Arial" w:eastAsia="Arial" w:hAnsi="Arial"/>
                <w:sz w:val="12"/>
                <w:szCs w:val="12"/>
                <w:color w:val="auto"/>
              </w:rPr>
              <w:t xml:space="preserve">Renewables MWh generated/sold (in thousands) </w:t>
            </w:r>
            <w:r>
              <w:rPr>
                <w:rFonts w:ascii="Arial" w:cs="Arial" w:eastAsia="Arial" w:hAnsi="Arial"/>
                <w:sz w:val="16"/>
                <w:szCs w:val="16"/>
                <w:color w:val="auto"/>
                <w:vertAlign w:val="superscript"/>
              </w:rPr>
              <w:t>(a)</w:t>
            </w:r>
          </w:p>
        </w:tc>
        <w:tc>
          <w:tcPr>
            <w:tcW w:w="140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2,308</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2,112</w:t>
            </w: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3,924</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3,789</w:t>
            </w:r>
          </w:p>
        </w:tc>
      </w:tr>
      <w:tr>
        <w:trPr>
          <w:trHeight w:val="171"/>
        </w:trPr>
        <w:tc>
          <w:tcPr>
            <w:tcW w:w="5600" w:type="dxa"/>
            <w:vAlign w:val="bottom"/>
          </w:tcPr>
          <w:p>
            <w:pPr>
              <w:ind w:left="20"/>
              <w:spacing w:after="0"/>
              <w:rPr>
                <w:sz w:val="20"/>
                <w:szCs w:val="20"/>
                <w:color w:val="auto"/>
              </w:rPr>
            </w:pPr>
            <w:r>
              <w:rPr>
                <w:rFonts w:ascii="Arial" w:cs="Arial" w:eastAsia="Arial" w:hAnsi="Arial"/>
                <w:sz w:val="12"/>
                <w:szCs w:val="12"/>
                <w:color w:val="auto"/>
              </w:rPr>
              <w:t>Thermal MWt sold (in thousands)</w:t>
            </w:r>
          </w:p>
        </w:tc>
        <w:tc>
          <w:tcPr>
            <w:tcW w:w="1400" w:type="dxa"/>
            <w:vAlign w:val="bottom"/>
          </w:tcPr>
          <w:p>
            <w:pPr>
              <w:jc w:val="right"/>
              <w:ind w:right="83"/>
              <w:spacing w:after="0"/>
              <w:rPr>
                <w:sz w:val="20"/>
                <w:szCs w:val="20"/>
                <w:color w:val="auto"/>
              </w:rPr>
            </w:pPr>
            <w:r>
              <w:rPr>
                <w:rFonts w:ascii="Arial" w:cs="Arial" w:eastAsia="Arial" w:hAnsi="Arial"/>
                <w:sz w:val="12"/>
                <w:szCs w:val="12"/>
                <w:color w:val="auto"/>
              </w:rPr>
              <w:t>462</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jc w:val="right"/>
              <w:ind w:right="62"/>
              <w:spacing w:after="0"/>
              <w:rPr>
                <w:sz w:val="20"/>
                <w:szCs w:val="20"/>
                <w:color w:val="auto"/>
              </w:rPr>
            </w:pPr>
            <w:r>
              <w:rPr>
                <w:rFonts w:ascii="Arial" w:cs="Arial" w:eastAsia="Arial" w:hAnsi="Arial"/>
                <w:sz w:val="12"/>
                <w:szCs w:val="12"/>
                <w:color w:val="auto"/>
              </w:rPr>
              <w:t>418</w:t>
            </w:r>
          </w:p>
        </w:tc>
        <w:tc>
          <w:tcPr>
            <w:tcW w:w="120" w:type="dxa"/>
            <w:vAlign w:val="bottom"/>
          </w:tcPr>
          <w:p>
            <w:pPr>
              <w:spacing w:after="0"/>
              <w:rPr>
                <w:sz w:val="14"/>
                <w:szCs w:val="14"/>
                <w:color w:val="auto"/>
              </w:rPr>
            </w:pPr>
          </w:p>
        </w:tc>
        <w:tc>
          <w:tcPr>
            <w:tcW w:w="1380" w:type="dxa"/>
            <w:vAlign w:val="bottom"/>
          </w:tcPr>
          <w:p>
            <w:pPr>
              <w:jc w:val="right"/>
              <w:ind w:right="63"/>
              <w:spacing w:after="0"/>
              <w:rPr>
                <w:sz w:val="20"/>
                <w:szCs w:val="20"/>
                <w:color w:val="auto"/>
              </w:rPr>
            </w:pPr>
            <w:r>
              <w:rPr>
                <w:rFonts w:ascii="Arial" w:cs="Arial" w:eastAsia="Arial" w:hAnsi="Arial"/>
                <w:sz w:val="12"/>
                <w:szCs w:val="12"/>
                <w:color w:val="auto"/>
              </w:rPr>
              <w:t>1,079</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987</w:t>
            </w:r>
          </w:p>
        </w:tc>
      </w:tr>
      <w:tr>
        <w:trPr>
          <w:trHeight w:val="189"/>
        </w:trPr>
        <w:tc>
          <w:tcPr>
            <w:tcW w:w="5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 xml:space="preserve">Thermal MWh sold (in thousands) </w:t>
            </w:r>
            <w:r>
              <w:rPr>
                <w:rFonts w:ascii="Arial" w:cs="Arial" w:eastAsia="Arial" w:hAnsi="Arial"/>
                <w:sz w:val="16"/>
                <w:szCs w:val="16"/>
                <w:color w:val="auto"/>
                <w:vertAlign w:val="superscript"/>
              </w:rPr>
              <w:t>(b)</w:t>
            </w:r>
          </w:p>
        </w:tc>
        <w:tc>
          <w:tcPr>
            <w:tcW w:w="140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9</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9</w:t>
            </w: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18</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18</w:t>
            </w:r>
          </w:p>
        </w:tc>
      </w:tr>
      <w:tr>
        <w:trPr>
          <w:trHeight w:val="180"/>
        </w:trPr>
        <w:tc>
          <w:tcPr>
            <w:tcW w:w="5600" w:type="dxa"/>
            <w:vAlign w:val="bottom"/>
          </w:tcPr>
          <w:p>
            <w:pPr>
              <w:ind w:left="20"/>
              <w:spacing w:after="0" w:line="180" w:lineRule="exact"/>
              <w:rPr>
                <w:sz w:val="20"/>
                <w:szCs w:val="20"/>
                <w:color w:val="auto"/>
              </w:rPr>
            </w:pPr>
            <w:r>
              <w:rPr>
                <w:rFonts w:ascii="Arial" w:cs="Arial" w:eastAsia="Arial" w:hAnsi="Arial"/>
                <w:sz w:val="12"/>
                <w:szCs w:val="12"/>
                <w:color w:val="auto"/>
              </w:rPr>
              <w:t xml:space="preserve">Conventional MWh generated (in thousands) </w:t>
            </w:r>
            <w:r>
              <w:rPr>
                <w:rFonts w:ascii="Arial" w:cs="Arial" w:eastAsia="Arial" w:hAnsi="Arial"/>
                <w:sz w:val="16"/>
                <w:szCs w:val="16"/>
                <w:color w:val="auto"/>
                <w:vertAlign w:val="superscript"/>
              </w:rPr>
              <w:t>(a)(c)</w:t>
            </w:r>
          </w:p>
        </w:tc>
        <w:tc>
          <w:tcPr>
            <w:tcW w:w="1400" w:type="dxa"/>
            <w:vAlign w:val="bottom"/>
          </w:tcPr>
          <w:p>
            <w:pPr>
              <w:jc w:val="right"/>
              <w:ind w:right="83"/>
              <w:spacing w:after="0"/>
              <w:rPr>
                <w:sz w:val="20"/>
                <w:szCs w:val="20"/>
                <w:color w:val="auto"/>
              </w:rPr>
            </w:pPr>
            <w:r>
              <w:rPr>
                <w:rFonts w:ascii="Arial" w:cs="Arial" w:eastAsia="Arial" w:hAnsi="Arial"/>
                <w:sz w:val="12"/>
                <w:szCs w:val="12"/>
                <w:color w:val="auto"/>
              </w:rPr>
              <w:t>367</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Arial" w:cs="Arial" w:eastAsia="Arial" w:hAnsi="Arial"/>
                <w:sz w:val="12"/>
                <w:szCs w:val="12"/>
                <w:color w:val="auto"/>
              </w:rPr>
              <w:t>313</w:t>
            </w:r>
          </w:p>
        </w:tc>
        <w:tc>
          <w:tcPr>
            <w:tcW w:w="120" w:type="dxa"/>
            <w:vAlign w:val="bottom"/>
          </w:tcPr>
          <w:p>
            <w:pPr>
              <w:spacing w:after="0"/>
              <w:rPr>
                <w:sz w:val="15"/>
                <w:szCs w:val="15"/>
                <w:color w:val="auto"/>
              </w:rPr>
            </w:pPr>
          </w:p>
        </w:tc>
        <w:tc>
          <w:tcPr>
            <w:tcW w:w="1380" w:type="dxa"/>
            <w:vAlign w:val="bottom"/>
          </w:tcPr>
          <w:p>
            <w:pPr>
              <w:jc w:val="right"/>
              <w:ind w:right="63"/>
              <w:spacing w:after="0"/>
              <w:rPr>
                <w:sz w:val="20"/>
                <w:szCs w:val="20"/>
                <w:color w:val="auto"/>
              </w:rPr>
            </w:pPr>
            <w:r>
              <w:rPr>
                <w:rFonts w:ascii="Arial" w:cs="Arial" w:eastAsia="Arial" w:hAnsi="Arial"/>
                <w:sz w:val="12"/>
                <w:szCs w:val="12"/>
                <w:color w:val="auto"/>
              </w:rPr>
              <w:t>805</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455</w:t>
            </w:r>
          </w:p>
        </w:tc>
      </w:tr>
      <w:tr>
        <w:trPr>
          <w:trHeight w:val="180"/>
        </w:trPr>
        <w:tc>
          <w:tcPr>
            <w:tcW w:w="5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Conventional equivalent availability factor</w:t>
            </w: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97.5%</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94.1%</w:t>
            </w: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91.2%</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131445</wp:posOffset>
            </wp:positionV>
            <wp:extent cx="139573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95730" cy="5715"/>
                    </a:xfrm>
                    <a:prstGeom prst="rect">
                      <a:avLst/>
                    </a:prstGeom>
                    <a:noFill/>
                  </pic:spPr>
                </pic:pic>
              </a:graphicData>
            </a:graphic>
          </wp:anchor>
        </w:drawing>
      </w:r>
    </w:p>
    <w:p>
      <w:pPr>
        <w:spacing w:after="0" w:line="201" w:lineRule="exact"/>
        <w:rPr>
          <w:sz w:val="20"/>
          <w:szCs w:val="20"/>
          <w:color w:val="auto"/>
        </w:rPr>
      </w:pPr>
    </w:p>
    <w:p>
      <w:pPr>
        <w:ind w:left="108" w:hanging="108"/>
        <w:spacing w:after="0"/>
        <w:tabs>
          <w:tab w:leader="none" w:pos="108" w:val="left"/>
        </w:tabs>
        <w:numPr>
          <w:ilvl w:val="0"/>
          <w:numId w:val="23"/>
        </w:numPr>
        <w:rPr>
          <w:rFonts w:ascii="Arial" w:cs="Arial" w:eastAsia="Arial" w:hAnsi="Arial"/>
          <w:sz w:val="13"/>
          <w:szCs w:val="13"/>
          <w:color w:val="auto"/>
          <w:vertAlign w:val="superscript"/>
        </w:rPr>
      </w:pPr>
      <w:r>
        <w:rPr>
          <w:rFonts w:ascii="Arial" w:cs="Arial" w:eastAsia="Arial" w:hAnsi="Arial"/>
          <w:sz w:val="9"/>
          <w:szCs w:val="9"/>
          <w:color w:val="auto"/>
        </w:rPr>
        <w:t>Volumes do not include the MWh generated/sold by the Company's equity method investments.</w:t>
      </w:r>
    </w:p>
    <w:p>
      <w:pPr>
        <w:spacing w:after="0" w:line="12" w:lineRule="exact"/>
        <w:rPr>
          <w:rFonts w:ascii="Arial" w:cs="Arial" w:eastAsia="Arial" w:hAnsi="Arial"/>
          <w:sz w:val="13"/>
          <w:szCs w:val="13"/>
          <w:color w:val="auto"/>
          <w:vertAlign w:val="superscript"/>
        </w:rPr>
      </w:pPr>
    </w:p>
    <w:p>
      <w:pPr>
        <w:ind w:left="8" w:right="40" w:hanging="8"/>
        <w:spacing w:after="0" w:line="227" w:lineRule="auto"/>
        <w:tabs>
          <w:tab w:leader="none" w:pos="110" w:val="left"/>
        </w:tabs>
        <w:numPr>
          <w:ilvl w:val="0"/>
          <w:numId w:val="23"/>
        </w:numPr>
        <w:rPr>
          <w:rFonts w:ascii="Arial" w:cs="Arial" w:eastAsia="Arial" w:hAnsi="Arial"/>
          <w:sz w:val="13"/>
          <w:szCs w:val="13"/>
          <w:color w:val="auto"/>
          <w:vertAlign w:val="superscript"/>
        </w:rPr>
      </w:pPr>
      <w:r>
        <w:rPr>
          <w:rFonts w:ascii="Arial" w:cs="Arial" w:eastAsia="Arial" w:hAnsi="Arial"/>
          <w:sz w:val="9"/>
          <w:szCs w:val="9"/>
          <w:color w:val="auto"/>
        </w:rPr>
        <w:t xml:space="preserve">MWh sold do not include 19 MWh and 11 MWh during the three months ended June 30, 2018 and 2017, respectively, and 29 MWh and 18 MWh during the six months ended June 30, 2018 and 2017, respectively, generated by NRG Dover, a subsidiary of the Company, under the PPA with NRG Power Marketing, as further described in Note 12, </w:t>
      </w:r>
      <w:r>
        <w:rPr>
          <w:rFonts w:ascii="Arial" w:cs="Arial" w:eastAsia="Arial" w:hAnsi="Arial"/>
          <w:sz w:val="9"/>
          <w:szCs w:val="9"/>
          <w:i w:val="1"/>
          <w:iCs w:val="1"/>
          <w:color w:val="auto"/>
        </w:rPr>
        <w:t>Related Party Transactions</w:t>
      </w:r>
      <w:r>
        <w:rPr>
          <w:rFonts w:ascii="Arial" w:cs="Arial" w:eastAsia="Arial" w:hAnsi="Arial"/>
          <w:sz w:val="9"/>
          <w:szCs w:val="9"/>
          <w:color w:val="auto"/>
        </w:rPr>
        <w:t>.</w:t>
      </w:r>
    </w:p>
    <w:p>
      <w:pPr>
        <w:ind w:left="108" w:hanging="108"/>
        <w:spacing w:after="0" w:line="202" w:lineRule="auto"/>
        <w:tabs>
          <w:tab w:leader="none" w:pos="108" w:val="left"/>
        </w:tabs>
        <w:numPr>
          <w:ilvl w:val="0"/>
          <w:numId w:val="23"/>
        </w:numPr>
        <w:rPr>
          <w:rFonts w:ascii="Arial" w:cs="Arial" w:eastAsia="Arial" w:hAnsi="Arial"/>
          <w:sz w:val="13"/>
          <w:szCs w:val="13"/>
          <w:color w:val="auto"/>
          <w:vertAlign w:val="superscript"/>
        </w:rPr>
      </w:pPr>
      <w:r>
        <w:rPr>
          <w:rFonts w:ascii="Arial" w:cs="Arial" w:eastAsia="Arial" w:hAnsi="Arial"/>
          <w:sz w:val="9"/>
          <w:szCs w:val="9"/>
          <w:color w:val="auto"/>
        </w:rPr>
        <w:t>Volumes generated are not sold by the Company as the Conventional facilities sell capacity rather than energy.</w:t>
      </w:r>
    </w:p>
    <w:p>
      <w:pPr>
        <w:spacing w:after="0" w:line="39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40</w:t>
      </w:r>
    </w:p>
    <w:p>
      <w:pPr>
        <w:sectPr>
          <w:pgSz w:w="11900" w:h="16838" w:orient="portrait"/>
          <w:cols w:equalWidth="0" w:num="1">
            <w:col w:w="11488"/>
          </w:cols>
          <w:pgMar w:left="212" w:top="505" w:right="199" w:bottom="1440" w:gutter="0" w:footer="0" w:header="0"/>
        </w:sectPr>
      </w:pPr>
    </w:p>
    <w:bookmarkStart w:id="40" w:name="page41"/>
    <w:bookmarkEnd w:id="40"/>
    <w:p>
      <w:pPr>
        <w:spacing w:after="0"/>
        <w:rPr>
          <w:sz w:val="20"/>
          <w:szCs w:val="20"/>
          <w:color w:val="auto"/>
        </w:rPr>
      </w:pPr>
      <w:r>
        <w:rPr>
          <w:rFonts w:ascii="Arial" w:cs="Arial" w:eastAsia="Arial" w:hAnsi="Arial"/>
          <w:sz w:val="12"/>
          <w:szCs w:val="12"/>
          <w:b w:val="1"/>
          <w:bCs w:val="1"/>
          <w:color w:val="auto"/>
        </w:rPr>
        <w:t>Management’s Discussion of the Results of Operations for the Three Months Ended June 30, 2018 and 2017</w:t>
      </w:r>
    </w:p>
    <w:p>
      <w:pPr>
        <w:spacing w:after="0" w:line="20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Gross Margin</w:t>
      </w:r>
    </w:p>
    <w:p>
      <w:pPr>
        <w:spacing w:after="0" w:line="96"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The Company calculates gross margin in order to evaluate operating performance as operating revenues less cost of sales, which includes cost of fuel, contract and emission credit amortization and mark-to-market for economic hedging activities.</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Economic Gross Margin</w:t>
      </w:r>
    </w:p>
    <w:p>
      <w:pPr>
        <w:spacing w:after="0" w:line="96"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1"/>
          <w:szCs w:val="11"/>
          <w:color w:val="auto"/>
        </w:rPr>
        <w:t>In addition to gross margin, 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should be viewed as a supplement to and not a substitute for the Company's presentation of gross margin, which is the most directly comparable GAAP measure. Economic gross margin is not intended to represent gross margin. The Company believes that economic gross margin is useful to investors as it is a key operational measure reviewed by the Company's chief operating decision maker. Economic gross margin is defined as energy and capacity revenue less cost of fuels. Economic gross margin excludes the following components from GAAP gross margin: contract amortization, mark-to-market results, emissions credit amortization and (losses) gains on economic hedging activities. Mark-to-market results consist of unrealized gains and losses on contracts that are not yet settled.</w:t>
      </w:r>
    </w:p>
    <w:p>
      <w:pPr>
        <w:spacing w:after="0" w:line="75"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below tables present the composition of gross margin, as well as the reconciliation to economic gross margin, for the three months ended June 30, 2018 and 2017:</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6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tcPr>
          <w:p>
            <w:pPr>
              <w:ind w:left="60"/>
              <w:spacing w:after="0"/>
              <w:rPr>
                <w:sz w:val="20"/>
                <w:szCs w:val="20"/>
                <w:color w:val="auto"/>
              </w:rPr>
            </w:pPr>
            <w:r>
              <w:rPr>
                <w:rFonts w:ascii="Arial" w:cs="Arial" w:eastAsia="Arial" w:hAnsi="Arial"/>
                <w:sz w:val="10"/>
                <w:szCs w:val="10"/>
                <w:b w:val="1"/>
                <w:bCs w:val="1"/>
                <w:color w:val="auto"/>
              </w:rPr>
              <w:t>Conventional Generation</w:t>
            </w:r>
          </w:p>
        </w:tc>
        <w:tc>
          <w:tcPr>
            <w:tcW w:w="200" w:type="dxa"/>
            <w:vAlign w:val="bottom"/>
          </w:tcPr>
          <w:p>
            <w:pPr>
              <w:spacing w:after="0"/>
              <w:rPr>
                <w:sz w:val="10"/>
                <w:szCs w:val="10"/>
                <w:color w:val="auto"/>
              </w:rPr>
            </w:pPr>
          </w:p>
        </w:tc>
        <w:tc>
          <w:tcPr>
            <w:tcW w:w="1080" w:type="dxa"/>
            <w:vAlign w:val="bottom"/>
            <w:gridSpan w:val="2"/>
          </w:tcPr>
          <w:p>
            <w:pPr>
              <w:ind w:left="140"/>
              <w:spacing w:after="0"/>
              <w:rPr>
                <w:sz w:val="20"/>
                <w:szCs w:val="20"/>
                <w:color w:val="auto"/>
              </w:rPr>
            </w:pPr>
            <w:r>
              <w:rPr>
                <w:rFonts w:ascii="Arial" w:cs="Arial" w:eastAsia="Arial" w:hAnsi="Arial"/>
                <w:sz w:val="10"/>
                <w:szCs w:val="10"/>
                <w:b w:val="1"/>
                <w:bCs w:val="1"/>
                <w:color w:val="auto"/>
              </w:rPr>
              <w:t>Renewables</w:t>
            </w:r>
          </w:p>
        </w:tc>
        <w:tc>
          <w:tcPr>
            <w:tcW w:w="220" w:type="dxa"/>
            <w:vAlign w:val="bottom"/>
          </w:tcPr>
          <w:p>
            <w:pPr>
              <w:spacing w:after="0"/>
              <w:rPr>
                <w:sz w:val="10"/>
                <w:szCs w:val="10"/>
                <w:color w:val="auto"/>
              </w:rPr>
            </w:pPr>
          </w:p>
        </w:tc>
        <w:tc>
          <w:tcPr>
            <w:tcW w:w="1020" w:type="dxa"/>
            <w:vAlign w:val="bottom"/>
            <w:gridSpan w:val="2"/>
          </w:tcPr>
          <w:p>
            <w:pPr>
              <w:ind w:left="160"/>
              <w:spacing w:after="0"/>
              <w:rPr>
                <w:sz w:val="20"/>
                <w:szCs w:val="20"/>
                <w:color w:val="auto"/>
              </w:rPr>
            </w:pPr>
            <w:r>
              <w:rPr>
                <w:rFonts w:ascii="Arial" w:cs="Arial" w:eastAsia="Arial" w:hAnsi="Arial"/>
                <w:sz w:val="10"/>
                <w:szCs w:val="10"/>
                <w:b w:val="1"/>
                <w:bCs w:val="1"/>
                <w:color w:val="auto"/>
              </w:rPr>
              <w:t>Thermal</w:t>
            </w:r>
          </w:p>
        </w:tc>
        <w:tc>
          <w:tcPr>
            <w:tcW w:w="280" w:type="dxa"/>
            <w:vAlign w:val="bottom"/>
          </w:tcPr>
          <w:p>
            <w:pPr>
              <w:spacing w:after="0"/>
              <w:rPr>
                <w:sz w:val="10"/>
                <w:szCs w:val="10"/>
                <w:color w:val="auto"/>
              </w:rPr>
            </w:pPr>
          </w:p>
        </w:tc>
        <w:tc>
          <w:tcPr>
            <w:tcW w:w="840" w:type="dxa"/>
            <w:vAlign w:val="bottom"/>
          </w:tcPr>
          <w:p>
            <w:pPr>
              <w:jc w:val="right"/>
              <w:ind w:right="381"/>
              <w:spacing w:after="0"/>
              <w:rPr>
                <w:sz w:val="20"/>
                <w:szCs w:val="20"/>
                <w:color w:val="auto"/>
              </w:rPr>
            </w:pPr>
            <w:r>
              <w:rPr>
                <w:rFonts w:ascii="Arial" w:cs="Arial" w:eastAsia="Arial" w:hAnsi="Arial"/>
                <w:sz w:val="10"/>
                <w:szCs w:val="10"/>
                <w:b w:val="1"/>
                <w:bCs w:val="1"/>
                <w:color w:val="auto"/>
              </w:rPr>
              <w:t>Total</w:t>
            </w:r>
          </w:p>
        </w:tc>
      </w:tr>
      <w:tr>
        <w:trPr>
          <w:trHeight w:val="173"/>
        </w:trPr>
        <w:tc>
          <w:tcPr>
            <w:tcW w:w="6300" w:type="dxa"/>
            <w:vAlign w:val="bottom"/>
          </w:tcPr>
          <w:p>
            <w:pPr>
              <w:ind w:left="40"/>
              <w:spacing w:after="0"/>
              <w:rPr>
                <w:sz w:val="20"/>
                <w:szCs w:val="20"/>
                <w:color w:val="auto"/>
              </w:rPr>
            </w:pPr>
            <w:r>
              <w:rPr>
                <w:rFonts w:ascii="Arial" w:cs="Arial" w:eastAsia="Arial" w:hAnsi="Arial"/>
                <w:sz w:val="10"/>
                <w:szCs w:val="10"/>
                <w:b w:val="1"/>
                <w:bCs w:val="1"/>
                <w:color w:val="auto"/>
              </w:rPr>
              <w:t>(In millions)</w:t>
            </w:r>
          </w:p>
        </w:tc>
        <w:tc>
          <w:tcPr>
            <w:tcW w:w="1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r>
      <w:tr>
        <w:trPr>
          <w:trHeight w:val="184"/>
        </w:trPr>
        <w:tc>
          <w:tcPr>
            <w:tcW w:w="6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Three months ended June 30, 2018</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71"/>
        </w:trPr>
        <w:tc>
          <w:tcPr>
            <w:tcW w:w="6300" w:type="dxa"/>
            <w:vAlign w:val="bottom"/>
          </w:tcPr>
          <w:p>
            <w:pPr>
              <w:ind w:left="100"/>
              <w:spacing w:after="0"/>
              <w:rPr>
                <w:sz w:val="20"/>
                <w:szCs w:val="20"/>
                <w:color w:val="auto"/>
              </w:rPr>
            </w:pPr>
            <w:r>
              <w:rPr>
                <w:rFonts w:ascii="Arial" w:cs="Arial" w:eastAsia="Arial" w:hAnsi="Arial"/>
                <w:sz w:val="12"/>
                <w:szCs w:val="12"/>
                <w:color w:val="auto"/>
              </w:rPr>
              <w:t>Energy and capacity revenues</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ind w:right="61"/>
              <w:spacing w:after="0"/>
              <w:rPr>
                <w:sz w:val="20"/>
                <w:szCs w:val="20"/>
                <w:color w:val="auto"/>
              </w:rPr>
            </w:pPr>
            <w:r>
              <w:rPr>
                <w:rFonts w:ascii="Arial" w:cs="Arial" w:eastAsia="Arial" w:hAnsi="Arial"/>
                <w:sz w:val="12"/>
                <w:szCs w:val="12"/>
                <w:color w:val="auto"/>
              </w:rPr>
              <w:t>87</w:t>
            </w:r>
          </w:p>
        </w:tc>
        <w:tc>
          <w:tcPr>
            <w:tcW w:w="12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193</w:t>
            </w:r>
          </w:p>
        </w:tc>
        <w:tc>
          <w:tcPr>
            <w:tcW w:w="120" w:type="dxa"/>
            <w:vAlign w:val="bottom"/>
          </w:tcPr>
          <w:p>
            <w:pPr>
              <w:spacing w:after="0"/>
              <w:rPr>
                <w:sz w:val="14"/>
                <w:szCs w:val="14"/>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61"/>
              <w:spacing w:after="0"/>
              <w:rPr>
                <w:sz w:val="20"/>
                <w:szCs w:val="20"/>
                <w:color w:val="auto"/>
              </w:rPr>
            </w:pPr>
            <w:r>
              <w:rPr>
                <w:rFonts w:ascii="Arial" w:cs="Arial" w:eastAsia="Arial" w:hAnsi="Arial"/>
                <w:sz w:val="12"/>
                <w:szCs w:val="12"/>
                <w:color w:val="auto"/>
              </w:rPr>
              <w:t>45</w:t>
            </w:r>
          </w:p>
        </w:tc>
        <w:tc>
          <w:tcPr>
            <w:tcW w:w="10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41"/>
              <w:spacing w:after="0"/>
              <w:rPr>
                <w:sz w:val="20"/>
                <w:szCs w:val="20"/>
                <w:color w:val="auto"/>
              </w:rPr>
            </w:pPr>
            <w:r>
              <w:rPr>
                <w:rFonts w:ascii="Arial" w:cs="Arial" w:eastAsia="Arial" w:hAnsi="Arial"/>
                <w:sz w:val="12"/>
                <w:szCs w:val="12"/>
                <w:color w:val="auto"/>
              </w:rPr>
              <w:t>325</w:t>
            </w:r>
          </w:p>
        </w:tc>
      </w:tr>
      <w:tr>
        <w:trPr>
          <w:trHeight w:val="189"/>
        </w:trPr>
        <w:tc>
          <w:tcPr>
            <w:tcW w:w="63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Cost of fuels</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(17)</w:t>
            </w:r>
          </w:p>
        </w:tc>
      </w:tr>
      <w:tr>
        <w:trPr>
          <w:trHeight w:val="171"/>
        </w:trPr>
        <w:tc>
          <w:tcPr>
            <w:tcW w:w="6300" w:type="dxa"/>
            <w:vAlign w:val="bottom"/>
          </w:tcPr>
          <w:p>
            <w:pPr>
              <w:ind w:left="100"/>
              <w:spacing w:after="0"/>
              <w:rPr>
                <w:sz w:val="20"/>
                <w:szCs w:val="20"/>
                <w:color w:val="auto"/>
              </w:rPr>
            </w:pPr>
            <w:r>
              <w:rPr>
                <w:rFonts w:ascii="Arial" w:cs="Arial" w:eastAsia="Arial" w:hAnsi="Arial"/>
                <w:sz w:val="11"/>
                <w:szCs w:val="11"/>
                <w:color w:val="auto"/>
              </w:rPr>
              <w:t>Contract amortization</w:t>
            </w:r>
          </w:p>
        </w:tc>
        <w:tc>
          <w:tcPr>
            <w:tcW w:w="120" w:type="dxa"/>
            <w:vAlign w:val="bottom"/>
          </w:tcPr>
          <w:p>
            <w:pPr>
              <w:spacing w:after="0"/>
              <w:rPr>
                <w:sz w:val="14"/>
                <w:szCs w:val="14"/>
                <w:color w:val="auto"/>
              </w:rPr>
            </w:pPr>
          </w:p>
        </w:tc>
        <w:tc>
          <w:tcPr>
            <w:tcW w:w="1260" w:type="dxa"/>
            <w:vAlign w:val="bottom"/>
          </w:tcPr>
          <w:p>
            <w:pPr>
              <w:jc w:val="right"/>
              <w:ind w:right="21"/>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21"/>
              <w:spacing w:after="0"/>
              <w:rPr>
                <w:sz w:val="20"/>
                <w:szCs w:val="20"/>
                <w:color w:val="auto"/>
              </w:rPr>
            </w:pPr>
            <w:r>
              <w:rPr>
                <w:rFonts w:ascii="Arial" w:cs="Arial" w:eastAsia="Arial" w:hAnsi="Arial"/>
                <w:sz w:val="12"/>
                <w:szCs w:val="12"/>
                <w:color w:val="auto"/>
              </w:rPr>
              <w:t>(16)</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840" w:type="dxa"/>
            <w:vAlign w:val="bottom"/>
          </w:tcPr>
          <w:p>
            <w:pPr>
              <w:jc w:val="right"/>
              <w:ind w:right="1"/>
              <w:spacing w:after="0"/>
              <w:rPr>
                <w:sz w:val="20"/>
                <w:szCs w:val="20"/>
                <w:color w:val="auto"/>
              </w:rPr>
            </w:pPr>
            <w:r>
              <w:rPr>
                <w:rFonts w:ascii="Arial" w:cs="Arial" w:eastAsia="Arial" w:hAnsi="Arial"/>
                <w:sz w:val="12"/>
                <w:szCs w:val="12"/>
                <w:color w:val="auto"/>
              </w:rPr>
              <w:t>(18)</w:t>
            </w:r>
          </w:p>
        </w:tc>
      </w:tr>
      <w:tr>
        <w:trPr>
          <w:trHeight w:val="169"/>
        </w:trPr>
        <w:tc>
          <w:tcPr>
            <w:tcW w:w="63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2"/>
                <w:szCs w:val="12"/>
                <w:b w:val="1"/>
                <w:bCs w:val="1"/>
                <w:color w:val="auto"/>
              </w:rPr>
              <w:t>Gross margin</w:t>
            </w: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126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84</w:t>
            </w: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177</w:t>
            </w: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29</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290</w:t>
            </w:r>
          </w:p>
        </w:tc>
      </w:tr>
      <w:tr>
        <w:trPr>
          <w:trHeight w:val="169"/>
        </w:trPr>
        <w:tc>
          <w:tcPr>
            <w:tcW w:w="6300" w:type="dxa"/>
            <w:vAlign w:val="bottom"/>
          </w:tcPr>
          <w:p>
            <w:pPr>
              <w:ind w:left="100"/>
              <w:spacing w:after="0"/>
              <w:rPr>
                <w:sz w:val="20"/>
                <w:szCs w:val="20"/>
                <w:color w:val="auto"/>
              </w:rPr>
            </w:pPr>
            <w:r>
              <w:rPr>
                <w:rFonts w:ascii="Arial" w:cs="Arial" w:eastAsia="Arial" w:hAnsi="Arial"/>
                <w:sz w:val="12"/>
                <w:szCs w:val="12"/>
                <w:color w:val="auto"/>
              </w:rPr>
              <w:t>Contract amortization</w:t>
            </w:r>
          </w:p>
        </w:tc>
        <w:tc>
          <w:tcPr>
            <w:tcW w:w="120" w:type="dxa"/>
            <w:vAlign w:val="bottom"/>
          </w:tcPr>
          <w:p>
            <w:pPr>
              <w:spacing w:after="0"/>
              <w:rPr>
                <w:sz w:val="14"/>
                <w:szCs w:val="14"/>
                <w:color w:val="auto"/>
              </w:rPr>
            </w:pPr>
          </w:p>
        </w:tc>
        <w:tc>
          <w:tcPr>
            <w:tcW w:w="1260" w:type="dxa"/>
            <w:vAlign w:val="bottom"/>
          </w:tcPr>
          <w:p>
            <w:pPr>
              <w:jc w:val="right"/>
              <w:ind w:right="61"/>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16</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840" w:type="dxa"/>
            <w:vAlign w:val="bottom"/>
          </w:tcPr>
          <w:p>
            <w:pPr>
              <w:jc w:val="right"/>
              <w:ind w:right="41"/>
              <w:spacing w:after="0"/>
              <w:rPr>
                <w:sz w:val="20"/>
                <w:szCs w:val="20"/>
                <w:color w:val="auto"/>
              </w:rPr>
            </w:pPr>
            <w:r>
              <w:rPr>
                <w:rFonts w:ascii="Arial" w:cs="Arial" w:eastAsia="Arial" w:hAnsi="Arial"/>
                <w:sz w:val="12"/>
                <w:szCs w:val="12"/>
                <w:color w:val="auto"/>
              </w:rPr>
              <w:t>18</w:t>
            </w:r>
          </w:p>
        </w:tc>
      </w:tr>
      <w:tr>
        <w:trPr>
          <w:trHeight w:val="185"/>
        </w:trPr>
        <w:tc>
          <w:tcPr>
            <w:tcW w:w="63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2"/>
                <w:szCs w:val="12"/>
                <w:b w:val="1"/>
                <w:bCs w:val="1"/>
                <w:color w:val="auto"/>
              </w:rPr>
              <w:t>Economic gross margin</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6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86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193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308</w:t>
            </w:r>
          </w:p>
        </w:tc>
      </w:tr>
      <w:tr>
        <w:trPr>
          <w:trHeight w:val="189"/>
        </w:trPr>
        <w:tc>
          <w:tcPr>
            <w:tcW w:w="6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0"/>
        </w:trPr>
        <w:tc>
          <w:tcPr>
            <w:tcW w:w="6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Three months ended June 30, 2017</w:t>
            </w: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71"/>
        </w:trPr>
        <w:tc>
          <w:tcPr>
            <w:tcW w:w="6300" w:type="dxa"/>
            <w:vAlign w:val="bottom"/>
          </w:tcPr>
          <w:p>
            <w:pPr>
              <w:ind w:left="100"/>
              <w:spacing w:after="0"/>
              <w:rPr>
                <w:sz w:val="20"/>
                <w:szCs w:val="20"/>
                <w:color w:val="auto"/>
              </w:rPr>
            </w:pPr>
            <w:r>
              <w:rPr>
                <w:rFonts w:ascii="Arial" w:cs="Arial" w:eastAsia="Arial" w:hAnsi="Arial"/>
                <w:sz w:val="12"/>
                <w:szCs w:val="12"/>
                <w:color w:val="auto"/>
              </w:rPr>
              <w:t>Energy and capacity revenues</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ind w:right="61"/>
              <w:spacing w:after="0"/>
              <w:rPr>
                <w:sz w:val="20"/>
                <w:szCs w:val="20"/>
                <w:color w:val="auto"/>
              </w:rPr>
            </w:pPr>
            <w:r>
              <w:rPr>
                <w:rFonts w:ascii="Arial" w:cs="Arial" w:eastAsia="Arial" w:hAnsi="Arial"/>
                <w:sz w:val="12"/>
                <w:szCs w:val="12"/>
                <w:color w:val="auto"/>
              </w:rPr>
              <w:t>85</w:t>
            </w:r>
          </w:p>
        </w:tc>
        <w:tc>
          <w:tcPr>
            <w:tcW w:w="12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180</w:t>
            </w:r>
          </w:p>
        </w:tc>
        <w:tc>
          <w:tcPr>
            <w:tcW w:w="120" w:type="dxa"/>
            <w:vAlign w:val="bottom"/>
          </w:tcPr>
          <w:p>
            <w:pPr>
              <w:spacing w:after="0"/>
              <w:rPr>
                <w:sz w:val="14"/>
                <w:szCs w:val="14"/>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61"/>
              <w:spacing w:after="0"/>
              <w:rPr>
                <w:sz w:val="20"/>
                <w:szCs w:val="20"/>
                <w:color w:val="auto"/>
              </w:rPr>
            </w:pPr>
            <w:r>
              <w:rPr>
                <w:rFonts w:ascii="Arial" w:cs="Arial" w:eastAsia="Arial" w:hAnsi="Arial"/>
                <w:sz w:val="12"/>
                <w:szCs w:val="12"/>
                <w:color w:val="auto"/>
              </w:rPr>
              <w:t>40</w:t>
            </w:r>
          </w:p>
        </w:tc>
        <w:tc>
          <w:tcPr>
            <w:tcW w:w="10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41"/>
              <w:spacing w:after="0"/>
              <w:rPr>
                <w:sz w:val="20"/>
                <w:szCs w:val="20"/>
                <w:color w:val="auto"/>
              </w:rPr>
            </w:pPr>
            <w:r>
              <w:rPr>
                <w:rFonts w:ascii="Arial" w:cs="Arial" w:eastAsia="Arial" w:hAnsi="Arial"/>
                <w:sz w:val="12"/>
                <w:szCs w:val="12"/>
                <w:color w:val="auto"/>
              </w:rPr>
              <w:t>305</w:t>
            </w:r>
          </w:p>
        </w:tc>
      </w:tr>
      <w:tr>
        <w:trPr>
          <w:trHeight w:val="189"/>
        </w:trPr>
        <w:tc>
          <w:tcPr>
            <w:tcW w:w="63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Cost of fuels</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(14)</w:t>
            </w:r>
          </w:p>
        </w:tc>
      </w:tr>
      <w:tr>
        <w:trPr>
          <w:trHeight w:val="171"/>
        </w:trPr>
        <w:tc>
          <w:tcPr>
            <w:tcW w:w="6300" w:type="dxa"/>
            <w:vAlign w:val="bottom"/>
          </w:tcPr>
          <w:p>
            <w:pPr>
              <w:ind w:left="100"/>
              <w:spacing w:after="0"/>
              <w:rPr>
                <w:sz w:val="20"/>
                <w:szCs w:val="20"/>
                <w:color w:val="auto"/>
              </w:rPr>
            </w:pPr>
            <w:r>
              <w:rPr>
                <w:rFonts w:ascii="Arial" w:cs="Arial" w:eastAsia="Arial" w:hAnsi="Arial"/>
                <w:sz w:val="12"/>
                <w:szCs w:val="12"/>
                <w:color w:val="auto"/>
              </w:rPr>
              <w:t>Contract amortization</w:t>
            </w:r>
          </w:p>
        </w:tc>
        <w:tc>
          <w:tcPr>
            <w:tcW w:w="120" w:type="dxa"/>
            <w:vAlign w:val="bottom"/>
          </w:tcPr>
          <w:p>
            <w:pPr>
              <w:spacing w:after="0"/>
              <w:rPr>
                <w:sz w:val="14"/>
                <w:szCs w:val="14"/>
                <w:color w:val="auto"/>
              </w:rPr>
            </w:pPr>
          </w:p>
        </w:tc>
        <w:tc>
          <w:tcPr>
            <w:tcW w:w="1260" w:type="dxa"/>
            <w:vAlign w:val="bottom"/>
          </w:tcPr>
          <w:p>
            <w:pPr>
              <w:jc w:val="right"/>
              <w:ind w:right="21"/>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21"/>
              <w:spacing w:after="0"/>
              <w:rPr>
                <w:sz w:val="20"/>
                <w:szCs w:val="20"/>
                <w:color w:val="auto"/>
              </w:rPr>
            </w:pPr>
            <w:r>
              <w:rPr>
                <w:rFonts w:ascii="Arial" w:cs="Arial" w:eastAsia="Arial" w:hAnsi="Arial"/>
                <w:sz w:val="12"/>
                <w:szCs w:val="12"/>
                <w:color w:val="auto"/>
              </w:rPr>
              <w:t>(15)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840" w:type="dxa"/>
            <w:vAlign w:val="bottom"/>
          </w:tcPr>
          <w:p>
            <w:pPr>
              <w:jc w:val="right"/>
              <w:ind w:right="1"/>
              <w:spacing w:after="0"/>
              <w:rPr>
                <w:sz w:val="20"/>
                <w:szCs w:val="20"/>
                <w:color w:val="auto"/>
              </w:rPr>
            </w:pPr>
            <w:r>
              <w:rPr>
                <w:rFonts w:ascii="Arial" w:cs="Arial" w:eastAsia="Arial" w:hAnsi="Arial"/>
                <w:sz w:val="12"/>
                <w:szCs w:val="12"/>
                <w:color w:val="auto"/>
              </w:rPr>
              <w:t>(17)</w:t>
            </w:r>
          </w:p>
        </w:tc>
      </w:tr>
      <w:tr>
        <w:trPr>
          <w:trHeight w:val="169"/>
        </w:trPr>
        <w:tc>
          <w:tcPr>
            <w:tcW w:w="63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2"/>
                <w:szCs w:val="12"/>
                <w:b w:val="1"/>
                <w:bCs w:val="1"/>
                <w:color w:val="auto"/>
              </w:rPr>
              <w:t>Gross margin</w:t>
            </w: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126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83</w:t>
            </w: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165</w:t>
            </w: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26</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274</w:t>
            </w:r>
          </w:p>
        </w:tc>
      </w:tr>
      <w:tr>
        <w:trPr>
          <w:trHeight w:val="169"/>
        </w:trPr>
        <w:tc>
          <w:tcPr>
            <w:tcW w:w="6300" w:type="dxa"/>
            <w:vAlign w:val="bottom"/>
          </w:tcPr>
          <w:p>
            <w:pPr>
              <w:ind w:left="100"/>
              <w:spacing w:after="0"/>
              <w:rPr>
                <w:sz w:val="20"/>
                <w:szCs w:val="20"/>
                <w:color w:val="auto"/>
              </w:rPr>
            </w:pPr>
            <w:r>
              <w:rPr>
                <w:rFonts w:ascii="Arial" w:cs="Arial" w:eastAsia="Arial" w:hAnsi="Arial"/>
                <w:sz w:val="12"/>
                <w:szCs w:val="12"/>
                <w:color w:val="auto"/>
              </w:rPr>
              <w:t>Contract amortization</w:t>
            </w:r>
          </w:p>
        </w:tc>
        <w:tc>
          <w:tcPr>
            <w:tcW w:w="120" w:type="dxa"/>
            <w:vAlign w:val="bottom"/>
          </w:tcPr>
          <w:p>
            <w:pPr>
              <w:spacing w:after="0"/>
              <w:rPr>
                <w:sz w:val="14"/>
                <w:szCs w:val="14"/>
                <w:color w:val="auto"/>
              </w:rPr>
            </w:pPr>
          </w:p>
        </w:tc>
        <w:tc>
          <w:tcPr>
            <w:tcW w:w="1260" w:type="dxa"/>
            <w:vAlign w:val="bottom"/>
          </w:tcPr>
          <w:p>
            <w:pPr>
              <w:jc w:val="right"/>
              <w:ind w:right="61"/>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15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840" w:type="dxa"/>
            <w:vAlign w:val="bottom"/>
          </w:tcPr>
          <w:p>
            <w:pPr>
              <w:jc w:val="right"/>
              <w:ind w:right="41"/>
              <w:spacing w:after="0"/>
              <w:rPr>
                <w:sz w:val="20"/>
                <w:szCs w:val="20"/>
                <w:color w:val="auto"/>
              </w:rPr>
            </w:pPr>
            <w:r>
              <w:rPr>
                <w:rFonts w:ascii="Arial" w:cs="Arial" w:eastAsia="Arial" w:hAnsi="Arial"/>
                <w:sz w:val="12"/>
                <w:szCs w:val="12"/>
                <w:color w:val="auto"/>
              </w:rPr>
              <w:t>17</w:t>
            </w:r>
          </w:p>
        </w:tc>
      </w:tr>
      <w:tr>
        <w:trPr>
          <w:trHeight w:val="185"/>
        </w:trPr>
        <w:tc>
          <w:tcPr>
            <w:tcW w:w="63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2"/>
                <w:szCs w:val="12"/>
                <w:b w:val="1"/>
                <w:bCs w:val="1"/>
                <w:color w:val="auto"/>
              </w:rPr>
              <w:t>Economic gross margin</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6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85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180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291</w:t>
            </w:r>
          </w:p>
        </w:tc>
      </w:tr>
    </w:tbl>
    <w:p>
      <w:pPr>
        <w:spacing w:after="0" w:line="99" w:lineRule="exact"/>
        <w:rPr>
          <w:sz w:val="20"/>
          <w:szCs w:val="20"/>
          <w:color w:val="auto"/>
        </w:rPr>
      </w:pPr>
    </w:p>
    <w:p>
      <w:pPr>
        <w:ind w:left="260"/>
        <w:spacing w:after="0"/>
        <w:rPr>
          <w:sz w:val="20"/>
          <w:szCs w:val="20"/>
          <w:color w:val="auto"/>
        </w:rPr>
      </w:pPr>
      <w:r>
        <w:rPr>
          <w:rFonts w:ascii="Arial" w:cs="Arial" w:eastAsia="Arial" w:hAnsi="Arial"/>
          <w:sz w:val="12"/>
          <w:szCs w:val="12"/>
          <w:color w:val="auto"/>
        </w:rPr>
        <w:t>Gross margin increased by $16 million during the three months ended June 30, 2018, compared to the same period in 2017, as further summarized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720" w:type="dxa"/>
            <w:vAlign w:val="bottom"/>
          </w:tcPr>
          <w:p>
            <w:pPr>
              <w:ind w:left="20"/>
              <w:spacing w:after="0"/>
              <w:rPr>
                <w:sz w:val="20"/>
                <w:szCs w:val="20"/>
                <w:color w:val="auto"/>
              </w:rPr>
            </w:pPr>
            <w:r>
              <w:rPr>
                <w:rFonts w:ascii="Arial" w:cs="Arial" w:eastAsia="Arial" w:hAnsi="Arial"/>
                <w:sz w:val="11"/>
                <w:szCs w:val="11"/>
                <w:b w:val="1"/>
                <w:bCs w:val="1"/>
                <w:color w:val="auto"/>
              </w:rPr>
              <w:t>Segment</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Increase</w:t>
            </w:r>
          </w:p>
        </w:tc>
        <w:tc>
          <w:tcPr>
            <w:tcW w:w="480" w:type="dxa"/>
            <w:vAlign w:val="bottom"/>
          </w:tcPr>
          <w:p>
            <w:pPr>
              <w:spacing w:after="0"/>
              <w:rPr>
                <w:sz w:val="12"/>
                <w:szCs w:val="12"/>
                <w:color w:val="auto"/>
              </w:rPr>
            </w:pPr>
          </w:p>
        </w:tc>
        <w:tc>
          <w:tcPr>
            <w:tcW w:w="8580" w:type="dxa"/>
            <w:vAlign w:val="bottom"/>
          </w:tcPr>
          <w:p>
            <w:pPr>
              <w:ind w:left="20"/>
              <w:spacing w:after="0"/>
              <w:rPr>
                <w:sz w:val="20"/>
                <w:szCs w:val="20"/>
                <w:color w:val="auto"/>
              </w:rPr>
            </w:pPr>
            <w:r>
              <w:rPr>
                <w:rFonts w:ascii="Arial" w:cs="Arial" w:eastAsia="Arial" w:hAnsi="Arial"/>
                <w:sz w:val="11"/>
                <w:szCs w:val="11"/>
                <w:b w:val="1"/>
                <w:bCs w:val="1"/>
                <w:color w:val="auto"/>
              </w:rPr>
              <w:t>Reason for Increase</w:t>
            </w:r>
          </w:p>
        </w:tc>
      </w:tr>
      <w:tr>
        <w:trPr>
          <w:trHeight w:val="22"/>
        </w:trPr>
        <w:tc>
          <w:tcPr>
            <w:tcW w:w="1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580" w:type="dxa"/>
            <w:vAlign w:val="bottom"/>
            <w:tcBorders>
              <w:bottom w:val="single" w:sz="8" w:color="auto"/>
            </w:tcBorders>
          </w:tcPr>
          <w:p>
            <w:pPr>
              <w:spacing w:after="0" w:line="20" w:lineRule="exact"/>
              <w:rPr>
                <w:sz w:val="1"/>
                <w:szCs w:val="1"/>
                <w:color w:val="auto"/>
              </w:rPr>
            </w:pPr>
          </w:p>
        </w:tc>
      </w:tr>
      <w:tr>
        <w:trPr>
          <w:trHeight w:val="169"/>
        </w:trPr>
        <w:tc>
          <w:tcPr>
            <w:tcW w:w="17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Renewables:</w:t>
            </w:r>
          </w:p>
        </w:tc>
        <w:tc>
          <w:tcPr>
            <w:tcW w:w="66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w:t>
            </w:r>
          </w:p>
        </w:tc>
        <w:tc>
          <w:tcPr>
            <w:tcW w:w="8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9% increase in volume generated by wind projects, primarily at the Alta Wind projects, as well as 2% increase in solar generation, primarily at CVSR</w:t>
            </w:r>
          </w:p>
        </w:tc>
      </w:tr>
      <w:tr>
        <w:trPr>
          <w:trHeight w:val="171"/>
        </w:trPr>
        <w:tc>
          <w:tcPr>
            <w:tcW w:w="1720" w:type="dxa"/>
            <w:vAlign w:val="bottom"/>
          </w:tcPr>
          <w:p>
            <w:pPr>
              <w:ind w:left="20"/>
              <w:spacing w:after="0"/>
              <w:rPr>
                <w:sz w:val="20"/>
                <w:szCs w:val="20"/>
                <w:color w:val="auto"/>
              </w:rPr>
            </w:pPr>
            <w:r>
              <w:rPr>
                <w:rFonts w:ascii="Arial" w:cs="Arial" w:eastAsia="Arial" w:hAnsi="Arial"/>
                <w:sz w:val="12"/>
                <w:szCs w:val="12"/>
                <w:b w:val="1"/>
                <w:bCs w:val="1"/>
                <w:color w:val="auto"/>
              </w:rPr>
              <w:t>Thermal:</w:t>
            </w:r>
          </w:p>
        </w:tc>
        <w:tc>
          <w:tcPr>
            <w:tcW w:w="660" w:type="dxa"/>
            <w:vAlign w:val="bottom"/>
          </w:tcPr>
          <w:p>
            <w:pPr>
              <w:spacing w:after="0"/>
              <w:rPr>
                <w:sz w:val="14"/>
                <w:szCs w:val="14"/>
                <w:color w:val="auto"/>
              </w:rPr>
            </w:pPr>
          </w:p>
        </w:tc>
        <w:tc>
          <w:tcPr>
            <w:tcW w:w="480" w:type="dxa"/>
            <w:vAlign w:val="bottom"/>
          </w:tcPr>
          <w:p>
            <w:pPr>
              <w:jc w:val="right"/>
              <w:ind w:right="60"/>
              <w:spacing w:after="0"/>
              <w:rPr>
                <w:sz w:val="20"/>
                <w:szCs w:val="20"/>
                <w:color w:val="auto"/>
              </w:rPr>
            </w:pPr>
            <w:r>
              <w:rPr>
                <w:rFonts w:ascii="Arial" w:cs="Arial" w:eastAsia="Arial" w:hAnsi="Arial"/>
                <w:sz w:val="12"/>
                <w:szCs w:val="12"/>
                <w:color w:val="auto"/>
              </w:rPr>
              <w:t>3</w:t>
            </w:r>
          </w:p>
        </w:tc>
        <w:tc>
          <w:tcPr>
            <w:tcW w:w="8580" w:type="dxa"/>
            <w:vAlign w:val="bottom"/>
          </w:tcPr>
          <w:p>
            <w:pPr>
              <w:ind w:left="20"/>
              <w:spacing w:after="0"/>
              <w:rPr>
                <w:sz w:val="20"/>
                <w:szCs w:val="20"/>
                <w:color w:val="auto"/>
              </w:rPr>
            </w:pPr>
            <w:r>
              <w:rPr>
                <w:rFonts w:ascii="Arial" w:cs="Arial" w:eastAsia="Arial" w:hAnsi="Arial"/>
                <w:sz w:val="12"/>
                <w:szCs w:val="12"/>
                <w:color w:val="auto"/>
              </w:rPr>
              <w:t>Steam sales revenues generated at the UPMC Thermal Project pursuant to the Energy Sales Agreement between the Company and UPMC Mercy</w:t>
            </w:r>
          </w:p>
        </w:tc>
      </w:tr>
      <w:tr>
        <w:trPr>
          <w:trHeight w:val="180"/>
        </w:trPr>
        <w:tc>
          <w:tcPr>
            <w:tcW w:w="17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Conventional :</w:t>
            </w:r>
          </w:p>
        </w:tc>
        <w:tc>
          <w:tcPr>
            <w:tcW w:w="66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w:t>
            </w:r>
          </w:p>
        </w:tc>
        <w:tc>
          <w:tcPr>
            <w:tcW w:w="8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Higher plant availability at Walnut Creek in 2018, partially offset by lower start revenue at Marsh Landing</w:t>
            </w:r>
          </w:p>
        </w:tc>
      </w:tr>
      <w:tr>
        <w:trPr>
          <w:trHeight w:val="185"/>
        </w:trPr>
        <w:tc>
          <w:tcPr>
            <w:tcW w:w="1720" w:type="dxa"/>
            <w:vAlign w:val="bottom"/>
          </w:tcPr>
          <w:p>
            <w:pPr>
              <w:spacing w:after="0"/>
              <w:rPr>
                <w:sz w:val="16"/>
                <w:szCs w:val="16"/>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w:t>
            </w:r>
          </w:p>
        </w:tc>
        <w:tc>
          <w:tcPr>
            <w:tcW w:w="4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16</w:t>
            </w:r>
          </w:p>
        </w:tc>
        <w:tc>
          <w:tcPr>
            <w:tcW w:w="8580" w:type="dxa"/>
            <w:vAlign w:val="bottom"/>
          </w:tcPr>
          <w:p>
            <w:pPr>
              <w:spacing w:after="0"/>
              <w:rPr>
                <w:sz w:val="16"/>
                <w:szCs w:val="16"/>
                <w:color w:val="auto"/>
              </w:rPr>
            </w:pPr>
          </w:p>
        </w:tc>
      </w:tr>
      <w:tr>
        <w:trPr>
          <w:trHeight w:val="414"/>
        </w:trPr>
        <w:tc>
          <w:tcPr>
            <w:tcW w:w="1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580" w:type="dxa"/>
            <w:vAlign w:val="bottom"/>
          </w:tcPr>
          <w:p>
            <w:pPr>
              <w:ind w:left="2820"/>
              <w:spacing w:after="0"/>
              <w:rPr>
                <w:sz w:val="20"/>
                <w:szCs w:val="20"/>
                <w:color w:val="auto"/>
              </w:rPr>
            </w:pPr>
            <w:r>
              <w:rPr>
                <w:rFonts w:ascii="Arial" w:cs="Arial" w:eastAsia="Arial" w:hAnsi="Arial"/>
                <w:sz w:val="12"/>
                <w:szCs w:val="12"/>
                <w:color w:val="auto"/>
              </w:rPr>
              <w:t>41</w:t>
            </w:r>
          </w:p>
        </w:tc>
      </w:tr>
    </w:tbl>
    <w:p>
      <w:pPr>
        <w:sectPr>
          <w:pgSz w:w="11900" w:h="16838" w:orient="portrait"/>
          <w:cols w:equalWidth="0" w:num="1">
            <w:col w:w="11480"/>
          </w:cols>
          <w:pgMar w:left="220" w:top="505" w:right="199" w:bottom="1440" w:gutter="0" w:footer="0" w:header="0"/>
        </w:sectPr>
      </w:pPr>
    </w:p>
    <w:bookmarkStart w:id="41" w:name="page42"/>
    <w:bookmarkEnd w:id="41"/>
    <w:p>
      <w:pPr>
        <w:spacing w:after="0"/>
        <w:rPr>
          <w:sz w:val="20"/>
          <w:szCs w:val="20"/>
          <w:color w:val="auto"/>
        </w:rPr>
      </w:pPr>
      <w:r>
        <w:rPr>
          <w:rFonts w:ascii="Arial" w:cs="Arial" w:eastAsia="Arial" w:hAnsi="Arial"/>
          <w:sz w:val="12"/>
          <w:szCs w:val="12"/>
          <w:b w:val="1"/>
          <w:bCs w:val="1"/>
          <w:i w:val="1"/>
          <w:iCs w:val="1"/>
          <w:color w:val="auto"/>
        </w:rPr>
        <w:t>Operations and Maintenance</w:t>
      </w:r>
    </w:p>
    <w:p>
      <w:pPr>
        <w:spacing w:after="0" w:line="96" w:lineRule="exact"/>
        <w:rPr>
          <w:sz w:val="20"/>
          <w:szCs w:val="20"/>
          <w:color w:val="auto"/>
        </w:rPr>
      </w:pPr>
    </w:p>
    <w:p>
      <w:pPr>
        <w:jc w:val="both"/>
        <w:ind w:right="20" w:firstLine="270"/>
        <w:spacing w:after="0" w:line="276" w:lineRule="auto"/>
        <w:rPr>
          <w:sz w:val="20"/>
          <w:szCs w:val="20"/>
          <w:color w:val="auto"/>
        </w:rPr>
      </w:pPr>
      <w:r>
        <w:rPr>
          <w:rFonts w:ascii="Arial" w:cs="Arial" w:eastAsia="Arial" w:hAnsi="Arial"/>
          <w:sz w:val="12"/>
          <w:szCs w:val="12"/>
          <w:color w:val="auto"/>
        </w:rPr>
        <w:t>Operations and maintenance expense decreased by $4 million during the three months ended June 30, 2018, primarily due to lower net losses on disposal and replacement of assets at Walnut Creek and El Segundo, as well as lower costs related to the forced outages at Walnut Creek in the second quarter of 2018 compared to the same period in 2017.</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Depreciation and Amortization Expense</w:t>
      </w:r>
    </w:p>
    <w:p>
      <w:pPr>
        <w:spacing w:after="0" w:line="114" w:lineRule="exact"/>
        <w:rPr>
          <w:sz w:val="20"/>
          <w:szCs w:val="20"/>
          <w:color w:val="auto"/>
        </w:rPr>
      </w:pPr>
    </w:p>
    <w:p>
      <w:pPr>
        <w:jc w:val="both"/>
        <w:ind w:right="20" w:firstLine="270"/>
        <w:spacing w:after="0" w:line="276" w:lineRule="auto"/>
        <w:rPr>
          <w:sz w:val="20"/>
          <w:szCs w:val="20"/>
          <w:color w:val="auto"/>
        </w:rPr>
      </w:pPr>
      <w:r>
        <w:rPr>
          <w:rFonts w:ascii="Arial" w:cs="Arial" w:eastAsia="Arial" w:hAnsi="Arial"/>
          <w:sz w:val="12"/>
          <w:szCs w:val="12"/>
          <w:color w:val="auto"/>
        </w:rPr>
        <w:t>Depreciation and amortization expense increased by $3 million during the three months ended June 30, 2018, compared to the same period in 2017, primarily due to change in estimated useful lives for certain components of fixed assets in the Renewables segment in the first half of 2017, as well as due to the substantial completion of the Buckthorn Solar project in May 2018.</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Equity in Earnings of Unconsolidated Affiliates</w:t>
      </w:r>
    </w:p>
    <w:p>
      <w:pPr>
        <w:spacing w:after="0" w:line="114" w:lineRule="exact"/>
        <w:rPr>
          <w:sz w:val="20"/>
          <w:szCs w:val="20"/>
          <w:color w:val="auto"/>
        </w:rPr>
      </w:pPr>
    </w:p>
    <w:p>
      <w:pPr>
        <w:jc w:val="both"/>
        <w:ind w:right="20" w:firstLine="270"/>
        <w:spacing w:after="0" w:line="323" w:lineRule="auto"/>
        <w:rPr>
          <w:sz w:val="20"/>
          <w:szCs w:val="20"/>
          <w:color w:val="auto"/>
        </w:rPr>
      </w:pPr>
      <w:r>
        <w:rPr>
          <w:rFonts w:ascii="Arial" w:cs="Arial" w:eastAsia="Arial" w:hAnsi="Arial"/>
          <w:sz w:val="11"/>
          <w:szCs w:val="11"/>
          <w:color w:val="auto"/>
        </w:rPr>
        <w:t>Equity in earnings of unconsolidated affiliates increased by $13 million during the three months ended June 30, 2018, compared to the same period in 2017, primarily due to income allocated to the Company in DGPV Holdco 3, which was formed in September 2017. The HLBV method of accounting generally allocates more losses to the TE investors in the first several years after fund formation, and conversely, more income to the Company.</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Interest Expense</w:t>
      </w:r>
    </w:p>
    <w:p>
      <w:pPr>
        <w:spacing w:after="0" w:line="96" w:lineRule="exact"/>
        <w:rPr>
          <w:sz w:val="20"/>
          <w:szCs w:val="20"/>
          <w:color w:val="auto"/>
        </w:rPr>
      </w:pPr>
    </w:p>
    <w:p>
      <w:pPr>
        <w:ind w:left="260"/>
        <w:spacing w:after="0"/>
        <w:rPr>
          <w:sz w:val="20"/>
          <w:szCs w:val="20"/>
          <w:color w:val="auto"/>
        </w:rPr>
      </w:pPr>
      <w:r>
        <w:rPr>
          <w:rFonts w:ascii="Arial" w:cs="Arial" w:eastAsia="Arial" w:hAnsi="Arial"/>
          <w:sz w:val="11"/>
          <w:szCs w:val="11"/>
          <w:color w:val="auto"/>
        </w:rPr>
        <w:t>Interest expense decreased by $19 million during the three months ended June 30, 2018, compared to the same period in 2017, primarily due to changes in the fair value of interest rate swaps during the second quarter of 2018.</w:t>
      </w:r>
    </w:p>
    <w:p>
      <w:pPr>
        <w:spacing w:after="0" w:line="29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Income Tax Expense</w:t>
      </w:r>
    </w:p>
    <w:p>
      <w:pPr>
        <w:spacing w:after="0" w:line="114"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For the three months ended June 30, 2018, the Company recorded income tax expense of $7 million on pretax income of $103 million. For the same period in 2017, the Company recorded income tax expense of $8 million on pretax income of $52 million.</w:t>
      </w:r>
    </w:p>
    <w:p>
      <w:pPr>
        <w:spacing w:after="0" w:line="79"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For the three months ended June 30, 2018 and 2017, the overall effective tax rate was different than the statutory rate of 21% and 35%, respectively primarily due to production and investment tax credits generated from certain wind and solar assets, respectively, and earnings allocated to NRG resulting from its interest in NRG Yield LLC.</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Income Attributable to Noncontrolling Interests</w:t>
      </w:r>
    </w:p>
    <w:p>
      <w:pPr>
        <w:spacing w:after="0" w:line="114"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2"/>
          <w:szCs w:val="12"/>
          <w:color w:val="auto"/>
        </w:rPr>
        <w:t>For the three months ended June 30, 2018, the Company had income of $73 million attributable to NRG's interest in the Company and a loss of $56 million attributable to noncontrolling interests with respect to its tax equity financing arrangements and the application of the HLBV method. For the three months ended June 30, 2017, the Company had income of $36 million attributable to NRG's interest in the Company and a loss of $22 million attributable to noncontrolling interests with respect to its tax equity financing arrangements and the application of the HLBV method, which generally allocates more loss to the noncontrolling interest in the first several years after fund formation, reflecting the allocation of tax items such as production tax credits and tax depreciation to the fund investors.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ectPr>
          <w:pgSz w:w="11900" w:h="16838" w:orient="portrait"/>
          <w:cols w:equalWidth="0" w:num="1">
            <w:col w:w="11480"/>
          </w:cols>
          <w:pgMar w:left="220" w:top="509" w:right="199" w:bottom="1440" w:gutter="0" w:footer="0" w:header="0"/>
        </w:sectPr>
      </w:pPr>
    </w:p>
    <w:bookmarkStart w:id="42" w:name="page43"/>
    <w:bookmarkEnd w:id="42"/>
    <w:p>
      <w:pPr>
        <w:spacing w:after="0"/>
        <w:rPr>
          <w:sz w:val="20"/>
          <w:szCs w:val="20"/>
          <w:color w:val="auto"/>
        </w:rPr>
      </w:pPr>
      <w:r>
        <w:rPr>
          <w:rFonts w:ascii="Arial" w:cs="Arial" w:eastAsia="Arial" w:hAnsi="Arial"/>
          <w:sz w:val="12"/>
          <w:szCs w:val="12"/>
          <w:b w:val="1"/>
          <w:bCs w:val="1"/>
          <w:color w:val="auto"/>
        </w:rPr>
        <w:t>Management’s Discussion of the Results of Operations for the Six Months Ended June 30, 2018 and 2017</w:t>
      </w:r>
    </w:p>
    <w:p>
      <w:pPr>
        <w:spacing w:after="0" w:line="22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Gross Margin</w:t>
      </w:r>
    </w:p>
    <w:p>
      <w:pPr>
        <w:spacing w:after="0" w:line="96" w:lineRule="exact"/>
        <w:rPr>
          <w:sz w:val="20"/>
          <w:szCs w:val="20"/>
          <w:color w:val="auto"/>
        </w:rPr>
      </w:pPr>
    </w:p>
    <w:p>
      <w:pPr>
        <w:jc w:val="both"/>
        <w:ind w:firstLine="261"/>
        <w:spacing w:after="0" w:line="276" w:lineRule="auto"/>
        <w:rPr>
          <w:sz w:val="20"/>
          <w:szCs w:val="20"/>
          <w:color w:val="auto"/>
        </w:rPr>
      </w:pPr>
      <w:r>
        <w:rPr>
          <w:rFonts w:ascii="Arial" w:cs="Arial" w:eastAsia="Arial" w:hAnsi="Arial"/>
          <w:sz w:val="12"/>
          <w:szCs w:val="12"/>
          <w:color w:val="auto"/>
        </w:rPr>
        <w:t>The Company calculates gross margin in order to evaluate operating performance as operating revenues less cost of sales, which includes cost of fuel, contract and emission credit amortization and mark-to-market for economic hedging activities.</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Economic Gross Margin</w:t>
      </w:r>
    </w:p>
    <w:p>
      <w:pPr>
        <w:spacing w:after="0" w:line="96" w:lineRule="exact"/>
        <w:rPr>
          <w:sz w:val="20"/>
          <w:szCs w:val="20"/>
          <w:color w:val="auto"/>
        </w:rPr>
      </w:pPr>
    </w:p>
    <w:p>
      <w:pPr>
        <w:jc w:val="both"/>
        <w:ind w:firstLine="261"/>
        <w:spacing w:after="0" w:line="286" w:lineRule="auto"/>
        <w:rPr>
          <w:sz w:val="20"/>
          <w:szCs w:val="20"/>
          <w:color w:val="auto"/>
        </w:rPr>
      </w:pPr>
      <w:r>
        <w:rPr>
          <w:rFonts w:ascii="Arial" w:cs="Arial" w:eastAsia="Arial" w:hAnsi="Arial"/>
          <w:sz w:val="11"/>
          <w:szCs w:val="11"/>
          <w:color w:val="auto"/>
        </w:rPr>
        <w:t>In addition to gross margin, 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should be viewed as a supplement to and not a substitute for the Company's presentation of gross margin, which is the most directly comparable GAAP measure. Economic gross margin is not intended to represent gross margin. The Company believes that economic gross margin is useful to investors as it is a key operational measure reviewed by the Company's chief operating decision maker. Economic gross margin is defined as energy and capacity revenue less cost of fuels. Economic gross margin excludes the following components from GAAP gross margin: contract amortization, mark-to-market results, emissions credit amortization and (losses) gains on economic hedging activities. Mark-to-market results consist of unrealized gains and losses on contracts that are not yet settled.</w:t>
      </w:r>
    </w:p>
    <w:p>
      <w:pPr>
        <w:spacing w:after="0" w:line="75"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below tables present the composition of gross margin, as well as the reconciliation to economic gross margin, for the six months ended June 30, 2018 and 2017:</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5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80" w:type="dxa"/>
            <w:vAlign w:val="bottom"/>
            <w:gridSpan w:val="2"/>
          </w:tcPr>
          <w:p>
            <w:pPr>
              <w:ind w:left="80"/>
              <w:spacing w:after="0"/>
              <w:rPr>
                <w:sz w:val="20"/>
                <w:szCs w:val="20"/>
                <w:color w:val="auto"/>
              </w:rPr>
            </w:pPr>
            <w:r>
              <w:rPr>
                <w:rFonts w:ascii="Arial" w:cs="Arial" w:eastAsia="Arial" w:hAnsi="Arial"/>
                <w:sz w:val="10"/>
                <w:szCs w:val="10"/>
                <w:b w:val="1"/>
                <w:bCs w:val="1"/>
                <w:color w:val="auto"/>
              </w:rPr>
              <w:t>Conventional Generation</w:t>
            </w:r>
          </w:p>
        </w:tc>
        <w:tc>
          <w:tcPr>
            <w:tcW w:w="260" w:type="dxa"/>
            <w:vAlign w:val="bottom"/>
          </w:tcPr>
          <w:p>
            <w:pPr>
              <w:spacing w:after="0"/>
              <w:rPr>
                <w:sz w:val="10"/>
                <w:szCs w:val="10"/>
                <w:color w:val="auto"/>
              </w:rPr>
            </w:pPr>
          </w:p>
        </w:tc>
        <w:tc>
          <w:tcPr>
            <w:tcW w:w="1240" w:type="dxa"/>
            <w:vAlign w:val="bottom"/>
            <w:gridSpan w:val="2"/>
          </w:tcPr>
          <w:p>
            <w:pPr>
              <w:ind w:left="180"/>
              <w:spacing w:after="0"/>
              <w:rPr>
                <w:sz w:val="20"/>
                <w:szCs w:val="20"/>
                <w:color w:val="auto"/>
              </w:rPr>
            </w:pPr>
            <w:r>
              <w:rPr>
                <w:rFonts w:ascii="Arial" w:cs="Arial" w:eastAsia="Arial" w:hAnsi="Arial"/>
                <w:sz w:val="10"/>
                <w:szCs w:val="10"/>
                <w:b w:val="1"/>
                <w:bCs w:val="1"/>
                <w:color w:val="auto"/>
              </w:rPr>
              <w:t>Renewables</w:t>
            </w:r>
          </w:p>
        </w:tc>
        <w:tc>
          <w:tcPr>
            <w:tcW w:w="300" w:type="dxa"/>
            <w:vAlign w:val="bottom"/>
          </w:tcPr>
          <w:p>
            <w:pPr>
              <w:spacing w:after="0"/>
              <w:rPr>
                <w:sz w:val="10"/>
                <w:szCs w:val="10"/>
                <w:color w:val="auto"/>
              </w:rPr>
            </w:pPr>
          </w:p>
        </w:tc>
        <w:tc>
          <w:tcPr>
            <w:tcW w:w="1180" w:type="dxa"/>
            <w:vAlign w:val="bottom"/>
            <w:gridSpan w:val="2"/>
          </w:tcPr>
          <w:p>
            <w:pPr>
              <w:ind w:left="200"/>
              <w:spacing w:after="0"/>
              <w:rPr>
                <w:sz w:val="20"/>
                <w:szCs w:val="20"/>
                <w:color w:val="auto"/>
              </w:rPr>
            </w:pPr>
            <w:r>
              <w:rPr>
                <w:rFonts w:ascii="Arial" w:cs="Arial" w:eastAsia="Arial" w:hAnsi="Arial"/>
                <w:sz w:val="10"/>
                <w:szCs w:val="10"/>
                <w:b w:val="1"/>
                <w:bCs w:val="1"/>
                <w:color w:val="auto"/>
              </w:rPr>
              <w:t>Thermal</w:t>
            </w:r>
          </w:p>
        </w:tc>
        <w:tc>
          <w:tcPr>
            <w:tcW w:w="320" w:type="dxa"/>
            <w:vAlign w:val="bottom"/>
          </w:tcPr>
          <w:p>
            <w:pPr>
              <w:spacing w:after="0"/>
              <w:rPr>
                <w:sz w:val="10"/>
                <w:szCs w:val="10"/>
                <w:color w:val="auto"/>
              </w:rPr>
            </w:pPr>
          </w:p>
        </w:tc>
        <w:tc>
          <w:tcPr>
            <w:tcW w:w="1040" w:type="dxa"/>
            <w:vAlign w:val="bottom"/>
          </w:tcPr>
          <w:p>
            <w:pPr>
              <w:jc w:val="right"/>
              <w:ind w:right="521"/>
              <w:spacing w:after="0"/>
              <w:rPr>
                <w:sz w:val="20"/>
                <w:szCs w:val="20"/>
                <w:color w:val="auto"/>
              </w:rPr>
            </w:pPr>
            <w:r>
              <w:rPr>
                <w:rFonts w:ascii="Arial" w:cs="Arial" w:eastAsia="Arial" w:hAnsi="Arial"/>
                <w:sz w:val="10"/>
                <w:szCs w:val="10"/>
                <w:b w:val="1"/>
                <w:bCs w:val="1"/>
                <w:color w:val="auto"/>
              </w:rPr>
              <w:t>Total</w:t>
            </w:r>
          </w:p>
        </w:tc>
      </w:tr>
      <w:tr>
        <w:trPr>
          <w:trHeight w:val="173"/>
        </w:trPr>
        <w:tc>
          <w:tcPr>
            <w:tcW w:w="5520" w:type="dxa"/>
            <w:vAlign w:val="bottom"/>
          </w:tcPr>
          <w:p>
            <w:pPr>
              <w:ind w:left="20"/>
              <w:spacing w:after="0"/>
              <w:rPr>
                <w:sz w:val="20"/>
                <w:szCs w:val="20"/>
                <w:color w:val="auto"/>
              </w:rPr>
            </w:pPr>
            <w:r>
              <w:rPr>
                <w:rFonts w:ascii="Arial" w:cs="Arial" w:eastAsia="Arial" w:hAnsi="Arial"/>
                <w:sz w:val="10"/>
                <w:szCs w:val="10"/>
                <w:b w:val="1"/>
                <w:bCs w:val="1"/>
                <w:color w:val="auto"/>
              </w:rPr>
              <w:t>(In millions)</w:t>
            </w:r>
          </w:p>
        </w:tc>
        <w:tc>
          <w:tcPr>
            <w:tcW w:w="1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r>
      <w:tr>
        <w:trPr>
          <w:trHeight w:val="184"/>
        </w:trPr>
        <w:tc>
          <w:tcPr>
            <w:tcW w:w="5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Six months ended June 30, 2018</w:t>
            </w: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71"/>
        </w:trPr>
        <w:tc>
          <w:tcPr>
            <w:tcW w:w="5520" w:type="dxa"/>
            <w:vAlign w:val="bottom"/>
          </w:tcPr>
          <w:p>
            <w:pPr>
              <w:ind w:left="100"/>
              <w:spacing w:after="0"/>
              <w:rPr>
                <w:sz w:val="20"/>
                <w:szCs w:val="20"/>
                <w:color w:val="auto"/>
              </w:rPr>
            </w:pPr>
            <w:r>
              <w:rPr>
                <w:rFonts w:ascii="Arial" w:cs="Arial" w:eastAsia="Arial" w:hAnsi="Arial"/>
                <w:sz w:val="12"/>
                <w:szCs w:val="12"/>
                <w:color w:val="auto"/>
              </w:rPr>
              <w:t>Energy and capacity revenues</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tcPr>
          <w:p>
            <w:pPr>
              <w:jc w:val="right"/>
              <w:ind w:right="61"/>
              <w:spacing w:after="0"/>
              <w:rPr>
                <w:sz w:val="20"/>
                <w:szCs w:val="20"/>
                <w:color w:val="auto"/>
              </w:rPr>
            </w:pPr>
            <w:r>
              <w:rPr>
                <w:rFonts w:ascii="Arial" w:cs="Arial" w:eastAsia="Arial" w:hAnsi="Arial"/>
                <w:sz w:val="12"/>
                <w:szCs w:val="12"/>
                <w:color w:val="auto"/>
              </w:rPr>
              <w:t>167</w:t>
            </w:r>
          </w:p>
        </w:tc>
        <w:tc>
          <w:tcPr>
            <w:tcW w:w="12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61"/>
              <w:spacing w:after="0"/>
              <w:rPr>
                <w:sz w:val="20"/>
                <w:szCs w:val="20"/>
                <w:color w:val="auto"/>
              </w:rPr>
            </w:pPr>
            <w:r>
              <w:rPr>
                <w:rFonts w:ascii="Arial" w:cs="Arial" w:eastAsia="Arial" w:hAnsi="Arial"/>
                <w:sz w:val="12"/>
                <w:szCs w:val="12"/>
                <w:color w:val="auto"/>
              </w:rPr>
              <w:t>306</w:t>
            </w:r>
          </w:p>
        </w:tc>
        <w:tc>
          <w:tcPr>
            <w:tcW w:w="12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94</w:t>
            </w:r>
          </w:p>
        </w:tc>
        <w:tc>
          <w:tcPr>
            <w:tcW w:w="120" w:type="dxa"/>
            <w:vAlign w:val="bottom"/>
          </w:tcPr>
          <w:p>
            <w:pPr>
              <w:spacing w:after="0"/>
              <w:rPr>
                <w:sz w:val="14"/>
                <w:szCs w:val="14"/>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567</w:t>
            </w:r>
          </w:p>
        </w:tc>
      </w:tr>
      <w:tr>
        <w:trPr>
          <w:trHeight w:val="189"/>
        </w:trPr>
        <w:tc>
          <w:tcPr>
            <w:tcW w:w="55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Cost of fuels</w:t>
            </w: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(35)</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(37)</w:t>
            </w:r>
          </w:p>
        </w:tc>
      </w:tr>
      <w:tr>
        <w:trPr>
          <w:trHeight w:val="171"/>
        </w:trPr>
        <w:tc>
          <w:tcPr>
            <w:tcW w:w="552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Contract amortization</w:t>
            </w: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(3)</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(31)</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(35)</w:t>
            </w:r>
          </w:p>
        </w:tc>
      </w:tr>
      <w:tr>
        <w:trPr>
          <w:trHeight w:val="169"/>
        </w:trPr>
        <w:tc>
          <w:tcPr>
            <w:tcW w:w="5520" w:type="dxa"/>
            <w:vAlign w:val="bottom"/>
            <w:shd w:val="clear" w:color="auto" w:fill="CCEEFF"/>
          </w:tcPr>
          <w:p>
            <w:pPr>
              <w:ind w:left="180"/>
              <w:spacing w:after="0"/>
              <w:rPr>
                <w:sz w:val="20"/>
                <w:szCs w:val="20"/>
                <w:color w:val="auto"/>
              </w:rPr>
            </w:pPr>
            <w:r>
              <w:rPr>
                <w:rFonts w:ascii="Arial" w:cs="Arial" w:eastAsia="Arial" w:hAnsi="Arial"/>
                <w:sz w:val="12"/>
                <w:szCs w:val="12"/>
                <w:b w:val="1"/>
                <w:bCs w:val="1"/>
                <w:color w:val="auto"/>
              </w:rPr>
              <w:t>Gross margin</w:t>
            </w:r>
          </w:p>
        </w:tc>
        <w:tc>
          <w:tcPr>
            <w:tcW w:w="14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162</w:t>
            </w:r>
          </w:p>
        </w:tc>
        <w:tc>
          <w:tcPr>
            <w:tcW w:w="1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275</w:t>
            </w:r>
          </w:p>
        </w:tc>
        <w:tc>
          <w:tcPr>
            <w:tcW w:w="12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58</w:t>
            </w:r>
          </w:p>
        </w:tc>
        <w:tc>
          <w:tcPr>
            <w:tcW w:w="12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495</w:t>
            </w:r>
          </w:p>
        </w:tc>
      </w:tr>
      <w:tr>
        <w:trPr>
          <w:trHeight w:val="169"/>
        </w:trPr>
        <w:tc>
          <w:tcPr>
            <w:tcW w:w="552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Contract amortization</w:t>
            </w: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31</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1</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35</w:t>
            </w:r>
          </w:p>
        </w:tc>
      </w:tr>
      <w:tr>
        <w:trPr>
          <w:trHeight w:val="185"/>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b w:val="1"/>
                <w:bCs w:val="1"/>
                <w:color w:val="auto"/>
              </w:rPr>
              <w:t>Economic gross margin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165</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306</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59</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530</w:t>
            </w:r>
          </w:p>
        </w:tc>
      </w:tr>
      <w:tr>
        <w:trPr>
          <w:trHeight w:val="198"/>
        </w:trPr>
        <w:tc>
          <w:tcPr>
            <w:tcW w:w="5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80"/>
        </w:trPr>
        <w:tc>
          <w:tcPr>
            <w:tcW w:w="5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Six months ended June 30, 2017</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71"/>
        </w:trPr>
        <w:tc>
          <w:tcPr>
            <w:tcW w:w="5520" w:type="dxa"/>
            <w:vAlign w:val="bottom"/>
          </w:tcPr>
          <w:p>
            <w:pPr>
              <w:ind w:left="100"/>
              <w:spacing w:after="0"/>
              <w:rPr>
                <w:sz w:val="20"/>
                <w:szCs w:val="20"/>
                <w:color w:val="auto"/>
              </w:rPr>
            </w:pPr>
            <w:r>
              <w:rPr>
                <w:rFonts w:ascii="Arial" w:cs="Arial" w:eastAsia="Arial" w:hAnsi="Arial"/>
                <w:sz w:val="12"/>
                <w:szCs w:val="12"/>
                <w:color w:val="auto"/>
              </w:rPr>
              <w:t>Energy and capacity revenues</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tcPr>
          <w:p>
            <w:pPr>
              <w:jc w:val="right"/>
              <w:ind w:right="61"/>
              <w:spacing w:after="0"/>
              <w:rPr>
                <w:sz w:val="20"/>
                <w:szCs w:val="20"/>
                <w:color w:val="auto"/>
              </w:rPr>
            </w:pPr>
            <w:r>
              <w:rPr>
                <w:rFonts w:ascii="Arial" w:cs="Arial" w:eastAsia="Arial" w:hAnsi="Arial"/>
                <w:sz w:val="12"/>
                <w:szCs w:val="12"/>
                <w:color w:val="auto"/>
              </w:rPr>
              <w:t>161</w:t>
            </w:r>
          </w:p>
        </w:tc>
        <w:tc>
          <w:tcPr>
            <w:tcW w:w="12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61"/>
              <w:spacing w:after="0"/>
              <w:rPr>
                <w:sz w:val="20"/>
                <w:szCs w:val="20"/>
                <w:color w:val="auto"/>
              </w:rPr>
            </w:pPr>
            <w:r>
              <w:rPr>
                <w:rFonts w:ascii="Arial" w:cs="Arial" w:eastAsia="Arial" w:hAnsi="Arial"/>
                <w:sz w:val="12"/>
                <w:szCs w:val="12"/>
                <w:color w:val="auto"/>
              </w:rPr>
              <w:t>297</w:t>
            </w:r>
          </w:p>
        </w:tc>
        <w:tc>
          <w:tcPr>
            <w:tcW w:w="12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85</w:t>
            </w:r>
          </w:p>
        </w:tc>
        <w:tc>
          <w:tcPr>
            <w:tcW w:w="120" w:type="dxa"/>
            <w:vAlign w:val="bottom"/>
          </w:tcPr>
          <w:p>
            <w:pPr>
              <w:spacing w:after="0"/>
              <w:rPr>
                <w:sz w:val="14"/>
                <w:szCs w:val="14"/>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543</w:t>
            </w:r>
          </w:p>
        </w:tc>
      </w:tr>
      <w:tr>
        <w:trPr>
          <w:trHeight w:val="189"/>
        </w:trPr>
        <w:tc>
          <w:tcPr>
            <w:tcW w:w="55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Cost of fuels</w:t>
            </w:r>
          </w:p>
        </w:tc>
        <w:tc>
          <w:tcPr>
            <w:tcW w:w="14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(30)</w:t>
            </w:r>
          </w:p>
        </w:tc>
      </w:tr>
      <w:tr>
        <w:trPr>
          <w:trHeight w:val="171"/>
        </w:trPr>
        <w:tc>
          <w:tcPr>
            <w:tcW w:w="552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Contract amortization</w:t>
            </w: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(3)</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(30)</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(34)</w:t>
            </w:r>
          </w:p>
        </w:tc>
      </w:tr>
      <w:tr>
        <w:trPr>
          <w:trHeight w:val="169"/>
        </w:trPr>
        <w:tc>
          <w:tcPr>
            <w:tcW w:w="5520" w:type="dxa"/>
            <w:vAlign w:val="bottom"/>
            <w:shd w:val="clear" w:color="auto" w:fill="CCEEFF"/>
          </w:tcPr>
          <w:p>
            <w:pPr>
              <w:ind w:left="180"/>
              <w:spacing w:after="0"/>
              <w:rPr>
                <w:sz w:val="20"/>
                <w:szCs w:val="20"/>
                <w:color w:val="auto"/>
              </w:rPr>
            </w:pPr>
            <w:r>
              <w:rPr>
                <w:rFonts w:ascii="Arial" w:cs="Arial" w:eastAsia="Arial" w:hAnsi="Arial"/>
                <w:sz w:val="12"/>
                <w:szCs w:val="12"/>
                <w:b w:val="1"/>
                <w:bCs w:val="1"/>
                <w:color w:val="auto"/>
              </w:rPr>
              <w:t>Gross margin</w:t>
            </w:r>
          </w:p>
        </w:tc>
        <w:tc>
          <w:tcPr>
            <w:tcW w:w="14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158</w:t>
            </w:r>
          </w:p>
        </w:tc>
        <w:tc>
          <w:tcPr>
            <w:tcW w:w="1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267</w:t>
            </w:r>
          </w:p>
        </w:tc>
        <w:tc>
          <w:tcPr>
            <w:tcW w:w="12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54</w:t>
            </w:r>
          </w:p>
        </w:tc>
        <w:tc>
          <w:tcPr>
            <w:tcW w:w="12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479</w:t>
            </w:r>
          </w:p>
        </w:tc>
      </w:tr>
      <w:tr>
        <w:trPr>
          <w:trHeight w:val="169"/>
        </w:trPr>
        <w:tc>
          <w:tcPr>
            <w:tcW w:w="552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Contract amortization</w:t>
            </w: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30</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1</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34</w:t>
            </w:r>
          </w:p>
        </w:tc>
      </w:tr>
      <w:tr>
        <w:trPr>
          <w:trHeight w:val="185"/>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b w:val="1"/>
                <w:bCs w:val="1"/>
                <w:color w:val="auto"/>
              </w:rPr>
              <w:t>Economic gross margin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161</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297</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55</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513</w:t>
            </w:r>
          </w:p>
        </w:tc>
      </w:tr>
    </w:tbl>
    <w:p>
      <w:pPr>
        <w:spacing w:after="0" w:line="99" w:lineRule="exact"/>
        <w:rPr>
          <w:sz w:val="20"/>
          <w:szCs w:val="20"/>
          <w:color w:val="auto"/>
        </w:rPr>
      </w:pPr>
    </w:p>
    <w:p>
      <w:pPr>
        <w:ind w:left="260"/>
        <w:spacing w:after="0"/>
        <w:rPr>
          <w:sz w:val="20"/>
          <w:szCs w:val="20"/>
          <w:color w:val="auto"/>
        </w:rPr>
      </w:pPr>
      <w:r>
        <w:rPr>
          <w:rFonts w:ascii="Arial" w:cs="Arial" w:eastAsia="Arial" w:hAnsi="Arial"/>
          <w:sz w:val="12"/>
          <w:szCs w:val="12"/>
          <w:color w:val="auto"/>
        </w:rPr>
        <w:t>Gross margin increased by $16 million during the six months ended June 30, 2018, compared to the same period in 2017, due to a combination of the drivers summarized in the table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720" w:type="dxa"/>
            <w:vAlign w:val="bottom"/>
          </w:tcPr>
          <w:p>
            <w:pPr>
              <w:ind w:left="20"/>
              <w:spacing w:after="0"/>
              <w:rPr>
                <w:sz w:val="20"/>
                <w:szCs w:val="20"/>
                <w:color w:val="auto"/>
              </w:rPr>
            </w:pPr>
            <w:r>
              <w:rPr>
                <w:rFonts w:ascii="Arial" w:cs="Arial" w:eastAsia="Arial" w:hAnsi="Arial"/>
                <w:sz w:val="11"/>
                <w:szCs w:val="11"/>
                <w:b w:val="1"/>
                <w:bCs w:val="1"/>
                <w:color w:val="auto"/>
              </w:rPr>
              <w:t>Segment</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Increase</w:t>
            </w:r>
          </w:p>
        </w:tc>
        <w:tc>
          <w:tcPr>
            <w:tcW w:w="600" w:type="dxa"/>
            <w:vAlign w:val="bottom"/>
          </w:tcPr>
          <w:p>
            <w:pPr>
              <w:spacing w:after="0"/>
              <w:rPr>
                <w:sz w:val="12"/>
                <w:szCs w:val="12"/>
                <w:color w:val="auto"/>
              </w:rPr>
            </w:pPr>
          </w:p>
        </w:tc>
        <w:tc>
          <w:tcPr>
            <w:tcW w:w="8380" w:type="dxa"/>
            <w:vAlign w:val="bottom"/>
          </w:tcPr>
          <w:p>
            <w:pPr>
              <w:ind w:left="20"/>
              <w:spacing w:after="0"/>
              <w:rPr>
                <w:sz w:val="20"/>
                <w:szCs w:val="20"/>
                <w:color w:val="auto"/>
              </w:rPr>
            </w:pPr>
            <w:r>
              <w:rPr>
                <w:rFonts w:ascii="Arial" w:cs="Arial" w:eastAsia="Arial" w:hAnsi="Arial"/>
                <w:sz w:val="11"/>
                <w:szCs w:val="11"/>
                <w:b w:val="1"/>
                <w:bCs w:val="1"/>
                <w:color w:val="auto"/>
              </w:rPr>
              <w:t>Reason for Increase</w:t>
            </w:r>
          </w:p>
        </w:tc>
        <w:tc>
          <w:tcPr>
            <w:tcW w:w="0" w:type="dxa"/>
            <w:vAlign w:val="bottom"/>
          </w:tcPr>
          <w:p>
            <w:pPr>
              <w:spacing w:after="0"/>
              <w:rPr>
                <w:sz w:val="1"/>
                <w:szCs w:val="1"/>
                <w:color w:val="auto"/>
              </w:rPr>
            </w:pPr>
          </w:p>
        </w:tc>
      </w:tr>
      <w:tr>
        <w:trPr>
          <w:trHeight w:val="22"/>
        </w:trPr>
        <w:tc>
          <w:tcPr>
            <w:tcW w:w="17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1720" w:type="dxa"/>
            <w:vAlign w:val="bottom"/>
            <w:vMerge w:val="restart"/>
            <w:shd w:val="clear" w:color="auto" w:fill="CCEEFF"/>
          </w:tcPr>
          <w:p>
            <w:pPr>
              <w:ind w:left="20"/>
              <w:spacing w:after="0"/>
              <w:rPr>
                <w:sz w:val="20"/>
                <w:szCs w:val="20"/>
                <w:color w:val="auto"/>
              </w:rPr>
            </w:pPr>
            <w:r>
              <w:rPr>
                <w:rFonts w:ascii="Arial" w:cs="Arial" w:eastAsia="Arial" w:hAnsi="Arial"/>
                <w:sz w:val="12"/>
                <w:szCs w:val="12"/>
                <w:b w:val="1"/>
                <w:bCs w:val="1"/>
                <w:color w:val="auto"/>
              </w:rPr>
              <w:t>Renewables:</w:t>
            </w:r>
          </w:p>
        </w:tc>
        <w:tc>
          <w:tcPr>
            <w:tcW w:w="7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380" w:type="dxa"/>
            <w:vAlign w:val="bottom"/>
            <w:shd w:val="clear" w:color="auto" w:fill="CCEEFF"/>
          </w:tcPr>
          <w:p>
            <w:pPr>
              <w:ind w:left="20"/>
              <w:spacing w:after="0"/>
              <w:rPr>
                <w:sz w:val="20"/>
                <w:szCs w:val="20"/>
                <w:color w:val="auto"/>
              </w:rPr>
            </w:pPr>
            <w:r>
              <w:rPr>
                <w:rFonts w:ascii="Arial" w:cs="Arial" w:eastAsia="Arial" w:hAnsi="Arial"/>
                <w:sz w:val="12"/>
                <w:szCs w:val="12"/>
                <w:color w:val="auto"/>
                <w:w w:val="91"/>
              </w:rPr>
              <w:t>3% increase in volume generated by wind projects, primarily in connection with higher wind resource at the Alta Wind projects, as well as a 5% increase in solar generation,</w:t>
            </w:r>
          </w:p>
        </w:tc>
        <w:tc>
          <w:tcPr>
            <w:tcW w:w="0" w:type="dxa"/>
            <w:vAlign w:val="bottom"/>
          </w:tcPr>
          <w:p>
            <w:pPr>
              <w:spacing w:after="0"/>
              <w:rPr>
                <w:sz w:val="1"/>
                <w:szCs w:val="1"/>
                <w:color w:val="auto"/>
              </w:rPr>
            </w:pPr>
          </w:p>
        </w:tc>
      </w:tr>
      <w:tr>
        <w:trPr>
          <w:trHeight w:val="171"/>
        </w:trPr>
        <w:tc>
          <w:tcPr>
            <w:tcW w:w="1720" w:type="dxa"/>
            <w:vAlign w:val="bottom"/>
            <w:vMerge w:val="continue"/>
            <w:shd w:val="clear" w:color="auto" w:fill="CCEEFF"/>
          </w:tcPr>
          <w:p>
            <w:pPr>
              <w:spacing w:after="0"/>
              <w:rPr>
                <w:sz w:val="14"/>
                <w:szCs w:val="14"/>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8</w:t>
            </w:r>
          </w:p>
        </w:tc>
        <w:tc>
          <w:tcPr>
            <w:tcW w:w="83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primarily at CVSR</w:t>
            </w:r>
          </w:p>
        </w:tc>
        <w:tc>
          <w:tcPr>
            <w:tcW w:w="0" w:type="dxa"/>
            <w:vAlign w:val="bottom"/>
          </w:tcPr>
          <w:p>
            <w:pPr>
              <w:spacing w:after="0"/>
              <w:rPr>
                <w:sz w:val="1"/>
                <w:szCs w:val="1"/>
                <w:color w:val="auto"/>
              </w:rPr>
            </w:pPr>
          </w:p>
        </w:tc>
      </w:tr>
      <w:tr>
        <w:trPr>
          <w:trHeight w:val="171"/>
        </w:trPr>
        <w:tc>
          <w:tcPr>
            <w:tcW w:w="1720" w:type="dxa"/>
            <w:vAlign w:val="bottom"/>
          </w:tcPr>
          <w:p>
            <w:pPr>
              <w:ind w:left="20"/>
              <w:spacing w:after="0"/>
              <w:rPr>
                <w:sz w:val="20"/>
                <w:szCs w:val="20"/>
                <w:color w:val="auto"/>
              </w:rPr>
            </w:pPr>
            <w:r>
              <w:rPr>
                <w:rFonts w:ascii="Arial" w:cs="Arial" w:eastAsia="Arial" w:hAnsi="Arial"/>
                <w:sz w:val="12"/>
                <w:szCs w:val="12"/>
                <w:b w:val="1"/>
                <w:bCs w:val="1"/>
                <w:color w:val="auto"/>
              </w:rPr>
              <w:t>Conventional:</w:t>
            </w:r>
          </w:p>
        </w:tc>
        <w:tc>
          <w:tcPr>
            <w:tcW w:w="780" w:type="dxa"/>
            <w:vAlign w:val="bottom"/>
          </w:tcPr>
          <w:p>
            <w:pPr>
              <w:spacing w:after="0"/>
              <w:rPr>
                <w:sz w:val="14"/>
                <w:szCs w:val="14"/>
                <w:color w:val="auto"/>
              </w:rPr>
            </w:pPr>
          </w:p>
        </w:tc>
        <w:tc>
          <w:tcPr>
            <w:tcW w:w="600" w:type="dxa"/>
            <w:vAlign w:val="bottom"/>
          </w:tcPr>
          <w:p>
            <w:pPr>
              <w:jc w:val="right"/>
              <w:ind w:right="40"/>
              <w:spacing w:after="0"/>
              <w:rPr>
                <w:sz w:val="20"/>
                <w:szCs w:val="20"/>
                <w:color w:val="auto"/>
              </w:rPr>
            </w:pPr>
            <w:r>
              <w:rPr>
                <w:rFonts w:ascii="Arial" w:cs="Arial" w:eastAsia="Arial" w:hAnsi="Arial"/>
                <w:sz w:val="12"/>
                <w:szCs w:val="12"/>
                <w:color w:val="auto"/>
              </w:rPr>
              <w:t>4</w:t>
            </w:r>
          </w:p>
        </w:tc>
        <w:tc>
          <w:tcPr>
            <w:tcW w:w="8380" w:type="dxa"/>
            <w:vAlign w:val="bottom"/>
          </w:tcPr>
          <w:p>
            <w:pPr>
              <w:ind w:left="20"/>
              <w:spacing w:after="0"/>
              <w:rPr>
                <w:sz w:val="20"/>
                <w:szCs w:val="20"/>
                <w:color w:val="auto"/>
              </w:rPr>
            </w:pPr>
            <w:r>
              <w:rPr>
                <w:rFonts w:ascii="Arial" w:cs="Arial" w:eastAsia="Arial" w:hAnsi="Arial"/>
                <w:sz w:val="12"/>
                <w:szCs w:val="12"/>
                <w:color w:val="auto"/>
              </w:rPr>
              <w:t>Higher plant availability at Walnut Creek and El Segundo</w:t>
            </w:r>
          </w:p>
        </w:tc>
        <w:tc>
          <w:tcPr>
            <w:tcW w:w="0" w:type="dxa"/>
            <w:vAlign w:val="bottom"/>
          </w:tcPr>
          <w:p>
            <w:pPr>
              <w:spacing w:after="0"/>
              <w:rPr>
                <w:sz w:val="1"/>
                <w:szCs w:val="1"/>
                <w:color w:val="auto"/>
              </w:rPr>
            </w:pPr>
          </w:p>
        </w:tc>
      </w:tr>
      <w:tr>
        <w:trPr>
          <w:trHeight w:val="162"/>
        </w:trPr>
        <w:tc>
          <w:tcPr>
            <w:tcW w:w="1720" w:type="dxa"/>
            <w:vAlign w:val="bottom"/>
            <w:vMerge w:val="restart"/>
            <w:shd w:val="clear" w:color="auto" w:fill="CCEEFF"/>
          </w:tcPr>
          <w:p>
            <w:pPr>
              <w:ind w:left="20"/>
              <w:spacing w:after="0"/>
              <w:rPr>
                <w:sz w:val="20"/>
                <w:szCs w:val="20"/>
                <w:color w:val="auto"/>
              </w:rPr>
            </w:pPr>
            <w:r>
              <w:rPr>
                <w:rFonts w:ascii="Arial" w:cs="Arial" w:eastAsia="Arial" w:hAnsi="Arial"/>
                <w:sz w:val="12"/>
                <w:szCs w:val="12"/>
                <w:b w:val="1"/>
                <w:bCs w:val="1"/>
                <w:color w:val="auto"/>
              </w:rPr>
              <w:t>Thermal:</w:t>
            </w:r>
          </w:p>
        </w:tc>
        <w:tc>
          <w:tcPr>
            <w:tcW w:w="7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380" w:type="dxa"/>
            <w:vAlign w:val="bottom"/>
            <w:shd w:val="clear" w:color="auto" w:fill="CCEEFF"/>
          </w:tcPr>
          <w:p>
            <w:pPr>
              <w:ind w:left="20"/>
              <w:spacing w:after="0"/>
              <w:rPr>
                <w:sz w:val="20"/>
                <w:szCs w:val="20"/>
                <w:color w:val="auto"/>
              </w:rPr>
            </w:pPr>
            <w:r>
              <w:rPr>
                <w:rFonts w:ascii="Arial" w:cs="Arial" w:eastAsia="Arial" w:hAnsi="Arial"/>
                <w:sz w:val="12"/>
                <w:szCs w:val="12"/>
                <w:color w:val="auto"/>
                <w:w w:val="93"/>
              </w:rPr>
              <w:t>Increased consumption across the portfolio in 2018, as well as steam sales revenues generated at the UPMC Thermal Project pursuant to the Energy Sales Agreement</w:t>
            </w:r>
          </w:p>
        </w:tc>
        <w:tc>
          <w:tcPr>
            <w:tcW w:w="0" w:type="dxa"/>
            <w:vAlign w:val="bottom"/>
          </w:tcPr>
          <w:p>
            <w:pPr>
              <w:spacing w:after="0"/>
              <w:rPr>
                <w:sz w:val="1"/>
                <w:szCs w:val="1"/>
                <w:color w:val="auto"/>
              </w:rPr>
            </w:pPr>
          </w:p>
        </w:tc>
      </w:tr>
      <w:tr>
        <w:trPr>
          <w:trHeight w:val="162"/>
        </w:trPr>
        <w:tc>
          <w:tcPr>
            <w:tcW w:w="1720" w:type="dxa"/>
            <w:vAlign w:val="bottom"/>
            <w:vMerge w:val="continue"/>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4</w:t>
            </w:r>
          </w:p>
        </w:tc>
        <w:tc>
          <w:tcPr>
            <w:tcW w:w="83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between the Company and UPMC Mercy</w:t>
            </w:r>
          </w:p>
        </w:tc>
        <w:tc>
          <w:tcPr>
            <w:tcW w:w="0" w:type="dxa"/>
            <w:vAlign w:val="bottom"/>
          </w:tcPr>
          <w:p>
            <w:pPr>
              <w:spacing w:after="0"/>
              <w:rPr>
                <w:sz w:val="1"/>
                <w:szCs w:val="1"/>
                <w:color w:val="auto"/>
              </w:rPr>
            </w:pPr>
          </w:p>
        </w:tc>
      </w:tr>
      <w:tr>
        <w:trPr>
          <w:trHeight w:val="185"/>
        </w:trPr>
        <w:tc>
          <w:tcPr>
            <w:tcW w:w="1720" w:type="dxa"/>
            <w:vAlign w:val="bottom"/>
          </w:tcPr>
          <w:p>
            <w:pPr>
              <w:spacing w:after="0"/>
              <w:rPr>
                <w:sz w:val="16"/>
                <w:szCs w:val="16"/>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w:t>
            </w:r>
          </w:p>
        </w:tc>
        <w:tc>
          <w:tcPr>
            <w:tcW w:w="6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16</w:t>
            </w:r>
          </w:p>
        </w:tc>
        <w:tc>
          <w:tcPr>
            <w:tcW w:w="8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4"/>
        </w:trPr>
        <w:tc>
          <w:tcPr>
            <w:tcW w:w="1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380" w:type="dxa"/>
            <w:vAlign w:val="bottom"/>
          </w:tcPr>
          <w:p>
            <w:pPr>
              <w:ind w:left="2580"/>
              <w:spacing w:after="0"/>
              <w:rPr>
                <w:sz w:val="20"/>
                <w:szCs w:val="20"/>
                <w:color w:val="auto"/>
              </w:rPr>
            </w:pPr>
            <w:r>
              <w:rPr>
                <w:rFonts w:ascii="Arial" w:cs="Arial" w:eastAsia="Arial" w:hAnsi="Arial"/>
                <w:sz w:val="12"/>
                <w:szCs w:val="12"/>
                <w:color w:val="auto"/>
              </w:rPr>
              <w:t>43</w:t>
            </w:r>
          </w:p>
        </w:tc>
        <w:tc>
          <w:tcPr>
            <w:tcW w:w="0" w:type="dxa"/>
            <w:vAlign w:val="bottom"/>
          </w:tcPr>
          <w:p>
            <w:pPr>
              <w:spacing w:after="0"/>
              <w:rPr>
                <w:sz w:val="1"/>
                <w:szCs w:val="1"/>
                <w:color w:val="auto"/>
              </w:rPr>
            </w:pPr>
          </w:p>
        </w:tc>
      </w:tr>
    </w:tbl>
    <w:p>
      <w:pPr>
        <w:sectPr>
          <w:pgSz w:w="11900" w:h="16838" w:orient="portrait"/>
          <w:cols w:equalWidth="0" w:num="1">
            <w:col w:w="11480"/>
          </w:cols>
          <w:pgMar w:left="220" w:top="505" w:right="199" w:bottom="1440" w:gutter="0" w:footer="0" w:header="0"/>
        </w:sectPr>
      </w:pPr>
    </w:p>
    <w:bookmarkStart w:id="43" w:name="page44"/>
    <w:bookmarkEnd w:id="43"/>
    <w:p>
      <w:pPr>
        <w:spacing w:after="0"/>
        <w:rPr>
          <w:sz w:val="20"/>
          <w:szCs w:val="20"/>
          <w:color w:val="auto"/>
        </w:rPr>
      </w:pPr>
      <w:r>
        <w:rPr>
          <w:rFonts w:ascii="Arial" w:cs="Arial" w:eastAsia="Arial" w:hAnsi="Arial"/>
          <w:sz w:val="12"/>
          <w:szCs w:val="12"/>
          <w:b w:val="1"/>
          <w:bCs w:val="1"/>
          <w:i w:val="1"/>
          <w:iCs w:val="1"/>
          <w:color w:val="auto"/>
        </w:rPr>
        <w:t>Operations and Maintenance</w:t>
      </w:r>
    </w:p>
    <w:p>
      <w:pPr>
        <w:spacing w:after="0" w:line="96"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auto"/>
        </w:rPr>
        <w:t>Operations and maintenance expense decreased by $4 million during the six months ended June 30, 2018, compared to the same period in 2017, primarily due to lower net losses on disposal and replacement of assets at Walnut Creek and El Segundo, as well as lower costs related to the forced outages at Walnut Creek in the first half of 2018 compared to the same period in 2017, partially offset by higher personnel and maintenance costs in Thermal segment in connection with the UPMC Thermal Project going on-line in March 2018.</w:t>
      </w:r>
    </w:p>
    <w:p>
      <w:pPr>
        <w:spacing w:after="0" w:line="25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Depreciation and Amortization Expense</w:t>
      </w:r>
    </w:p>
    <w:p>
      <w:pPr>
        <w:spacing w:after="0" w:line="114"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Depreciation and amortization expense increased by $7 million during the six months ended June 30, 2018, compared to the same period in 2017, due to changes in estimated useful lives for certain components of fixed assets in the first half of 2017 in the Conventional and Renewables segments, as well as due to the substantial completion of the Buckthorn Solar project in May 2018.</w:t>
      </w:r>
    </w:p>
    <w:p>
      <w:pPr>
        <w:spacing w:after="0" w:line="2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Equity in Earnings of Unconsolidated Affiliates</w:t>
      </w:r>
    </w:p>
    <w:p>
      <w:pPr>
        <w:spacing w:after="0" w:line="114" w:lineRule="exact"/>
        <w:rPr>
          <w:sz w:val="20"/>
          <w:szCs w:val="20"/>
          <w:color w:val="auto"/>
        </w:rPr>
      </w:pPr>
    </w:p>
    <w:p>
      <w:pPr>
        <w:jc w:val="both"/>
        <w:ind w:firstLine="270"/>
        <w:spacing w:after="0" w:line="298" w:lineRule="auto"/>
        <w:rPr>
          <w:sz w:val="20"/>
          <w:szCs w:val="20"/>
          <w:color w:val="auto"/>
        </w:rPr>
      </w:pPr>
      <w:r>
        <w:rPr>
          <w:rFonts w:ascii="Arial" w:cs="Arial" w:eastAsia="Arial" w:hAnsi="Arial"/>
          <w:sz w:val="11"/>
          <w:szCs w:val="11"/>
          <w:color w:val="auto"/>
        </w:rPr>
        <w:t>Equity in earnings of unconsolidated affiliates decreased by $2 million during the six months ended June 30, 2018, compared to the same period in 2017, primarily driven by the prior period HLBV income allocated to the Company’s interests in the Utah Portfolio offset by income allocated to the Company in DGPV Holdco 3, which was formed in September 2017. The HLBV method of accounting generally allocates more losses to the TE investors in the first several years after fund formation, and conversely, more income to the Company. The prior period losses allocated to the TE investors were primarily driven by early tax losses allocated to the TE investor in the Utah Solar Portfolio.</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Interest Expense</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1"/>
          <w:szCs w:val="11"/>
          <w:color w:val="auto"/>
        </w:rPr>
        <w:t>Interest expense decreased by $39 million during the six months ended June 30, 2018, compared to the same period in 2017, primarily due to changes in the fair value of interest rate swaps during the first half of 2018.</w:t>
      </w:r>
    </w:p>
    <w:p>
      <w:pPr>
        <w:spacing w:after="0" w:line="29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Income Tax Expense</w:t>
      </w:r>
    </w:p>
    <w:p>
      <w:pPr>
        <w:spacing w:after="0" w:line="114" w:lineRule="exact"/>
        <w:rPr>
          <w:sz w:val="20"/>
          <w:szCs w:val="20"/>
          <w:color w:val="auto"/>
        </w:rPr>
      </w:pPr>
    </w:p>
    <w:p>
      <w:pPr>
        <w:jc w:val="both"/>
        <w:ind w:right="20" w:firstLine="270"/>
        <w:spacing w:after="0" w:line="276" w:lineRule="auto"/>
        <w:rPr>
          <w:sz w:val="20"/>
          <w:szCs w:val="20"/>
          <w:color w:val="auto"/>
        </w:rPr>
      </w:pPr>
      <w:r>
        <w:rPr>
          <w:rFonts w:ascii="Arial" w:cs="Arial" w:eastAsia="Arial" w:hAnsi="Arial"/>
          <w:sz w:val="12"/>
          <w:szCs w:val="12"/>
          <w:color w:val="auto"/>
        </w:rPr>
        <w:t>For the six months ended June 30, 2018, the Company recorded income tax expense of $6 million on pretax income of $102 million. For the same period in 2017, the Company recorded income tax expense of $7 million on pretax income of $49 million.</w:t>
      </w:r>
    </w:p>
    <w:p>
      <w:pPr>
        <w:spacing w:after="0" w:line="79"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For the six months ended June 30, 2018 and 2017, the overall effective tax rate was different than the statutory rate of 21% and 35%, respectively primarily due to production and investment tax credits generated from certain wind and solar assets, respectively, and earnings allocated to NRG resulting from its interest in NRG Yield LLC.</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Income Attributable to Noncontrolling Interests</w:t>
      </w:r>
    </w:p>
    <w:p>
      <w:pPr>
        <w:spacing w:after="0" w:line="114"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1"/>
          <w:szCs w:val="11"/>
          <w:color w:val="auto"/>
        </w:rPr>
        <w:t>For the six months ended June 30, 2018, the Company had income of $90 million attributable to NRG related to its economic interest in NRG Yield LLC. Additionally, for the six months ended June 30, 2018, the Company had a loss of $93 million attributable to noncontrolling interests with respect to its tax equity financing arrangements and the application of the HLBV method. For the six months ended June 30, 2017, the Company had income of $35 million attributable to NRG's economic interest in the Company and a loss of $33 million attributable to noncontrolling interests with respect to its tax equity financing arrangements and application of the HLBV method, which generally allocates more loss to the noncontrolling interest in the first several years after fund formation, reflecting the allocation of tax items such as production tax credits and tax depreciation to the fund investors.</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1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231F20"/>
        </w:rPr>
        <w:t xml:space="preserve">The Company's principal liquidity requirements are to meet its financial commitments, finance current operations, fund capital expenditures, including acquisitions from time to time, service debt and pay dividends. </w:t>
      </w:r>
      <w:r>
        <w:rPr>
          <w:rFonts w:ascii="Arial" w:cs="Arial" w:eastAsia="Arial" w:hAnsi="Arial"/>
          <w:sz w:val="12"/>
          <w:szCs w:val="12"/>
          <w:color w:val="000000"/>
        </w:rPr>
        <w:t>As a normal part</w:t>
      </w:r>
      <w:r>
        <w:rPr>
          <w:rFonts w:ascii="Arial" w:cs="Arial" w:eastAsia="Arial" w:hAnsi="Arial"/>
          <w:sz w:val="12"/>
          <w:szCs w:val="12"/>
          <w:color w:val="231F20"/>
        </w:rPr>
        <w:t xml:space="preserve"> </w:t>
      </w:r>
      <w:r>
        <w:rPr>
          <w:rFonts w:ascii="Arial" w:cs="Arial" w:eastAsia="Arial" w:hAnsi="Arial"/>
          <w:sz w:val="12"/>
          <w:szCs w:val="12"/>
          <w:color w:val="000000"/>
        </w:rPr>
        <w:t>of the Company's business, depending on market conditions, the Company will from time to time consider opportunities to repay, redeem, repurchase or 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ectPr>
          <w:pgSz w:w="11900" w:h="16838" w:orient="portrait"/>
          <w:cols w:equalWidth="0" w:num="1">
            <w:col w:w="11480"/>
          </w:cols>
          <w:pgMar w:left="220" w:top="509" w:right="199" w:bottom="1440" w:gutter="0" w:footer="0" w:header="0"/>
        </w:sectPr>
      </w:pPr>
    </w:p>
    <w:bookmarkStart w:id="44" w:name="page45"/>
    <w:bookmarkEnd w:id="44"/>
    <w:p>
      <w:pPr>
        <w:ind w:left="260"/>
        <w:spacing w:after="0"/>
        <w:rPr>
          <w:sz w:val="20"/>
          <w:szCs w:val="20"/>
          <w:color w:val="auto"/>
        </w:rPr>
      </w:pPr>
      <w:r>
        <w:rPr>
          <w:rFonts w:ascii="Arial" w:cs="Arial" w:eastAsia="Arial" w:hAnsi="Arial"/>
          <w:sz w:val="12"/>
          <w:szCs w:val="12"/>
          <w:b w:val="1"/>
          <w:bCs w:val="1"/>
          <w:i w:val="1"/>
          <w:iCs w:val="1"/>
          <w:color w:val="auto"/>
        </w:rPr>
        <w:t>Liquidity Position</w:t>
      </w:r>
    </w:p>
    <w:p>
      <w:pPr>
        <w:spacing w:after="0" w:line="114"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231F20"/>
        </w:rPr>
        <w:t xml:space="preserve">As of </w:t>
      </w:r>
      <w:r>
        <w:rPr>
          <w:rFonts w:ascii="Arial" w:cs="Arial" w:eastAsia="Arial" w:hAnsi="Arial"/>
          <w:sz w:val="12"/>
          <w:szCs w:val="12"/>
          <w:color w:val="000000"/>
        </w:rPr>
        <w:t>June 30, 2018</w:t>
      </w:r>
      <w:r>
        <w:rPr>
          <w:rFonts w:ascii="Arial" w:cs="Arial" w:eastAsia="Arial" w:hAnsi="Arial"/>
          <w:sz w:val="12"/>
          <w:szCs w:val="12"/>
          <w:color w:val="231F20"/>
        </w:rPr>
        <w:t xml:space="preserve">, the Company had $428 million of available borrowings under its revolving credit facility. As of </w:t>
      </w:r>
      <w:r>
        <w:rPr>
          <w:rFonts w:ascii="Arial" w:cs="Arial" w:eastAsia="Arial" w:hAnsi="Arial"/>
          <w:sz w:val="12"/>
          <w:szCs w:val="12"/>
          <w:color w:val="000000"/>
        </w:rPr>
        <w:t>June 30, 2018</w:t>
      </w:r>
      <w:r>
        <w:rPr>
          <w:rFonts w:ascii="Arial" w:cs="Arial" w:eastAsia="Arial" w:hAnsi="Arial"/>
          <w:sz w:val="12"/>
          <w:szCs w:val="12"/>
          <w:color w:val="231F20"/>
        </w:rPr>
        <w:t xml:space="preserve"> and </w:t>
      </w:r>
      <w:r>
        <w:rPr>
          <w:rFonts w:ascii="Arial" w:cs="Arial" w:eastAsia="Arial" w:hAnsi="Arial"/>
          <w:sz w:val="12"/>
          <w:szCs w:val="12"/>
          <w:color w:val="000000"/>
        </w:rPr>
        <w:t>December 31, 2017</w:t>
      </w:r>
      <w:r>
        <w:rPr>
          <w:rFonts w:ascii="Arial" w:cs="Arial" w:eastAsia="Arial" w:hAnsi="Arial"/>
          <w:sz w:val="12"/>
          <w:szCs w:val="12"/>
          <w:color w:val="231F20"/>
        </w:rPr>
        <w:t>, the Company's liquidity was $697 million and $682 million, respectively, comprised of the following:</w:t>
      </w:r>
    </w:p>
    <w:p>
      <w:pPr>
        <w:spacing w:after="0" w:line="226" w:lineRule="exact"/>
        <w:rPr>
          <w:sz w:val="20"/>
          <w:szCs w:val="20"/>
          <w:color w:val="auto"/>
        </w:rPr>
      </w:pPr>
    </w:p>
    <w:tbl>
      <w:tblPr>
        <w:tblLayout w:type="fixed"/>
        <w:tblInd w:w="240" w:type="dxa"/>
        <w:tblCellMar>
          <w:top w:w="0" w:type="dxa"/>
          <w:left w:w="0" w:type="dxa"/>
          <w:bottom w:w="0" w:type="dxa"/>
          <w:right w:w="0" w:type="dxa"/>
        </w:tblCellMar>
      </w:tblPr>
      <w:tr>
        <w:trPr>
          <w:trHeight w:val="128"/>
        </w:trPr>
        <w:tc>
          <w:tcPr>
            <w:tcW w:w="7380" w:type="dxa"/>
            <w:vAlign w:val="bottom"/>
          </w:tcPr>
          <w:p>
            <w:pPr>
              <w:ind w:left="20"/>
              <w:spacing w:after="0"/>
              <w:rPr>
                <w:sz w:val="20"/>
                <w:szCs w:val="20"/>
                <w:color w:val="auto"/>
              </w:rPr>
            </w:pPr>
            <w:r>
              <w:rPr>
                <w:rFonts w:ascii="Arial" w:cs="Arial" w:eastAsia="Arial" w:hAnsi="Arial"/>
                <w:sz w:val="10"/>
                <w:szCs w:val="10"/>
                <w:b w:val="1"/>
                <w:bCs w:val="1"/>
                <w:color w:val="auto"/>
              </w:rPr>
              <w:t>(In millions)</w:t>
            </w:r>
          </w:p>
        </w:tc>
        <w:tc>
          <w:tcPr>
            <w:tcW w:w="340" w:type="dxa"/>
            <w:vAlign w:val="bottom"/>
          </w:tcPr>
          <w:p>
            <w:pPr>
              <w:spacing w:after="0"/>
              <w:rPr>
                <w:sz w:val="11"/>
                <w:szCs w:val="11"/>
                <w:color w:val="auto"/>
              </w:rPr>
            </w:pPr>
          </w:p>
        </w:tc>
        <w:tc>
          <w:tcPr>
            <w:tcW w:w="1520" w:type="dxa"/>
            <w:vAlign w:val="bottom"/>
            <w:gridSpan w:val="2"/>
          </w:tcPr>
          <w:p>
            <w:pPr>
              <w:ind w:left="260"/>
              <w:spacing w:after="0"/>
              <w:rPr>
                <w:sz w:val="20"/>
                <w:szCs w:val="20"/>
                <w:color w:val="auto"/>
              </w:rPr>
            </w:pPr>
            <w:r>
              <w:rPr>
                <w:rFonts w:ascii="Arial" w:cs="Arial" w:eastAsia="Arial" w:hAnsi="Arial"/>
                <w:sz w:val="10"/>
                <w:szCs w:val="10"/>
                <w:b w:val="1"/>
                <w:bCs w:val="1"/>
                <w:color w:val="auto"/>
              </w:rPr>
              <w:t>June 30, 2018</w:t>
            </w:r>
          </w:p>
        </w:tc>
        <w:tc>
          <w:tcPr>
            <w:tcW w:w="280" w:type="dxa"/>
            <w:vAlign w:val="bottom"/>
          </w:tcPr>
          <w:p>
            <w:pPr>
              <w:spacing w:after="0"/>
              <w:rPr>
                <w:sz w:val="11"/>
                <w:szCs w:val="11"/>
                <w:color w:val="auto"/>
              </w:rPr>
            </w:pPr>
          </w:p>
        </w:tc>
        <w:tc>
          <w:tcPr>
            <w:tcW w:w="1480" w:type="dxa"/>
            <w:vAlign w:val="bottom"/>
          </w:tcPr>
          <w:p>
            <w:pPr>
              <w:jc w:val="right"/>
              <w:ind w:right="441"/>
              <w:spacing w:after="0"/>
              <w:rPr>
                <w:sz w:val="20"/>
                <w:szCs w:val="20"/>
                <w:color w:val="auto"/>
              </w:rPr>
            </w:pPr>
            <w:r>
              <w:rPr>
                <w:rFonts w:ascii="Arial" w:cs="Arial" w:eastAsia="Arial" w:hAnsi="Arial"/>
                <w:sz w:val="10"/>
                <w:szCs w:val="10"/>
                <w:b w:val="1"/>
                <w:bCs w:val="1"/>
                <w:color w:val="auto"/>
              </w:rPr>
              <w:t>December 31, 2017</w:t>
            </w:r>
          </w:p>
        </w:tc>
      </w:tr>
      <w:tr>
        <w:trPr>
          <w:trHeight w:val="173"/>
        </w:trPr>
        <w:tc>
          <w:tcPr>
            <w:tcW w:w="7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Cash and cash equivalents:</w:t>
            </w:r>
          </w:p>
        </w:tc>
        <w:tc>
          <w:tcPr>
            <w:tcW w:w="34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r>
      <w:tr>
        <w:trPr>
          <w:trHeight w:val="171"/>
        </w:trPr>
        <w:tc>
          <w:tcPr>
            <w:tcW w:w="7380" w:type="dxa"/>
            <w:vAlign w:val="bottom"/>
          </w:tcPr>
          <w:p>
            <w:pPr>
              <w:ind w:left="180"/>
              <w:spacing w:after="0"/>
              <w:rPr>
                <w:sz w:val="20"/>
                <w:szCs w:val="20"/>
                <w:color w:val="auto"/>
              </w:rPr>
            </w:pPr>
            <w:r>
              <w:rPr>
                <w:rFonts w:ascii="Arial" w:cs="Arial" w:eastAsia="Arial" w:hAnsi="Arial"/>
                <w:sz w:val="12"/>
                <w:szCs w:val="12"/>
                <w:color w:val="auto"/>
              </w:rPr>
              <w:t>NRG Yield, Inc. and NRG Yield LLC, excluding subsidiaries</w:t>
            </w: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420" w:type="dxa"/>
            <w:vAlign w:val="bottom"/>
          </w:tcPr>
          <w:p>
            <w:pPr>
              <w:jc w:val="right"/>
              <w:ind w:right="61"/>
              <w:spacing w:after="0"/>
              <w:rPr>
                <w:sz w:val="20"/>
                <w:szCs w:val="20"/>
                <w:color w:val="auto"/>
              </w:rPr>
            </w:pPr>
            <w:r>
              <w:rPr>
                <w:rFonts w:ascii="Arial" w:cs="Arial" w:eastAsia="Arial" w:hAnsi="Arial"/>
                <w:sz w:val="12"/>
                <w:szCs w:val="12"/>
                <w:color w:val="auto"/>
              </w:rPr>
              <w:t>48</w:t>
            </w:r>
          </w:p>
        </w:tc>
        <w:tc>
          <w:tcPr>
            <w:tcW w:w="10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480" w:type="dxa"/>
            <w:vAlign w:val="bottom"/>
          </w:tcPr>
          <w:p>
            <w:pPr>
              <w:jc w:val="right"/>
              <w:ind w:right="61"/>
              <w:spacing w:after="0"/>
              <w:rPr>
                <w:sz w:val="20"/>
                <w:szCs w:val="20"/>
                <w:color w:val="auto"/>
              </w:rPr>
            </w:pPr>
            <w:r>
              <w:rPr>
                <w:rFonts w:ascii="Arial" w:cs="Arial" w:eastAsia="Arial" w:hAnsi="Arial"/>
                <w:sz w:val="12"/>
                <w:szCs w:val="12"/>
                <w:color w:val="auto"/>
              </w:rPr>
              <w:t>24</w:t>
            </w:r>
          </w:p>
        </w:tc>
      </w:tr>
      <w:tr>
        <w:trPr>
          <w:trHeight w:val="189"/>
        </w:trPr>
        <w:tc>
          <w:tcPr>
            <w:tcW w:w="73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Subsidiaries</w:t>
            </w:r>
          </w:p>
        </w:tc>
        <w:tc>
          <w:tcPr>
            <w:tcW w:w="34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124</w:t>
            </w:r>
          </w:p>
        </w:tc>
      </w:tr>
      <w:tr>
        <w:trPr>
          <w:trHeight w:val="171"/>
        </w:trPr>
        <w:tc>
          <w:tcPr>
            <w:tcW w:w="7380" w:type="dxa"/>
            <w:vAlign w:val="bottom"/>
          </w:tcPr>
          <w:p>
            <w:pPr>
              <w:ind w:left="20"/>
              <w:spacing w:after="0"/>
              <w:rPr>
                <w:sz w:val="20"/>
                <w:szCs w:val="20"/>
                <w:color w:val="auto"/>
              </w:rPr>
            </w:pPr>
            <w:r>
              <w:rPr>
                <w:rFonts w:ascii="Arial" w:cs="Arial" w:eastAsia="Arial" w:hAnsi="Arial"/>
                <w:sz w:val="12"/>
                <w:szCs w:val="12"/>
                <w:b w:val="1"/>
                <w:bCs w:val="1"/>
                <w:color w:val="auto"/>
              </w:rPr>
              <w:t>Restricted cash:</w:t>
            </w:r>
          </w:p>
        </w:tc>
        <w:tc>
          <w:tcPr>
            <w:tcW w:w="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89"/>
        </w:trPr>
        <w:tc>
          <w:tcPr>
            <w:tcW w:w="73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Operating accounts</w:t>
            </w:r>
          </w:p>
        </w:tc>
        <w:tc>
          <w:tcPr>
            <w:tcW w:w="34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25</w:t>
            </w:r>
          </w:p>
        </w:tc>
      </w:tr>
      <w:tr>
        <w:trPr>
          <w:trHeight w:val="171"/>
        </w:trPr>
        <w:tc>
          <w:tcPr>
            <w:tcW w:w="738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Reserves, including debt service, distributions, performance obligations and other reserves</w:t>
            </w:r>
          </w:p>
        </w:tc>
        <w:tc>
          <w:tcPr>
            <w:tcW w:w="3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96</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143</w:t>
            </w:r>
          </w:p>
        </w:tc>
      </w:tr>
      <w:tr>
        <w:trPr>
          <w:trHeight w:val="169"/>
        </w:trPr>
        <w:tc>
          <w:tcPr>
            <w:tcW w:w="73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Total</w:t>
            </w: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4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269</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4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316</w:t>
            </w:r>
          </w:p>
        </w:tc>
      </w:tr>
      <w:tr>
        <w:trPr>
          <w:trHeight w:val="169"/>
        </w:trPr>
        <w:tc>
          <w:tcPr>
            <w:tcW w:w="738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Revolving credit facility availability</w:t>
            </w:r>
          </w:p>
        </w:tc>
        <w:tc>
          <w:tcPr>
            <w:tcW w:w="3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428</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366</w:t>
            </w:r>
          </w:p>
        </w:tc>
      </w:tr>
      <w:tr>
        <w:trPr>
          <w:trHeight w:val="169"/>
        </w:trPr>
        <w:tc>
          <w:tcPr>
            <w:tcW w:w="7380" w:type="dxa"/>
            <w:vAlign w:val="bottom"/>
            <w:shd w:val="clear" w:color="auto" w:fill="CCEEFF"/>
          </w:tcPr>
          <w:p>
            <w:pPr>
              <w:ind w:left="180"/>
              <w:spacing w:after="0"/>
              <w:rPr>
                <w:sz w:val="20"/>
                <w:szCs w:val="20"/>
                <w:color w:val="auto"/>
              </w:rPr>
            </w:pPr>
            <w:r>
              <w:rPr>
                <w:rFonts w:ascii="Arial" w:cs="Arial" w:eastAsia="Arial" w:hAnsi="Arial"/>
                <w:sz w:val="12"/>
                <w:szCs w:val="12"/>
                <w:b w:val="1"/>
                <w:bCs w:val="1"/>
                <w:color w:val="auto"/>
              </w:rPr>
              <w:t>Total liquidity</w:t>
            </w: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4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697</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4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682</w:t>
            </w:r>
          </w:p>
        </w:tc>
      </w:tr>
    </w:tbl>
    <w:p>
      <w:pPr>
        <w:spacing w:after="0" w:line="99" w:lineRule="exact"/>
        <w:rPr>
          <w:sz w:val="20"/>
          <w:szCs w:val="20"/>
          <w:color w:val="auto"/>
        </w:rPr>
      </w:pPr>
    </w:p>
    <w:p>
      <w:pPr>
        <w:ind w:left="260"/>
        <w:spacing w:after="0"/>
        <w:rPr>
          <w:sz w:val="20"/>
          <w:szCs w:val="20"/>
          <w:color w:val="auto"/>
        </w:rPr>
      </w:pPr>
      <w:r>
        <w:rPr>
          <w:rFonts w:ascii="Arial" w:cs="Arial" w:eastAsia="Arial" w:hAnsi="Arial"/>
          <w:sz w:val="12"/>
          <w:szCs w:val="12"/>
          <w:color w:val="231F20"/>
        </w:rPr>
        <w:t xml:space="preserve">As of </w:t>
      </w:r>
      <w:r>
        <w:rPr>
          <w:rFonts w:ascii="Arial" w:cs="Arial" w:eastAsia="Arial" w:hAnsi="Arial"/>
          <w:sz w:val="12"/>
          <w:szCs w:val="12"/>
          <w:color w:val="000000"/>
        </w:rPr>
        <w:t>June 30, 2018</w:t>
      </w:r>
      <w:r>
        <w:rPr>
          <w:rFonts w:ascii="Arial" w:cs="Arial" w:eastAsia="Arial" w:hAnsi="Arial"/>
          <w:sz w:val="12"/>
          <w:szCs w:val="12"/>
          <w:color w:val="231F20"/>
        </w:rPr>
        <w:t>, there were no outstanding borrowings and $67 million of letters of credit outstanding under the Company's revolving credit facility.</w:t>
      </w:r>
    </w:p>
    <w:p>
      <w:pPr>
        <w:spacing w:after="0" w:line="114"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dividends to holders of the Company's Class A common stock and Class C common stock. Management continues to regularly monitor the Company's ability to finance the needs of its operating, financing and investing activity within the dictates of prudent balance sheet management.</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Credit Ratings</w:t>
      </w:r>
    </w:p>
    <w:p>
      <w:pPr>
        <w:spacing w:after="0" w:line="123" w:lineRule="exact"/>
        <w:rPr>
          <w:sz w:val="20"/>
          <w:szCs w:val="20"/>
          <w:color w:val="auto"/>
        </w:rPr>
      </w:pPr>
    </w:p>
    <w:p>
      <w:pPr>
        <w:jc w:val="both"/>
        <w:ind w:firstLine="324"/>
        <w:spacing w:after="0" w:line="323" w:lineRule="auto"/>
        <w:rPr>
          <w:sz w:val="20"/>
          <w:szCs w:val="20"/>
          <w:color w:val="auto"/>
        </w:rPr>
      </w:pPr>
      <w:r>
        <w:rPr>
          <w:rFonts w:ascii="Arial" w:cs="Arial" w:eastAsia="Arial" w:hAnsi="Arial"/>
          <w:sz w:val="11"/>
          <w:szCs w:val="11"/>
          <w:color w:val="231F20"/>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w:t>
      </w:r>
    </w:p>
    <w:p>
      <w:pPr>
        <w:spacing w:after="0" w:line="38"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following table summarizes the credit ratings for the Company and its Senior Notes as of June 30, 2018:</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7800" w:type="dxa"/>
            <w:vAlign w:val="bottom"/>
            <w:tcBorders>
              <w:bottom w:val="single" w:sz="8" w:color="CCEEFF"/>
            </w:tcBorders>
          </w:tcPr>
          <w:p>
            <w:pPr>
              <w:spacing w:after="0"/>
              <w:rPr>
                <w:sz w:val="11"/>
                <w:szCs w:val="11"/>
                <w:color w:val="auto"/>
              </w:rPr>
            </w:pPr>
          </w:p>
        </w:tc>
        <w:tc>
          <w:tcPr>
            <w:tcW w:w="1540" w:type="dxa"/>
            <w:vAlign w:val="bottom"/>
            <w:tcBorders>
              <w:bottom w:val="single" w:sz="8" w:color="auto"/>
            </w:tcBorders>
          </w:tcPr>
          <w:p>
            <w:pPr>
              <w:ind w:left="680"/>
              <w:spacing w:after="0"/>
              <w:rPr>
                <w:sz w:val="20"/>
                <w:szCs w:val="20"/>
                <w:color w:val="auto"/>
              </w:rPr>
            </w:pPr>
            <w:r>
              <w:rPr>
                <w:rFonts w:ascii="Arial" w:cs="Arial" w:eastAsia="Arial" w:hAnsi="Arial"/>
                <w:sz w:val="10"/>
                <w:szCs w:val="10"/>
                <w:b w:val="1"/>
                <w:bCs w:val="1"/>
                <w:color w:val="auto"/>
              </w:rPr>
              <w:t>S&amp;P</w:t>
            </w:r>
          </w:p>
        </w:tc>
        <w:tc>
          <w:tcPr>
            <w:tcW w:w="100" w:type="dxa"/>
            <w:vAlign w:val="bottom"/>
            <w:tcBorders>
              <w:bottom w:val="single" w:sz="8" w:color="CCEEFF"/>
            </w:tcBorders>
          </w:tcPr>
          <w:p>
            <w:pPr>
              <w:spacing w:after="0"/>
              <w:rPr>
                <w:sz w:val="11"/>
                <w:szCs w:val="11"/>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Moody's</w:t>
            </w:r>
          </w:p>
        </w:tc>
      </w:tr>
      <w:tr>
        <w:trPr>
          <w:trHeight w:val="173"/>
        </w:trPr>
        <w:tc>
          <w:tcPr>
            <w:tcW w:w="7800" w:type="dxa"/>
            <w:vAlign w:val="bottom"/>
            <w:shd w:val="clear" w:color="auto" w:fill="CCEEFF"/>
          </w:tcPr>
          <w:p>
            <w:pPr>
              <w:ind w:left="20"/>
              <w:spacing w:after="0"/>
              <w:rPr>
                <w:sz w:val="20"/>
                <w:szCs w:val="20"/>
                <w:color w:val="auto"/>
              </w:rPr>
            </w:pPr>
            <w:r>
              <w:rPr>
                <w:rFonts w:ascii="Arial" w:cs="Arial" w:eastAsia="Arial" w:hAnsi="Arial"/>
                <w:sz w:val="12"/>
                <w:szCs w:val="12"/>
                <w:color w:val="auto"/>
              </w:rPr>
              <w:t>NRG Yield, Inc.</w:t>
            </w:r>
          </w:p>
        </w:tc>
        <w:tc>
          <w:tcPr>
            <w:tcW w:w="1640" w:type="dxa"/>
            <w:vAlign w:val="bottom"/>
            <w:gridSpan w:val="2"/>
            <w:shd w:val="clear" w:color="auto" w:fill="CCEEFF"/>
          </w:tcPr>
          <w:p>
            <w:pPr>
              <w:ind w:left="700"/>
              <w:spacing w:after="0"/>
              <w:rPr>
                <w:sz w:val="20"/>
                <w:szCs w:val="20"/>
                <w:color w:val="auto"/>
              </w:rPr>
            </w:pPr>
            <w:r>
              <w:rPr>
                <w:rFonts w:ascii="Arial" w:cs="Arial" w:eastAsia="Arial" w:hAnsi="Arial"/>
                <w:sz w:val="12"/>
                <w:szCs w:val="12"/>
                <w:color w:val="auto"/>
              </w:rPr>
              <w:t>BB</w:t>
            </w:r>
          </w:p>
        </w:tc>
        <w:tc>
          <w:tcPr>
            <w:tcW w:w="15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Ba2</w:t>
            </w:r>
          </w:p>
        </w:tc>
      </w:tr>
      <w:tr>
        <w:trPr>
          <w:trHeight w:val="171"/>
        </w:trPr>
        <w:tc>
          <w:tcPr>
            <w:tcW w:w="7800" w:type="dxa"/>
            <w:vAlign w:val="bottom"/>
          </w:tcPr>
          <w:p>
            <w:pPr>
              <w:ind w:left="20"/>
              <w:spacing w:after="0"/>
              <w:rPr>
                <w:sz w:val="20"/>
                <w:szCs w:val="20"/>
                <w:color w:val="auto"/>
              </w:rPr>
            </w:pPr>
            <w:r>
              <w:rPr>
                <w:rFonts w:ascii="Arial" w:cs="Arial" w:eastAsia="Arial" w:hAnsi="Arial"/>
                <w:sz w:val="12"/>
                <w:szCs w:val="12"/>
                <w:color w:val="auto"/>
              </w:rPr>
              <w:t>5.375% Senior Notes, due 2024</w:t>
            </w:r>
          </w:p>
        </w:tc>
        <w:tc>
          <w:tcPr>
            <w:tcW w:w="1640" w:type="dxa"/>
            <w:vAlign w:val="bottom"/>
            <w:gridSpan w:val="2"/>
          </w:tcPr>
          <w:p>
            <w:pPr>
              <w:ind w:left="700"/>
              <w:spacing w:after="0"/>
              <w:rPr>
                <w:sz w:val="20"/>
                <w:szCs w:val="20"/>
                <w:color w:val="auto"/>
              </w:rPr>
            </w:pPr>
            <w:r>
              <w:rPr>
                <w:rFonts w:ascii="Arial" w:cs="Arial" w:eastAsia="Arial" w:hAnsi="Arial"/>
                <w:sz w:val="12"/>
                <w:szCs w:val="12"/>
                <w:color w:val="auto"/>
              </w:rPr>
              <w:t>BB</w:t>
            </w:r>
          </w:p>
        </w:tc>
        <w:tc>
          <w:tcPr>
            <w:tcW w:w="1540" w:type="dxa"/>
            <w:vAlign w:val="bottom"/>
          </w:tcPr>
          <w:p>
            <w:pPr>
              <w:jc w:val="center"/>
              <w:spacing w:after="0"/>
              <w:rPr>
                <w:sz w:val="20"/>
                <w:szCs w:val="20"/>
                <w:color w:val="auto"/>
              </w:rPr>
            </w:pPr>
            <w:r>
              <w:rPr>
                <w:rFonts w:ascii="Arial" w:cs="Arial" w:eastAsia="Arial" w:hAnsi="Arial"/>
                <w:sz w:val="12"/>
                <w:szCs w:val="12"/>
                <w:color w:val="auto"/>
                <w:w w:val="93"/>
              </w:rPr>
              <w:t>Ba2</w:t>
            </w:r>
          </w:p>
        </w:tc>
      </w:tr>
      <w:tr>
        <w:trPr>
          <w:trHeight w:val="189"/>
        </w:trPr>
        <w:tc>
          <w:tcPr>
            <w:tcW w:w="7800" w:type="dxa"/>
            <w:vAlign w:val="bottom"/>
            <w:shd w:val="clear" w:color="auto" w:fill="CCEEFF"/>
          </w:tcPr>
          <w:p>
            <w:pPr>
              <w:ind w:left="20"/>
              <w:spacing w:after="0"/>
              <w:rPr>
                <w:sz w:val="20"/>
                <w:szCs w:val="20"/>
                <w:color w:val="auto"/>
              </w:rPr>
            </w:pPr>
            <w:r>
              <w:rPr>
                <w:rFonts w:ascii="Arial" w:cs="Arial" w:eastAsia="Arial" w:hAnsi="Arial"/>
                <w:sz w:val="12"/>
                <w:szCs w:val="12"/>
                <w:color w:val="auto"/>
              </w:rPr>
              <w:t>5.000% Senior Notes, due 2026</w:t>
            </w:r>
          </w:p>
        </w:tc>
        <w:tc>
          <w:tcPr>
            <w:tcW w:w="1640" w:type="dxa"/>
            <w:vAlign w:val="bottom"/>
            <w:gridSpan w:val="2"/>
            <w:shd w:val="clear" w:color="auto" w:fill="CCEEFF"/>
          </w:tcPr>
          <w:p>
            <w:pPr>
              <w:ind w:left="700"/>
              <w:spacing w:after="0"/>
              <w:rPr>
                <w:sz w:val="20"/>
                <w:szCs w:val="20"/>
                <w:color w:val="auto"/>
              </w:rPr>
            </w:pPr>
            <w:r>
              <w:rPr>
                <w:rFonts w:ascii="Arial" w:cs="Arial" w:eastAsia="Arial" w:hAnsi="Arial"/>
                <w:sz w:val="12"/>
                <w:szCs w:val="12"/>
                <w:color w:val="auto"/>
              </w:rPr>
              <w:t>BB</w:t>
            </w:r>
          </w:p>
        </w:tc>
        <w:tc>
          <w:tcPr>
            <w:tcW w:w="15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Ba2</w:t>
            </w:r>
          </w:p>
        </w:tc>
      </w:tr>
      <w:tr>
        <w:trPr>
          <w:trHeight w:val="288"/>
        </w:trPr>
        <w:tc>
          <w:tcPr>
            <w:tcW w:w="7800" w:type="dxa"/>
            <w:vAlign w:val="bottom"/>
          </w:tcPr>
          <w:p>
            <w:pPr>
              <w:ind w:left="280"/>
              <w:spacing w:after="0"/>
              <w:rPr>
                <w:sz w:val="20"/>
                <w:szCs w:val="20"/>
                <w:color w:val="auto"/>
              </w:rPr>
            </w:pPr>
            <w:r>
              <w:rPr>
                <w:rFonts w:ascii="Arial" w:cs="Arial" w:eastAsia="Arial" w:hAnsi="Arial"/>
                <w:sz w:val="12"/>
                <w:szCs w:val="12"/>
                <w:color w:val="auto"/>
              </w:rPr>
              <w:t>The ratings outlook is stable.</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52"/>
        </w:trPr>
        <w:tc>
          <w:tcPr>
            <w:tcW w:w="7800" w:type="dxa"/>
            <w:vAlign w:val="bottom"/>
          </w:tcPr>
          <w:p>
            <w:pPr>
              <w:ind w:left="260"/>
              <w:spacing w:after="0"/>
              <w:rPr>
                <w:sz w:val="20"/>
                <w:szCs w:val="20"/>
                <w:color w:val="auto"/>
              </w:rPr>
            </w:pPr>
            <w:r>
              <w:rPr>
                <w:rFonts w:ascii="Arial" w:cs="Arial" w:eastAsia="Arial" w:hAnsi="Arial"/>
                <w:sz w:val="12"/>
                <w:szCs w:val="12"/>
                <w:b w:val="1"/>
                <w:bCs w:val="1"/>
                <w:i w:val="1"/>
                <w:iCs w:val="1"/>
                <w:color w:val="231F20"/>
              </w:rPr>
              <w:t>Sources of Liquidity</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bl>
    <w:p>
      <w:pPr>
        <w:spacing w:after="0" w:line="99"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2"/>
          <w:szCs w:val="12"/>
          <w:color w:val="231F20"/>
        </w:rPr>
        <w:t xml:space="preserve">The Company's principal sources of liquidity include cash on hand, cash generated from operations, borrowings under new and existing financing arrangements and the issuance of additional equity and debt securities as appropriate given market conditions. As described in Item 1— </w:t>
      </w:r>
      <w:r>
        <w:rPr>
          <w:rFonts w:ascii="Arial" w:cs="Arial" w:eastAsia="Arial" w:hAnsi="Arial"/>
          <w:sz w:val="12"/>
          <w:szCs w:val="12"/>
          <w:color w:val="000000"/>
        </w:rPr>
        <w:t>Note 7</w:t>
      </w:r>
      <w:r>
        <w:rPr>
          <w:rFonts w:ascii="Arial" w:cs="Arial" w:eastAsia="Arial" w:hAnsi="Arial"/>
          <w:sz w:val="12"/>
          <w:szCs w:val="12"/>
          <w:color w:val="231F20"/>
        </w:rPr>
        <w:t xml:space="preserve">, </w:t>
      </w:r>
      <w:r>
        <w:rPr>
          <w:rFonts w:ascii="Arial" w:cs="Arial" w:eastAsia="Arial" w:hAnsi="Arial"/>
          <w:sz w:val="12"/>
          <w:szCs w:val="12"/>
          <w:i w:val="1"/>
          <w:iCs w:val="1"/>
          <w:color w:val="000000"/>
        </w:rPr>
        <w:t>Long-term Debt</w:t>
      </w:r>
      <w:r>
        <w:rPr>
          <w:rFonts w:ascii="Arial" w:cs="Arial" w:eastAsia="Arial" w:hAnsi="Arial"/>
          <w:sz w:val="12"/>
          <w:szCs w:val="12"/>
          <w:color w:val="231F20"/>
        </w:rPr>
        <w:t xml:space="preserve">, and </w:t>
      </w:r>
      <w:r>
        <w:rPr>
          <w:rFonts w:ascii="Arial" w:cs="Arial" w:eastAsia="Arial" w:hAnsi="Arial"/>
          <w:sz w:val="12"/>
          <w:szCs w:val="12"/>
          <w:color w:val="000000"/>
        </w:rPr>
        <w:t>Note 9</w:t>
      </w:r>
      <w:r>
        <w:rPr>
          <w:rFonts w:ascii="Arial" w:cs="Arial" w:eastAsia="Arial" w:hAnsi="Arial"/>
          <w:sz w:val="12"/>
          <w:szCs w:val="12"/>
          <w:color w:val="231F20"/>
        </w:rPr>
        <w:t xml:space="preserve">, </w:t>
      </w:r>
      <w:r>
        <w:rPr>
          <w:rFonts w:ascii="Arial" w:cs="Arial" w:eastAsia="Arial" w:hAnsi="Arial"/>
          <w:sz w:val="12"/>
          <w:szCs w:val="12"/>
          <w:i w:val="1"/>
          <w:iCs w:val="1"/>
          <w:color w:val="000000"/>
        </w:rPr>
        <w:t>Changes in Capital Structure</w:t>
      </w:r>
      <w:r>
        <w:rPr>
          <w:rFonts w:ascii="Arial" w:cs="Arial" w:eastAsia="Arial" w:hAnsi="Arial"/>
          <w:sz w:val="12"/>
          <w:szCs w:val="12"/>
          <w:color w:val="231F20"/>
        </w:rPr>
        <w:t xml:space="preserve">, to this Form 10-Q and </w:t>
      </w:r>
      <w:r>
        <w:rPr>
          <w:rFonts w:ascii="Arial" w:cs="Arial" w:eastAsia="Arial" w:hAnsi="Arial"/>
          <w:sz w:val="12"/>
          <w:szCs w:val="12"/>
          <w:color w:val="000000"/>
        </w:rPr>
        <w:t>Note 10</w:t>
      </w:r>
      <w:r>
        <w:rPr>
          <w:rFonts w:ascii="Arial" w:cs="Arial" w:eastAsia="Arial" w:hAnsi="Arial"/>
          <w:sz w:val="12"/>
          <w:szCs w:val="12"/>
          <w:color w:val="231F20"/>
        </w:rPr>
        <w:t xml:space="preserve">, </w:t>
      </w:r>
      <w:r>
        <w:rPr>
          <w:rFonts w:ascii="Arial" w:cs="Arial" w:eastAsia="Arial" w:hAnsi="Arial"/>
          <w:sz w:val="12"/>
          <w:szCs w:val="12"/>
          <w:i w:val="1"/>
          <w:iCs w:val="1"/>
          <w:color w:val="000000"/>
        </w:rPr>
        <w:t>Long-term Debt</w:t>
      </w:r>
      <w:r>
        <w:rPr>
          <w:rFonts w:ascii="Arial" w:cs="Arial" w:eastAsia="Arial" w:hAnsi="Arial"/>
          <w:sz w:val="12"/>
          <w:szCs w:val="12"/>
          <w:color w:val="231F20"/>
        </w:rPr>
        <w:t xml:space="preserve">, to the consolidated financial statements included in the Company's 2017 </w:t>
      </w:r>
      <w:r>
        <w:rPr>
          <w:rFonts w:ascii="Arial" w:cs="Arial" w:eastAsia="Arial" w:hAnsi="Arial"/>
          <w:sz w:val="12"/>
          <w:szCs w:val="12"/>
          <w:color w:val="000000"/>
        </w:rPr>
        <w:t>Form 10-K</w:t>
      </w:r>
      <w:r>
        <w:rPr>
          <w:rFonts w:ascii="Arial" w:cs="Arial" w:eastAsia="Arial" w:hAnsi="Arial"/>
          <w:sz w:val="12"/>
          <w:szCs w:val="12"/>
          <w:color w:val="231F20"/>
        </w:rPr>
        <w:t>, the Company's financing arrangements consist of the revolving credit facility, the 2019 Convertible Notes, the 2020 Convertible Notes, the Senior Notes, the ATM Program and project-level financings for its various assets.</w:t>
      </w:r>
    </w:p>
    <w:p>
      <w:pPr>
        <w:spacing w:after="0" w:line="89"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On April 30, 2018, the Company closed on the refinancing of the revolving credit facility, which extended the maturity of the facility to April 28, 2023 and decreased the Company's overall cost of borrowing. The facility will continue to be used for general corporate purposes including financing of future acquisitions and posting letters of credit.</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ectPr>
          <w:pgSz w:w="11900" w:h="16838" w:orient="portrait"/>
          <w:cols w:equalWidth="0" w:num="1">
            <w:col w:w="11480"/>
          </w:cols>
          <w:pgMar w:left="220" w:top="509" w:right="199" w:bottom="1440" w:gutter="0" w:footer="0" w:header="0"/>
        </w:sectPr>
      </w:pPr>
    </w:p>
    <w:bookmarkStart w:id="45" w:name="page46"/>
    <w:bookmarkEnd w:id="45"/>
    <w:p>
      <w:pPr>
        <w:ind w:left="260"/>
        <w:spacing w:after="0"/>
        <w:rPr>
          <w:sz w:val="20"/>
          <w:szCs w:val="20"/>
          <w:color w:val="auto"/>
        </w:rPr>
      </w:pPr>
      <w:r>
        <w:rPr>
          <w:rFonts w:ascii="Arial" w:cs="Arial" w:eastAsia="Arial" w:hAnsi="Arial"/>
          <w:sz w:val="12"/>
          <w:szCs w:val="12"/>
          <w:i w:val="1"/>
          <w:iCs w:val="1"/>
          <w:color w:val="231F20"/>
        </w:rPr>
        <w:t>At-the-Market Equity Offering Program</w:t>
      </w:r>
    </w:p>
    <w:p>
      <w:pPr>
        <w:spacing w:after="0" w:line="114"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The Company sold a total of 4,392,583 of Class C common stock for gross proceeds of $77 million during the period ended June 30, 2018, $1 million of which was received in the third quarter of 2018. The Company incurred commission fees of $762 thousand during the period ended June 30, 2018.</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2"/>
          <w:szCs w:val="12"/>
          <w:color w:val="auto"/>
        </w:rPr>
        <w:t>As of July 3, 2018, approximately $38 million of Class C common stock remains available for issuance under the ATM Program.</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Energy Center Minneapolis Series E, F, G, H Notes</w:t>
      </w:r>
    </w:p>
    <w:p>
      <w:pPr>
        <w:spacing w:after="0" w:line="114"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2"/>
          <w:szCs w:val="12"/>
          <w:color w:val="auto"/>
        </w:rPr>
        <w:t>On June 19, 2018, NRG Energy Center Minneapolis LLC, a subsidiary of the Company, completed the issuances of 4.80% Series E notes due June 15, 2033, or the Series E Notes, and 4.60% Series F notes due March 15, 2033, or the Series F Notes, for gross proceeds of $80 million. The proceeds of the Series E Notes and Series F Notes were utilized to finance the acquisition of the UPMC Thermal Project. Also, on June 19, 2018, NRG Energy Center Minneapolis LLC issued $83 million of 5.90% Series G notes due June 15, 2035, which were utilized to refinance its $83 million of outstanding Series C notes. NRG Energy Center Minneapolis LLC also issued 4.83% Series H notes due June 15, 2037, or Series H Notes for proceeds of $40 million and established a private shelf facility for the future issuance of $40 million in additional notes.</w:t>
      </w:r>
    </w:p>
    <w:p>
      <w:pPr>
        <w:spacing w:after="0" w:line="89"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231F20"/>
        </w:rPr>
        <w:t>Uses of Liquidity</w:t>
      </w:r>
    </w:p>
    <w:p>
      <w:pPr>
        <w:spacing w:after="0" w:line="114"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231F20"/>
        </w:rPr>
        <w:t xml:space="preserve">The Company's requirements for liquidity and capital resources, other than for operating its facilities, are categorized as: (i) debt service obligations, as described more fully in Item 1 — </w:t>
      </w:r>
      <w:r>
        <w:rPr>
          <w:rFonts w:ascii="Arial" w:cs="Arial" w:eastAsia="Arial" w:hAnsi="Arial"/>
          <w:sz w:val="12"/>
          <w:szCs w:val="12"/>
          <w:color w:val="000000"/>
        </w:rPr>
        <w:t>Note 7</w:t>
      </w:r>
      <w:r>
        <w:rPr>
          <w:rFonts w:ascii="Arial" w:cs="Arial" w:eastAsia="Arial" w:hAnsi="Arial"/>
          <w:sz w:val="12"/>
          <w:szCs w:val="12"/>
          <w:color w:val="231F20"/>
        </w:rPr>
        <w:t xml:space="preserve">, </w:t>
      </w:r>
      <w:r>
        <w:rPr>
          <w:rFonts w:ascii="Arial" w:cs="Arial" w:eastAsia="Arial" w:hAnsi="Arial"/>
          <w:sz w:val="12"/>
          <w:szCs w:val="12"/>
          <w:i w:val="1"/>
          <w:iCs w:val="1"/>
          <w:color w:val="000000"/>
        </w:rPr>
        <w:t>Long-term Debt</w:t>
      </w:r>
      <w:r>
        <w:rPr>
          <w:rFonts w:ascii="Arial" w:cs="Arial" w:eastAsia="Arial" w:hAnsi="Arial"/>
          <w:sz w:val="12"/>
          <w:szCs w:val="12"/>
          <w:color w:val="231F20"/>
        </w:rPr>
        <w:t>; (ii) capital expenditures; (iii) acquisitions and investments; and (iv) cash dividends to investors.</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Capital Expenditures</w:t>
      </w:r>
    </w:p>
    <w:p>
      <w:pPr>
        <w:spacing w:after="0" w:line="114" w:lineRule="exact"/>
        <w:rPr>
          <w:sz w:val="20"/>
          <w:szCs w:val="20"/>
          <w:color w:val="auto"/>
        </w:rPr>
      </w:pPr>
    </w:p>
    <w:p>
      <w:pPr>
        <w:jc w:val="both"/>
        <w:ind w:firstLine="270"/>
        <w:spacing w:after="0" w:line="254" w:lineRule="auto"/>
        <w:rPr>
          <w:sz w:val="20"/>
          <w:szCs w:val="20"/>
          <w:color w:val="auto"/>
        </w:rPr>
      </w:pPr>
      <w:r>
        <w:rPr>
          <w:rFonts w:ascii="Arial" w:cs="Arial" w:eastAsia="Arial" w:hAnsi="Arial"/>
          <w:sz w:val="12"/>
          <w:szCs w:val="12"/>
          <w:color w:val="231F20"/>
        </w:rPr>
        <w:t xml:space="preserve">The Company's capital spending program is mainly focused on maintenance capital expenditures, consisting of costs to maintain the assets currently operating, such as costs to replace or refurbish assets, and growth capital expenditures consisting of costs to construct new assets, costs to complete the construction of assets where construction is in process, and capital expenditures related to acquiring additional thermal customers. For the six months ended </w:t>
      </w:r>
      <w:r>
        <w:rPr>
          <w:rFonts w:ascii="Arial" w:cs="Arial" w:eastAsia="Arial" w:hAnsi="Arial"/>
          <w:sz w:val="12"/>
          <w:szCs w:val="12"/>
          <w:color w:val="000000"/>
        </w:rPr>
        <w:t>June 30, 2018</w:t>
      </w:r>
      <w:r>
        <w:rPr>
          <w:rFonts w:ascii="Arial" w:cs="Arial" w:eastAsia="Arial" w:hAnsi="Arial"/>
          <w:sz w:val="12"/>
          <w:szCs w:val="12"/>
          <w:color w:val="231F20"/>
        </w:rPr>
        <w:t>, the Company used approximately $45 million to fund capital expenditures, including growth</w:t>
      </w:r>
      <w:r>
        <w:rPr>
          <w:rFonts w:ascii="Arial" w:cs="Arial" w:eastAsia="Arial" w:hAnsi="Arial"/>
          <w:sz w:val="12"/>
          <w:szCs w:val="12"/>
          <w:color w:val="000000"/>
        </w:rPr>
        <w:t xml:space="preserve"> expenditures of $26 million in the Renewables segment in connection with the construction of Buckthorn Solar Drop Down Asset. The $26 million includes $10 million incurred by NRG during the construction of the Buckthorn Solar project prior to its acquisition by the Company on March 30, 2018, as described below. </w:t>
      </w:r>
      <w:r>
        <w:rPr>
          <w:rFonts w:ascii="Arial" w:cs="Arial" w:eastAsia="Arial" w:hAnsi="Arial"/>
          <w:sz w:val="12"/>
          <w:szCs w:val="12"/>
          <w:color w:val="231F20"/>
        </w:rPr>
        <w:t>For the six months ended June 30, 2017,</w:t>
      </w:r>
      <w:r>
        <w:rPr>
          <w:rFonts w:ascii="Arial" w:cs="Arial" w:eastAsia="Arial" w:hAnsi="Arial"/>
          <w:sz w:val="12"/>
          <w:szCs w:val="12"/>
          <w:color w:val="000000"/>
        </w:rPr>
        <w:t xml:space="preserve"> </w:t>
      </w:r>
      <w:r>
        <w:rPr>
          <w:rFonts w:ascii="Arial" w:cs="Arial" w:eastAsia="Arial" w:hAnsi="Arial"/>
          <w:sz w:val="12"/>
          <w:szCs w:val="12"/>
          <w:color w:val="231F20"/>
        </w:rPr>
        <w:t xml:space="preserve">the Company used approximately $60 million to fund capital expenditures, of which </w:t>
      </w:r>
      <w:r>
        <w:rPr>
          <w:rFonts w:ascii="Arial" w:cs="Arial" w:eastAsia="Arial" w:hAnsi="Arial"/>
          <w:sz w:val="12"/>
          <w:szCs w:val="12"/>
          <w:color w:val="000000"/>
        </w:rPr>
        <w:t>$47 million related to growth expenditures in the Renewables segment paid by NRG in connection with the construction of Buckthorn Solar.</w:t>
      </w:r>
      <w:r>
        <w:rPr>
          <w:rFonts w:ascii="Arial" w:cs="Arial" w:eastAsia="Arial" w:hAnsi="Arial"/>
          <w:sz w:val="12"/>
          <w:szCs w:val="12"/>
          <w:color w:val="231F20"/>
        </w:rPr>
        <w:t xml:space="preserve"> The Company develops annual capital spending plans based on projected requirements for maintenance and growth capital. The Company estimates $32 million of maintenance expenditures for 2018. </w:t>
      </w:r>
      <w:r>
        <w:rPr>
          <w:rFonts w:ascii="Arial" w:cs="Arial" w:eastAsia="Arial" w:hAnsi="Arial"/>
          <w:sz w:val="12"/>
          <w:szCs w:val="12"/>
          <w:color w:val="000000"/>
        </w:rPr>
        <w:t>These estimates are subject to continuing</w:t>
      </w:r>
      <w:r>
        <w:rPr>
          <w:rFonts w:ascii="Arial" w:cs="Arial" w:eastAsia="Arial" w:hAnsi="Arial"/>
          <w:sz w:val="12"/>
          <w:szCs w:val="12"/>
          <w:color w:val="231F20"/>
        </w:rPr>
        <w:t xml:space="preserve"> </w:t>
      </w:r>
      <w:r>
        <w:rPr>
          <w:rFonts w:ascii="Arial" w:cs="Arial" w:eastAsia="Arial" w:hAnsi="Arial"/>
          <w:sz w:val="12"/>
          <w:szCs w:val="12"/>
          <w:color w:val="000000"/>
        </w:rPr>
        <w:t>review and adjustment and actual capital expenditures may vary from these estimates.</w:t>
      </w:r>
    </w:p>
    <w:p>
      <w:pPr>
        <w:spacing w:after="0" w:line="95"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Acquisitions and Investments</w:t>
      </w:r>
    </w:p>
    <w:p>
      <w:pPr>
        <w:spacing w:after="0" w:line="114" w:lineRule="exact"/>
        <w:rPr>
          <w:sz w:val="20"/>
          <w:szCs w:val="20"/>
          <w:color w:val="auto"/>
        </w:rPr>
      </w:pPr>
    </w:p>
    <w:p>
      <w:pPr>
        <w:jc w:val="both"/>
        <w:ind w:right="20" w:firstLine="270"/>
        <w:spacing w:after="0" w:line="276" w:lineRule="auto"/>
        <w:rPr>
          <w:sz w:val="20"/>
          <w:szCs w:val="20"/>
          <w:color w:val="auto"/>
        </w:rPr>
      </w:pPr>
      <w:r>
        <w:rPr>
          <w:rFonts w:ascii="Arial" w:cs="Arial" w:eastAsia="Arial" w:hAnsi="Arial"/>
          <w:sz w:val="12"/>
          <w:szCs w:val="12"/>
          <w:color w:val="auto"/>
        </w:rPr>
        <w:t>The Company intends to acquire generation and thermal infrastructure assets developed and constructed by NRG and third parties in the future, as well as generation and thermal infrastructure assets from third parties where the Company believes its knowledge of the market and operating expertise provides a competitive advantage, and to utilize such acquisitions as a means to grow its CAFD.</w:t>
      </w:r>
    </w:p>
    <w:p>
      <w:pPr>
        <w:spacing w:after="0" w:line="75" w:lineRule="exact"/>
        <w:rPr>
          <w:sz w:val="20"/>
          <w:szCs w:val="20"/>
          <w:color w:val="auto"/>
        </w:rPr>
      </w:pPr>
    </w:p>
    <w:p>
      <w:pPr>
        <w:jc w:val="both"/>
        <w:ind w:firstLine="261"/>
        <w:spacing w:after="0" w:line="267" w:lineRule="auto"/>
        <w:rPr>
          <w:sz w:val="20"/>
          <w:szCs w:val="20"/>
          <w:color w:val="auto"/>
        </w:rPr>
      </w:pPr>
      <w:r>
        <w:rPr>
          <w:rFonts w:ascii="Arial" w:cs="Arial" w:eastAsia="Arial" w:hAnsi="Arial"/>
          <w:sz w:val="12"/>
          <w:szCs w:val="12"/>
          <w:b w:val="1"/>
          <w:bCs w:val="1"/>
          <w:i w:val="1"/>
          <w:iCs w:val="1"/>
          <w:color w:val="auto"/>
        </w:rPr>
        <w:t xml:space="preserve">UPMC Thermal Project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On June 19, 2018, upon reaching substantial completion, the Company acquired from NRG the UPMC Thermal Project for cash consideration of $84 million, subject to working capital adjustments.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Company also recorded a payable of $4 million to be paid to NRG upon final completion of the project. The project adds 73 MWt of thermal equivalent capacity and 7.5 MW of emergency backup thermal capacity to the Company's portfolio. The transaction was accounted for as an asset acquisition and is reflected in the Company's Thermal segment.</w:t>
      </w:r>
    </w:p>
    <w:p>
      <w:pPr>
        <w:spacing w:after="0" w:line="80" w:lineRule="exact"/>
        <w:rPr>
          <w:sz w:val="20"/>
          <w:szCs w:val="20"/>
          <w:color w:val="auto"/>
        </w:rPr>
      </w:pPr>
    </w:p>
    <w:p>
      <w:pPr>
        <w:jc w:val="both"/>
        <w:ind w:firstLine="270"/>
        <w:spacing w:after="0" w:line="331" w:lineRule="auto"/>
        <w:rPr>
          <w:sz w:val="20"/>
          <w:szCs w:val="20"/>
          <w:color w:val="auto"/>
        </w:rPr>
      </w:pPr>
      <w:r>
        <w:rPr>
          <w:rFonts w:ascii="Arial" w:cs="Arial" w:eastAsia="Arial" w:hAnsi="Arial"/>
          <w:sz w:val="11"/>
          <w:szCs w:val="11"/>
          <w:b w:val="1"/>
          <w:bCs w:val="1"/>
          <w:i w:val="1"/>
          <w:iCs w:val="1"/>
          <w:color w:val="auto"/>
        </w:rPr>
        <w:t xml:space="preserve">Central CA Fuel Cell 1, LLC </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On April 18, 2018, the Company acquired the Central CA Fuel Cell 1, LLC project in Tulare, California from FuelCell Energy Finance, Inc., for cash consideration of $11 million, subject to working</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capital adjustments. The project adds 2.8 MW of thermal capacity to the Company's portfolio, with a 20-year PPA contract with the City of Tulare. The transaction is reflected in the Company's Thermal segment.</w:t>
      </w:r>
    </w:p>
    <w:p>
      <w:pPr>
        <w:spacing w:after="0" w:line="47" w:lineRule="exact"/>
        <w:rPr>
          <w:sz w:val="20"/>
          <w:szCs w:val="20"/>
          <w:color w:val="auto"/>
        </w:rPr>
      </w:pPr>
    </w:p>
    <w:p>
      <w:pPr>
        <w:jc w:val="both"/>
        <w:ind w:firstLine="270"/>
        <w:spacing w:after="0" w:line="267" w:lineRule="auto"/>
        <w:rPr>
          <w:sz w:val="20"/>
          <w:szCs w:val="20"/>
          <w:color w:val="auto"/>
        </w:rPr>
      </w:pPr>
      <w:r>
        <w:rPr>
          <w:rFonts w:ascii="Arial" w:cs="Arial" w:eastAsia="Arial" w:hAnsi="Arial"/>
          <w:sz w:val="12"/>
          <w:szCs w:val="12"/>
          <w:b w:val="1"/>
          <w:bCs w:val="1"/>
          <w:i w:val="1"/>
          <w:iCs w:val="1"/>
          <w:color w:val="auto"/>
        </w:rPr>
        <w:t xml:space="preserve">Buckthorn Solar Drop Down Asset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On March 30, 2018, the Company acquired 100% of NRG's interests in Buckthorn Renewables, LLC, which owned a 154 MW construction-stage utility-scale solar generation project, located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 Texas, or the Buckthorn Solar Drop Down Asset, for cash consideration of approximately $42 million, subject to working capital adjustments. The project sells power under a 25-year PPA to the City of Georgetown, Texas which commenced in July 2018.</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ectPr>
          <w:pgSz w:w="11900" w:h="16838" w:orient="portrait"/>
          <w:cols w:equalWidth="0" w:num="1">
            <w:col w:w="11480"/>
          </w:cols>
          <w:pgMar w:left="220" w:top="509" w:right="199" w:bottom="1440" w:gutter="0" w:footer="0" w:header="0"/>
        </w:sectPr>
      </w:pPr>
    </w:p>
    <w:bookmarkStart w:id="46" w:name="page47"/>
    <w:bookmarkEnd w:id="46"/>
    <w:p>
      <w:pPr>
        <w:jc w:val="both"/>
        <w:ind w:right="20" w:firstLine="261"/>
        <w:spacing w:after="0" w:line="267" w:lineRule="auto"/>
        <w:rPr>
          <w:sz w:val="20"/>
          <w:szCs w:val="20"/>
          <w:color w:val="auto"/>
        </w:rPr>
      </w:pPr>
      <w:r>
        <w:rPr>
          <w:rFonts w:ascii="Arial" w:cs="Arial" w:eastAsia="Arial" w:hAnsi="Arial"/>
          <w:sz w:val="12"/>
          <w:szCs w:val="12"/>
          <w:b w:val="1"/>
          <w:bCs w:val="1"/>
          <w:i w:val="1"/>
          <w:iCs w:val="1"/>
          <w:color w:val="auto"/>
        </w:rPr>
        <w:t xml:space="preserve">Carlsbad Energy Holdings LLC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On February 6, 2018, the Company entered into an agreement with NRG to purchase 100% of the membership interests in Carlsbad Energy Holdings LLC, which indirectly owns the Carlsbad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project, a 527 MW natural gas fired project in Carlsbad, CA, pursuant to the ROFO Agreement. The purchase price for the transaction is $365 million in cash consideration, subject to customary working capital and other adjustments. The transaction is expected to close during the fourth quarter of 2018 and is contingent upon the consummation of the NRG Transaction.</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Investment Partnership with NRG</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2"/>
          <w:szCs w:val="12"/>
          <w:color w:val="auto"/>
        </w:rPr>
        <w:t>During the six months ended June 30, 2018, the Company invested $16 million in distributed generation partnerships with NRG.</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231F20"/>
        </w:rPr>
        <w:t>Cash Dividends to Investors</w:t>
      </w:r>
    </w:p>
    <w:p>
      <w:pPr>
        <w:spacing w:after="0" w:line="114"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1"/>
          <w:szCs w:val="11"/>
          <w:color w:val="231F20"/>
        </w:rPr>
        <w:t>NRG Yield, Inc. intends to use the amount of cash that it receives from its distributions from NRG Yield LLC to pay quarterly dividends to the holders of its Class A common stock and Class C common stock. NRG Yield LLC intends to distribute to its unit holders in the form of a quarterly distribution all of the CAFD it generates each quarter, less reserves for the prudent conduct of the business, including among others, maintenance capital expenditures to maintain the operating capacity of the assets. Dividends on t</w:t>
      </w:r>
      <w:r>
        <w:rPr>
          <w:rFonts w:ascii="Arial" w:cs="Arial" w:eastAsia="Arial" w:hAnsi="Arial"/>
          <w:sz w:val="11"/>
          <w:szCs w:val="11"/>
          <w:color w:val="000000"/>
        </w:rPr>
        <w:t>he Class A common stock and Class C common stock are subject to available capital, market conditions, and compliance with associated laws, regulations and other contractual</w:t>
      </w:r>
      <w:r>
        <w:rPr>
          <w:rFonts w:ascii="Arial" w:cs="Arial" w:eastAsia="Arial" w:hAnsi="Arial"/>
          <w:sz w:val="11"/>
          <w:szCs w:val="11"/>
          <w:color w:val="231F20"/>
        </w:rPr>
        <w:t xml:space="preserve"> </w:t>
      </w:r>
      <w:r>
        <w:rPr>
          <w:rFonts w:ascii="Arial" w:cs="Arial" w:eastAsia="Arial" w:hAnsi="Arial"/>
          <w:sz w:val="11"/>
          <w:szCs w:val="11"/>
          <w:color w:val="000000"/>
        </w:rPr>
        <w:t>obligations. The Company expects that, based on current circumstances, comparable cash dividends will continue to be paid in the foreseeable future.</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following table lists the dividends paid on NRG Yield, Inc.'s Class A common stock and Class C common stock during the six months ended June 30, 2018:</w:t>
      </w:r>
    </w:p>
    <w:p>
      <w:pPr>
        <w:spacing w:after="0" w:line="262" w:lineRule="exact"/>
        <w:rPr>
          <w:sz w:val="20"/>
          <w:szCs w:val="20"/>
          <w:color w:val="auto"/>
        </w:rPr>
      </w:pPr>
    </w:p>
    <w:tbl>
      <w:tblPr>
        <w:tblLayout w:type="fixed"/>
        <w:tblInd w:w="1100" w:type="dxa"/>
        <w:tblCellMar>
          <w:top w:w="0" w:type="dxa"/>
          <w:left w:w="0" w:type="dxa"/>
          <w:bottom w:w="0" w:type="dxa"/>
          <w:right w:w="0" w:type="dxa"/>
        </w:tblCellMar>
      </w:tblPr>
      <w:tr>
        <w:trPr>
          <w:trHeight w:val="128"/>
        </w:trPr>
        <w:tc>
          <w:tcPr>
            <w:tcW w:w="6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ind w:left="20"/>
              <w:spacing w:after="0"/>
              <w:rPr>
                <w:sz w:val="20"/>
                <w:szCs w:val="20"/>
                <w:color w:val="auto"/>
              </w:rPr>
            </w:pPr>
            <w:r>
              <w:rPr>
                <w:rFonts w:ascii="Arial" w:cs="Arial" w:eastAsia="Arial" w:hAnsi="Arial"/>
                <w:sz w:val="10"/>
                <w:szCs w:val="10"/>
                <w:b w:val="1"/>
                <w:bCs w:val="1"/>
                <w:color w:val="auto"/>
              </w:rPr>
              <w:t>Second Quarter 2018</w:t>
            </w:r>
          </w:p>
        </w:tc>
        <w:tc>
          <w:tcPr>
            <w:tcW w:w="120" w:type="dxa"/>
            <w:vAlign w:val="bottom"/>
          </w:tcPr>
          <w:p>
            <w:pPr>
              <w:spacing w:after="0"/>
              <w:rPr>
                <w:sz w:val="11"/>
                <w:szCs w:val="11"/>
                <w:color w:val="auto"/>
              </w:rPr>
            </w:pPr>
          </w:p>
        </w:tc>
        <w:tc>
          <w:tcPr>
            <w:tcW w:w="1000" w:type="dxa"/>
            <w:vAlign w:val="bottom"/>
          </w:tcPr>
          <w:p>
            <w:pPr>
              <w:jc w:val="right"/>
              <w:ind w:right="124"/>
              <w:spacing w:after="0"/>
              <w:rPr>
                <w:sz w:val="20"/>
                <w:szCs w:val="20"/>
                <w:color w:val="auto"/>
              </w:rPr>
            </w:pPr>
            <w:r>
              <w:rPr>
                <w:rFonts w:ascii="Arial" w:cs="Arial" w:eastAsia="Arial" w:hAnsi="Arial"/>
                <w:sz w:val="10"/>
                <w:szCs w:val="10"/>
                <w:b w:val="1"/>
                <w:bCs w:val="1"/>
                <w:color w:val="auto"/>
                <w:w w:val="93"/>
              </w:rPr>
              <w:t>First Quarter 2018</w:t>
            </w:r>
          </w:p>
        </w:tc>
      </w:tr>
      <w:tr>
        <w:trPr>
          <w:trHeight w:val="173"/>
        </w:trPr>
        <w:tc>
          <w:tcPr>
            <w:tcW w:w="6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Dividends per Class A share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2"/>
                <w:szCs w:val="12"/>
                <w:color w:val="auto"/>
              </w:rPr>
              <w:t>0.309</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2"/>
                <w:szCs w:val="12"/>
                <w:color w:val="auto"/>
              </w:rPr>
              <w:t>0.298</w:t>
            </w:r>
          </w:p>
        </w:tc>
      </w:tr>
      <w:tr>
        <w:trPr>
          <w:trHeight w:val="162"/>
        </w:trPr>
        <w:tc>
          <w:tcPr>
            <w:tcW w:w="6980" w:type="dxa"/>
            <w:vAlign w:val="bottom"/>
          </w:tcPr>
          <w:p>
            <w:pPr>
              <w:ind w:left="20"/>
              <w:spacing w:after="0"/>
              <w:rPr>
                <w:sz w:val="20"/>
                <w:szCs w:val="20"/>
                <w:color w:val="auto"/>
              </w:rPr>
            </w:pPr>
            <w:r>
              <w:rPr>
                <w:rFonts w:ascii="Arial" w:cs="Arial" w:eastAsia="Arial" w:hAnsi="Arial"/>
                <w:sz w:val="12"/>
                <w:szCs w:val="12"/>
                <w:b w:val="1"/>
                <w:bCs w:val="1"/>
                <w:color w:val="auto"/>
              </w:rPr>
              <w:t>Dividends per Class C share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44"/>
              <w:spacing w:after="0"/>
              <w:rPr>
                <w:sz w:val="20"/>
                <w:szCs w:val="20"/>
                <w:color w:val="auto"/>
              </w:rPr>
            </w:pPr>
            <w:r>
              <w:rPr>
                <w:rFonts w:ascii="Arial" w:cs="Arial" w:eastAsia="Arial" w:hAnsi="Arial"/>
                <w:sz w:val="12"/>
                <w:szCs w:val="12"/>
                <w:color w:val="auto"/>
              </w:rPr>
              <w:t>0.309</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44"/>
              <w:spacing w:after="0"/>
              <w:rPr>
                <w:sz w:val="20"/>
                <w:szCs w:val="20"/>
                <w:color w:val="auto"/>
              </w:rPr>
            </w:pPr>
            <w:r>
              <w:rPr>
                <w:rFonts w:ascii="Arial" w:cs="Arial" w:eastAsia="Arial" w:hAnsi="Arial"/>
                <w:sz w:val="12"/>
                <w:szCs w:val="12"/>
                <w:color w:val="auto"/>
              </w:rPr>
              <w:t>0.298</w:t>
            </w:r>
          </w:p>
        </w:tc>
      </w:tr>
    </w:tbl>
    <w:p>
      <w:pPr>
        <w:spacing w:after="0" w:line="117" w:lineRule="exact"/>
        <w:rPr>
          <w:sz w:val="20"/>
          <w:szCs w:val="20"/>
          <w:color w:val="auto"/>
        </w:rPr>
      </w:pPr>
    </w:p>
    <w:p>
      <w:pPr>
        <w:ind w:left="260"/>
        <w:spacing w:after="0"/>
        <w:rPr>
          <w:sz w:val="20"/>
          <w:szCs w:val="20"/>
          <w:color w:val="auto"/>
        </w:rPr>
      </w:pPr>
      <w:r>
        <w:rPr>
          <w:rFonts w:ascii="Arial" w:cs="Arial" w:eastAsia="Arial" w:hAnsi="Arial"/>
          <w:sz w:val="11"/>
          <w:szCs w:val="11"/>
          <w:color w:val="auto"/>
        </w:rPr>
        <w:t>On July 24, 2018, NRG Yield, Inc. declared quarterly dividends on its Class A common stock and Class C common stock of $0.320 per share payable on September 18, 2018, to stockholders of record as of September 4, 2018.</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ectPr>
          <w:pgSz w:w="11900" w:h="16838" w:orient="portrait"/>
          <w:cols w:equalWidth="0" w:num="1">
            <w:col w:w="11480"/>
          </w:cols>
          <w:pgMar w:left="220" w:top="505" w:right="199" w:bottom="1440" w:gutter="0" w:footer="0" w:header="0"/>
        </w:sectPr>
      </w:pPr>
    </w:p>
    <w:bookmarkStart w:id="47" w:name="page48"/>
    <w:bookmarkEnd w:id="47"/>
    <w:p>
      <w:pPr>
        <w:spacing w:after="0"/>
        <w:rPr>
          <w:sz w:val="20"/>
          <w:szCs w:val="20"/>
          <w:color w:val="auto"/>
        </w:rPr>
      </w:pPr>
      <w:r>
        <w:rPr>
          <w:rFonts w:ascii="Arial" w:cs="Arial" w:eastAsia="Arial" w:hAnsi="Arial"/>
          <w:sz w:val="12"/>
          <w:szCs w:val="12"/>
          <w:b w:val="1"/>
          <w:bCs w:val="1"/>
          <w:color w:val="auto"/>
        </w:rPr>
        <w:t>Cash Flow Discussion</w:t>
      </w:r>
    </w:p>
    <w:p>
      <w:pPr>
        <w:spacing w:after="0" w:line="118"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following table reflects the changes in cash flows for the six months ended June 30, 2018, compared to the six months ended June 30, 2017:</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736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2"/>
          </w:tcPr>
          <w:p>
            <w:pPr>
              <w:jc w:val="right"/>
              <w:ind w:right="388"/>
              <w:spacing w:after="0"/>
              <w:rPr>
                <w:sz w:val="20"/>
                <w:szCs w:val="20"/>
                <w:color w:val="auto"/>
              </w:rPr>
            </w:pPr>
            <w:r>
              <w:rPr>
                <w:rFonts w:ascii="Arial" w:cs="Arial" w:eastAsia="Arial" w:hAnsi="Arial"/>
                <w:sz w:val="10"/>
                <w:szCs w:val="10"/>
                <w:b w:val="1"/>
                <w:bCs w:val="1"/>
                <w:color w:val="auto"/>
                <w:w w:val="86"/>
              </w:rPr>
              <w:t>Six months ended June 30,</w:t>
            </w:r>
          </w:p>
        </w:tc>
        <w:tc>
          <w:tcPr>
            <w:tcW w:w="4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9"/>
        </w:trPr>
        <w:tc>
          <w:tcPr>
            <w:tcW w:w="7360" w:type="dxa"/>
            <w:vAlign w:val="bottom"/>
          </w:tcPr>
          <w:p>
            <w:pPr>
              <w:spacing w:after="0"/>
              <w:rPr>
                <w:sz w:val="14"/>
                <w:szCs w:val="14"/>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2018</w:t>
            </w:r>
          </w:p>
        </w:tc>
        <w:tc>
          <w:tcPr>
            <w:tcW w:w="5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0"/>
                <w:szCs w:val="10"/>
                <w:b w:val="1"/>
                <w:bCs w:val="1"/>
                <w:color w:val="auto"/>
              </w:rPr>
              <w:t>2017</w:t>
            </w:r>
          </w:p>
        </w:tc>
        <w:tc>
          <w:tcPr>
            <w:tcW w:w="4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0"/>
                <w:szCs w:val="10"/>
                <w:b w:val="1"/>
                <w:bCs w:val="1"/>
                <w:color w:val="auto"/>
              </w:rPr>
              <w:t>Change</w:t>
            </w:r>
          </w:p>
        </w:tc>
      </w:tr>
      <w:tr>
        <w:trPr>
          <w:trHeight w:val="124"/>
        </w:trPr>
        <w:tc>
          <w:tcPr>
            <w:tcW w:w="73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jc w:val="right"/>
              <w:ind w:right="48"/>
              <w:spacing w:after="0"/>
              <w:rPr>
                <w:sz w:val="20"/>
                <w:szCs w:val="20"/>
                <w:color w:val="auto"/>
              </w:rPr>
            </w:pPr>
            <w:r>
              <w:rPr>
                <w:rFonts w:ascii="Arial" w:cs="Arial" w:eastAsia="Arial" w:hAnsi="Arial"/>
                <w:sz w:val="10"/>
                <w:szCs w:val="10"/>
                <w:b w:val="1"/>
                <w:bCs w:val="1"/>
                <w:color w:val="auto"/>
              </w:rPr>
              <w:t>(In millions)</w:t>
            </w: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84"/>
        </w:trPr>
        <w:tc>
          <w:tcPr>
            <w:tcW w:w="73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cash provided by operating activities</w:t>
            </w:r>
          </w:p>
        </w:tc>
        <w:tc>
          <w:tcPr>
            <w:tcW w:w="840" w:type="dxa"/>
            <w:vAlign w:val="bottom"/>
            <w:shd w:val="clear" w:color="auto" w:fill="CCEEFF"/>
          </w:tcPr>
          <w:p>
            <w:pPr>
              <w:jc w:val="right"/>
              <w:ind w:right="73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181</w:t>
            </w:r>
          </w:p>
        </w:tc>
        <w:tc>
          <w:tcPr>
            <w:tcW w:w="1020" w:type="dxa"/>
            <w:vAlign w:val="bottom"/>
            <w:shd w:val="clear" w:color="auto" w:fill="CCEEFF"/>
          </w:tcPr>
          <w:p>
            <w:pPr>
              <w:jc w:val="right"/>
              <w:ind w:right="788"/>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169</w:t>
            </w:r>
          </w:p>
        </w:tc>
        <w:tc>
          <w:tcPr>
            <w:tcW w:w="3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12</w:t>
            </w:r>
          </w:p>
        </w:tc>
      </w:tr>
      <w:tr>
        <w:trPr>
          <w:trHeight w:val="171"/>
        </w:trPr>
        <w:tc>
          <w:tcPr>
            <w:tcW w:w="7360" w:type="dxa"/>
            <w:vAlign w:val="bottom"/>
          </w:tcPr>
          <w:p>
            <w:pPr>
              <w:ind w:left="20"/>
              <w:spacing w:after="0"/>
              <w:rPr>
                <w:sz w:val="20"/>
                <w:szCs w:val="20"/>
                <w:color w:val="auto"/>
              </w:rPr>
            </w:pPr>
            <w:r>
              <w:rPr>
                <w:rFonts w:ascii="Arial" w:cs="Arial" w:eastAsia="Arial" w:hAnsi="Arial"/>
                <w:sz w:val="12"/>
                <w:szCs w:val="12"/>
                <w:color w:val="auto"/>
              </w:rPr>
              <w:t>Net cash used in investing activities</w:t>
            </w:r>
          </w:p>
        </w:tc>
        <w:tc>
          <w:tcPr>
            <w:tcW w:w="840" w:type="dxa"/>
            <w:vAlign w:val="bottom"/>
          </w:tcPr>
          <w:p>
            <w:pPr>
              <w:spacing w:after="0"/>
              <w:rPr>
                <w:sz w:val="14"/>
                <w:szCs w:val="14"/>
                <w:color w:val="auto"/>
              </w:rPr>
            </w:pPr>
          </w:p>
        </w:tc>
        <w:tc>
          <w:tcPr>
            <w:tcW w:w="560" w:type="dxa"/>
            <w:vAlign w:val="bottom"/>
          </w:tcPr>
          <w:p>
            <w:pPr>
              <w:jc w:val="right"/>
              <w:ind w:right="43"/>
              <w:spacing w:after="0"/>
              <w:rPr>
                <w:sz w:val="20"/>
                <w:szCs w:val="20"/>
                <w:color w:val="auto"/>
              </w:rPr>
            </w:pPr>
            <w:r>
              <w:rPr>
                <w:rFonts w:ascii="Arial" w:cs="Arial" w:eastAsia="Arial" w:hAnsi="Arial"/>
                <w:sz w:val="12"/>
                <w:szCs w:val="12"/>
                <w:color w:val="auto"/>
              </w:rPr>
              <w:t>(166)</w:t>
            </w:r>
          </w:p>
        </w:tc>
        <w:tc>
          <w:tcPr>
            <w:tcW w:w="1020" w:type="dxa"/>
            <w:vAlign w:val="bottom"/>
          </w:tcPr>
          <w:p>
            <w:pPr>
              <w:spacing w:after="0"/>
              <w:rPr>
                <w:sz w:val="14"/>
                <w:szCs w:val="14"/>
                <w:color w:val="auto"/>
              </w:rPr>
            </w:pPr>
          </w:p>
        </w:tc>
        <w:tc>
          <w:tcPr>
            <w:tcW w:w="460" w:type="dxa"/>
            <w:vAlign w:val="bottom"/>
          </w:tcPr>
          <w:p>
            <w:pPr>
              <w:jc w:val="right"/>
              <w:ind w:right="20"/>
              <w:spacing w:after="0"/>
              <w:rPr>
                <w:sz w:val="20"/>
                <w:szCs w:val="20"/>
                <w:color w:val="auto"/>
              </w:rPr>
            </w:pPr>
            <w:r>
              <w:rPr>
                <w:rFonts w:ascii="Arial" w:cs="Arial" w:eastAsia="Arial" w:hAnsi="Arial"/>
                <w:sz w:val="12"/>
                <w:szCs w:val="12"/>
                <w:color w:val="auto"/>
              </w:rPr>
              <w:t>(190)</w:t>
            </w:r>
          </w:p>
        </w:tc>
        <w:tc>
          <w:tcPr>
            <w:tcW w:w="340" w:type="dxa"/>
            <w:vAlign w:val="bottom"/>
          </w:tcPr>
          <w:p>
            <w:pPr>
              <w:spacing w:after="0"/>
              <w:rPr>
                <w:sz w:val="14"/>
                <w:szCs w:val="14"/>
                <w:color w:val="auto"/>
              </w:rPr>
            </w:pPr>
          </w:p>
        </w:tc>
        <w:tc>
          <w:tcPr>
            <w:tcW w:w="900" w:type="dxa"/>
            <w:vAlign w:val="bottom"/>
          </w:tcPr>
          <w:p>
            <w:pPr>
              <w:jc w:val="right"/>
              <w:ind w:right="63"/>
              <w:spacing w:after="0"/>
              <w:rPr>
                <w:sz w:val="20"/>
                <w:szCs w:val="20"/>
                <w:color w:val="auto"/>
              </w:rPr>
            </w:pPr>
            <w:r>
              <w:rPr>
                <w:rFonts w:ascii="Arial" w:cs="Arial" w:eastAsia="Arial" w:hAnsi="Arial"/>
                <w:sz w:val="12"/>
                <w:szCs w:val="12"/>
                <w:color w:val="auto"/>
              </w:rPr>
              <w:t>24</w:t>
            </w:r>
          </w:p>
        </w:tc>
      </w:tr>
      <w:tr>
        <w:trPr>
          <w:trHeight w:val="189"/>
        </w:trPr>
        <w:tc>
          <w:tcPr>
            <w:tcW w:w="73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cash used in financing activities</w:t>
            </w:r>
          </w:p>
        </w:tc>
        <w:tc>
          <w:tcPr>
            <w:tcW w:w="84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(62)</w:t>
            </w:r>
          </w:p>
        </w:tc>
        <w:tc>
          <w:tcPr>
            <w:tcW w:w="10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(177)</w:t>
            </w: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115</w:t>
            </w:r>
          </w:p>
        </w:tc>
      </w:tr>
    </w:tbl>
    <w:p>
      <w:pPr>
        <w:spacing w:after="0" w:line="135"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Net Cash Provided By Operating Activities</w:t>
      </w:r>
    </w:p>
    <w:p>
      <w:pPr>
        <w:sectPr>
          <w:pgSz w:w="11900" w:h="16838" w:orient="portrait"/>
          <w:cols w:equalWidth="0" w:num="1">
            <w:col w:w="11480"/>
          </w:cols>
          <w:pgMar w:left="220" w:top="505" w:right="199" w:bottom="1440" w:gutter="0" w:footer="0" w:header="0"/>
        </w:sectPr>
      </w:pP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color w:val="FFFFFF"/>
        </w:rPr>
        <w:t>Changes to net cash provided by operating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7292340" cy="1200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2340" cy="12001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2"/>
          <w:szCs w:val="12"/>
          <w:color w:val="auto"/>
        </w:rPr>
        <w:t>Increase in operating income adjusted for non-cash items</w:t>
      </w:r>
    </w:p>
    <w:p>
      <w:pPr>
        <w:spacing w:after="0" w:line="42" w:lineRule="exact"/>
        <w:rPr>
          <w:sz w:val="20"/>
          <w:szCs w:val="20"/>
          <w:color w:val="auto"/>
        </w:rPr>
      </w:pPr>
    </w:p>
    <w:p>
      <w:pPr>
        <w:ind w:left="20" w:right="1773"/>
        <w:spacing w:after="0" w:line="339" w:lineRule="auto"/>
        <w:rPr>
          <w:sz w:val="20"/>
          <w:szCs w:val="20"/>
          <w:color w:val="auto"/>
        </w:rPr>
      </w:pPr>
      <w:r>
        <w:rPr>
          <w:rFonts w:ascii="Arial" w:cs="Arial" w:eastAsia="Arial" w:hAnsi="Arial"/>
          <w:sz w:val="12"/>
          <w:szCs w:val="12"/>
          <w:color w:val="auto"/>
        </w:rPr>
        <w:t>Changes in other working capital primarily due to a higher increase in accounts receivable balances in the first half of 2018 compared to the same period in 2017 Higher distributions from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-138430</wp:posOffset>
            </wp:positionV>
            <wp:extent cx="7292340" cy="1143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627"/>
        <w:spacing w:after="0"/>
        <w:rPr>
          <w:sz w:val="20"/>
          <w:szCs w:val="20"/>
          <w:color w:val="auto"/>
        </w:rPr>
      </w:pPr>
      <w:r>
        <w:rPr>
          <w:rFonts w:ascii="Arial" w:cs="Arial" w:eastAsia="Arial" w:hAnsi="Arial"/>
          <w:sz w:val="8"/>
          <w:szCs w:val="8"/>
          <w:b w:val="1"/>
          <w:bCs w:val="1"/>
          <w:color w:val="auto"/>
        </w:rPr>
        <w:t>(In millions)</w:t>
      </w:r>
    </w:p>
    <w:p>
      <w:pPr>
        <w:spacing w:after="0" w:line="58" w:lineRule="exact"/>
        <w:rPr>
          <w:sz w:val="20"/>
          <w:szCs w:val="20"/>
          <w:color w:val="auto"/>
        </w:rPr>
      </w:pPr>
    </w:p>
    <w:p>
      <w:pPr>
        <w:ind w:left="1007" w:hanging="1007"/>
        <w:spacing w:after="0"/>
        <w:tabs>
          <w:tab w:leader="none" w:pos="1007" w:val="left"/>
        </w:tabs>
        <w:numPr>
          <w:ilvl w:val="0"/>
          <w:numId w:val="24"/>
        </w:numPr>
        <w:rPr>
          <w:rFonts w:ascii="Arial" w:cs="Arial" w:eastAsia="Arial" w:hAnsi="Arial"/>
          <w:sz w:val="12"/>
          <w:szCs w:val="12"/>
          <w:color w:val="auto"/>
        </w:rPr>
      </w:pPr>
      <w:r>
        <w:rPr>
          <w:rFonts w:ascii="Arial" w:cs="Arial" w:eastAsia="Arial" w:hAnsi="Arial"/>
          <w:sz w:val="12"/>
          <w:szCs w:val="12"/>
          <w:color w:val="auto"/>
        </w:rPr>
        <w:t>24</w:t>
      </w:r>
    </w:p>
    <w:p>
      <w:pPr>
        <w:spacing w:after="0" w:line="42" w:lineRule="exact"/>
        <w:rPr>
          <w:rFonts w:ascii="Arial" w:cs="Arial" w:eastAsia="Arial" w:hAnsi="Arial"/>
          <w:sz w:val="12"/>
          <w:szCs w:val="12"/>
          <w:color w:val="auto"/>
        </w:rPr>
      </w:pPr>
    </w:p>
    <w:p>
      <w:pPr>
        <w:ind w:left="967"/>
        <w:spacing w:after="0"/>
        <w:rPr>
          <w:rFonts w:ascii="Arial" w:cs="Arial" w:eastAsia="Arial" w:hAnsi="Arial"/>
          <w:sz w:val="12"/>
          <w:szCs w:val="12"/>
          <w:color w:val="auto"/>
        </w:rPr>
      </w:pPr>
      <w:r>
        <w:rPr>
          <w:rFonts w:ascii="Arial" w:cs="Arial" w:eastAsia="Arial" w:hAnsi="Arial"/>
          <w:sz w:val="11"/>
          <w:szCs w:val="11"/>
          <w:color w:val="auto"/>
        </w:rPr>
        <w:t>(15)</w:t>
      </w:r>
    </w:p>
    <w:p>
      <w:pPr>
        <w:spacing w:after="0" w:line="53" w:lineRule="exact"/>
        <w:rPr>
          <w:rFonts w:ascii="Arial" w:cs="Arial" w:eastAsia="Arial" w:hAnsi="Arial"/>
          <w:sz w:val="12"/>
          <w:szCs w:val="12"/>
          <w:color w:val="auto"/>
        </w:rPr>
      </w:pPr>
    </w:p>
    <w:p>
      <w:pPr>
        <w:ind w:left="1067"/>
        <w:spacing w:after="0"/>
        <w:rPr>
          <w:rFonts w:ascii="Arial" w:cs="Arial" w:eastAsia="Arial" w:hAnsi="Arial"/>
          <w:sz w:val="12"/>
          <w:szCs w:val="12"/>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20955</wp:posOffset>
            </wp:positionV>
            <wp:extent cx="80073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00735" cy="5715"/>
                    </a:xfrm>
                    <a:prstGeom prst="rect">
                      <a:avLst/>
                    </a:prstGeom>
                    <a:noFill/>
                  </pic:spPr>
                </pic:pic>
              </a:graphicData>
            </a:graphic>
          </wp:anchor>
        </w:drawing>
      </w:r>
    </w:p>
    <w:p>
      <w:pPr>
        <w:spacing w:after="0" w:line="31" w:lineRule="exact"/>
        <w:rPr>
          <w:sz w:val="20"/>
          <w:szCs w:val="20"/>
          <w:color w:val="auto"/>
        </w:rPr>
      </w:pPr>
    </w:p>
    <w:p>
      <w:pPr>
        <w:ind w:left="1007" w:hanging="1007"/>
        <w:spacing w:after="0"/>
        <w:tabs>
          <w:tab w:leader="none" w:pos="1007" w:val="left"/>
        </w:tabs>
        <w:numPr>
          <w:ilvl w:val="0"/>
          <w:numId w:val="25"/>
        </w:numPr>
        <w:rPr>
          <w:rFonts w:ascii="Arial" w:cs="Arial" w:eastAsia="Arial" w:hAnsi="Arial"/>
          <w:sz w:val="12"/>
          <w:szCs w:val="12"/>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20955</wp:posOffset>
            </wp:positionV>
            <wp:extent cx="80073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00735" cy="571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32385</wp:posOffset>
            </wp:positionV>
            <wp:extent cx="80073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00735" cy="57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513" w:space="720"/>
            <w:col w:w="1247"/>
          </w:cols>
          <w:pgMar w:left="220" w:top="505" w:right="199" w:bottom="1440" w:gutter="0" w:footer="0" w:header="0"/>
          <w:type w:val="continuous"/>
        </w:sectPr>
      </w:pPr>
    </w:p>
    <w:p>
      <w:pPr>
        <w:spacing w:after="0" w:line="67" w:lineRule="exact"/>
        <w:rPr>
          <w:sz w:val="20"/>
          <w:szCs w:val="20"/>
          <w:color w:val="auto"/>
        </w:rPr>
      </w:pPr>
    </w:p>
    <w:p>
      <w:pPr>
        <w:ind w:left="260"/>
        <w:spacing w:after="0"/>
        <w:rPr>
          <w:sz w:val="20"/>
          <w:szCs w:val="20"/>
          <w:color w:val="auto"/>
        </w:rPr>
      </w:pPr>
      <w:r>
        <w:rPr>
          <w:rFonts w:ascii="Arial" w:cs="Arial" w:eastAsia="Arial" w:hAnsi="Arial"/>
          <w:sz w:val="10"/>
          <w:szCs w:val="10"/>
          <w:b w:val="1"/>
          <w:bCs w:val="1"/>
          <w:i w:val="1"/>
          <w:iCs w:val="1"/>
          <w:color w:val="auto"/>
        </w:rPr>
        <w:t>Net Cash Used In Investing Activities</w:t>
      </w:r>
    </w:p>
    <w:p>
      <w:pPr>
        <w:sectPr>
          <w:pgSz w:w="11900" w:h="16838" w:orient="portrait"/>
          <w:cols w:equalWidth="0" w:num="1">
            <w:col w:w="11480"/>
          </w:cols>
          <w:pgMar w:left="220" w:top="505" w:right="199" w:bottom="1440" w:gutter="0" w:footer="0" w:header="0"/>
          <w:type w:val="continuous"/>
        </w:sect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12"/>
          <w:szCs w:val="12"/>
          <w:color w:val="auto"/>
        </w:rPr>
        <w:t>Changes to net cash used in investing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7292340" cy="1200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2340" cy="12001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2"/>
          <w:szCs w:val="12"/>
          <w:color w:val="auto"/>
        </w:rPr>
        <w:t>Payment to acquire Central CA Fuel Cell 1, LLC in 2018</w:t>
      </w:r>
    </w:p>
    <w:p>
      <w:pPr>
        <w:spacing w:after="0" w:line="42" w:lineRule="exact"/>
        <w:rPr>
          <w:sz w:val="20"/>
          <w:szCs w:val="20"/>
          <w:color w:val="auto"/>
        </w:rPr>
      </w:pPr>
    </w:p>
    <w:p>
      <w:pPr>
        <w:ind w:left="20" w:right="1033"/>
        <w:spacing w:after="0" w:line="313" w:lineRule="auto"/>
        <w:rPr>
          <w:sz w:val="20"/>
          <w:szCs w:val="20"/>
          <w:color w:val="auto"/>
        </w:rPr>
      </w:pPr>
      <w:r>
        <w:rPr>
          <w:rFonts w:ascii="Arial" w:cs="Arial" w:eastAsia="Arial" w:hAnsi="Arial"/>
          <w:sz w:val="12"/>
          <w:szCs w:val="12"/>
          <w:color w:val="auto"/>
        </w:rPr>
        <w:t>Lower payments for the Buckthorn Solar Drop Down Asset and UPMC Thermal Project in 2018 compared to the payment made for the March 2017 Drop Down Assets in 2017 Decrease in capital expenditures driven primarily by the substantial completion of the Buckthorn Solar Drop Down Asset in May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7292340" cy="1143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ind w:left="20" w:right="4233"/>
        <w:spacing w:after="0" w:line="339" w:lineRule="auto"/>
        <w:rPr>
          <w:sz w:val="20"/>
          <w:szCs w:val="20"/>
          <w:color w:val="auto"/>
        </w:rPr>
      </w:pPr>
      <w:r>
        <w:rPr>
          <w:rFonts w:ascii="Arial" w:cs="Arial" w:eastAsia="Arial" w:hAnsi="Arial"/>
          <w:sz w:val="12"/>
          <w:szCs w:val="12"/>
          <w:color w:val="auto"/>
        </w:rPr>
        <w:t>Lower net investment in unconsolidated affiliates primarily in the DGPV partnerships with NRG during 2018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-138430</wp:posOffset>
            </wp:positionV>
            <wp:extent cx="7292340" cy="1143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ind w:left="627"/>
        <w:spacing w:after="0"/>
        <w:rPr>
          <w:sz w:val="20"/>
          <w:szCs w:val="20"/>
          <w:color w:val="auto"/>
        </w:rPr>
      </w:pPr>
      <w:r>
        <w:rPr>
          <w:rFonts w:ascii="Arial" w:cs="Arial" w:eastAsia="Arial" w:hAnsi="Arial"/>
          <w:sz w:val="8"/>
          <w:szCs w:val="8"/>
          <w:b w:val="1"/>
          <w:bCs w:val="1"/>
          <w:color w:val="auto"/>
        </w:rPr>
        <w:t>(In millions)</w:t>
      </w:r>
    </w:p>
    <w:p>
      <w:pPr>
        <w:spacing w:after="0" w:line="58" w:lineRule="exact"/>
        <w:rPr>
          <w:sz w:val="20"/>
          <w:szCs w:val="20"/>
          <w:color w:val="auto"/>
        </w:rPr>
      </w:pPr>
    </w:p>
    <w:p>
      <w:pPr>
        <w:ind w:left="987" w:hanging="987"/>
        <w:spacing w:after="0"/>
        <w:tabs>
          <w:tab w:leader="none" w:pos="987" w:val="left"/>
        </w:tabs>
        <w:numPr>
          <w:ilvl w:val="0"/>
          <w:numId w:val="26"/>
        </w:numPr>
        <w:rPr>
          <w:rFonts w:ascii="Arial" w:cs="Arial" w:eastAsia="Arial" w:hAnsi="Arial"/>
          <w:sz w:val="10"/>
          <w:szCs w:val="10"/>
          <w:color w:val="auto"/>
        </w:rPr>
      </w:pPr>
      <w:r>
        <w:rPr>
          <w:rFonts w:ascii="Arial" w:cs="Arial" w:eastAsia="Arial" w:hAnsi="Arial"/>
          <w:sz w:val="10"/>
          <w:szCs w:val="10"/>
          <w:color w:val="auto"/>
        </w:rPr>
        <w:t>(11)</w:t>
      </w:r>
    </w:p>
    <w:p>
      <w:pPr>
        <w:spacing w:after="0" w:line="65" w:lineRule="exact"/>
        <w:rPr>
          <w:rFonts w:ascii="Arial" w:cs="Arial" w:eastAsia="Arial" w:hAnsi="Arial"/>
          <w:sz w:val="10"/>
          <w:szCs w:val="10"/>
          <w:color w:val="auto"/>
        </w:rPr>
      </w:pPr>
    </w:p>
    <w:p>
      <w:pPr>
        <w:ind w:left="1067"/>
        <w:spacing w:after="0"/>
        <w:rPr>
          <w:rFonts w:ascii="Arial" w:cs="Arial" w:eastAsia="Arial" w:hAnsi="Arial"/>
          <w:sz w:val="10"/>
          <w:szCs w:val="10"/>
          <w:color w:val="auto"/>
        </w:rPr>
      </w:pPr>
      <w:r>
        <w:rPr>
          <w:rFonts w:ascii="Arial" w:cs="Arial" w:eastAsia="Arial" w:hAnsi="Arial"/>
          <w:sz w:val="12"/>
          <w:szCs w:val="12"/>
          <w:color w:val="auto"/>
        </w:rPr>
        <w:t>5</w:t>
      </w:r>
    </w:p>
    <w:p>
      <w:pPr>
        <w:spacing w:after="0" w:line="42" w:lineRule="exact"/>
        <w:rPr>
          <w:sz w:val="20"/>
          <w:szCs w:val="20"/>
          <w:color w:val="auto"/>
        </w:rPr>
      </w:pPr>
    </w:p>
    <w:p>
      <w:pPr>
        <w:jc w:val="right"/>
        <w:ind w:right="120"/>
        <w:spacing w:after="0"/>
        <w:rPr>
          <w:sz w:val="20"/>
          <w:szCs w:val="20"/>
          <w:color w:val="auto"/>
        </w:rPr>
      </w:pPr>
      <w:r>
        <w:rPr>
          <w:rFonts w:ascii="Arial" w:cs="Arial" w:eastAsia="Arial" w:hAnsi="Arial"/>
          <w:sz w:val="12"/>
          <w:szCs w:val="12"/>
          <w:color w:val="auto"/>
        </w:rPr>
        <w:t>15</w:t>
      </w:r>
    </w:p>
    <w:p>
      <w:pPr>
        <w:spacing w:after="0" w:line="42" w:lineRule="exact"/>
        <w:rPr>
          <w:sz w:val="20"/>
          <w:szCs w:val="20"/>
          <w:color w:val="auto"/>
        </w:rPr>
      </w:pPr>
    </w:p>
    <w:p>
      <w:pPr>
        <w:jc w:val="right"/>
        <w:ind w:right="120"/>
        <w:spacing w:after="0"/>
        <w:rPr>
          <w:sz w:val="20"/>
          <w:szCs w:val="20"/>
          <w:color w:val="auto"/>
        </w:rPr>
      </w:pPr>
      <w:r>
        <w:rPr>
          <w:rFonts w:ascii="Arial" w:cs="Arial" w:eastAsia="Arial" w:hAnsi="Arial"/>
          <w:sz w:val="12"/>
          <w:szCs w:val="12"/>
          <w:color w:val="auto"/>
        </w:rPr>
        <w:t>10</w:t>
      </w:r>
    </w:p>
    <w:p>
      <w:pPr>
        <w:spacing w:after="0" w:line="42" w:lineRule="exact"/>
        <w:rPr>
          <w:sz w:val="20"/>
          <w:szCs w:val="20"/>
          <w:color w:val="auto"/>
        </w:rPr>
      </w:pPr>
    </w:p>
    <w:p>
      <w:pPr>
        <w:jc w:val="right"/>
        <w:ind w:right="120"/>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20955</wp:posOffset>
            </wp:positionV>
            <wp:extent cx="80073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00735" cy="5715"/>
                    </a:xfrm>
                    <a:prstGeom prst="rect">
                      <a:avLst/>
                    </a:prstGeom>
                    <a:noFill/>
                  </pic:spPr>
                </pic:pic>
              </a:graphicData>
            </a:graphic>
          </wp:anchor>
        </w:drawing>
      </w:r>
    </w:p>
    <w:p>
      <w:pPr>
        <w:spacing w:after="0" w:line="31" w:lineRule="exact"/>
        <w:rPr>
          <w:sz w:val="20"/>
          <w:szCs w:val="20"/>
          <w:color w:val="auto"/>
        </w:rPr>
      </w:pPr>
    </w:p>
    <w:p>
      <w:pPr>
        <w:ind w:left="1007" w:hanging="1007"/>
        <w:spacing w:after="0"/>
        <w:tabs>
          <w:tab w:leader="none" w:pos="1007" w:val="left"/>
        </w:tabs>
        <w:numPr>
          <w:ilvl w:val="0"/>
          <w:numId w:val="27"/>
        </w:numPr>
        <w:rPr>
          <w:rFonts w:ascii="Arial" w:cs="Arial" w:eastAsia="Arial" w:hAnsi="Arial"/>
          <w:sz w:val="12"/>
          <w:szCs w:val="12"/>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20955</wp:posOffset>
            </wp:positionV>
            <wp:extent cx="800735"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00735" cy="571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32385</wp:posOffset>
            </wp:positionV>
            <wp:extent cx="800735"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00735" cy="57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513" w:space="720"/>
            <w:col w:w="1247"/>
          </w:cols>
          <w:pgMar w:left="220" w:top="505" w:right="199" w:bottom="1440" w:gutter="0" w:footer="0" w:header="0"/>
          <w:type w:val="continuous"/>
        </w:sectPr>
      </w:pP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0220" w:type="dxa"/>
            <w:vAlign w:val="bottom"/>
          </w:tcPr>
          <w:p>
            <w:pPr>
              <w:ind w:left="260"/>
              <w:spacing w:after="0"/>
              <w:rPr>
                <w:sz w:val="20"/>
                <w:szCs w:val="20"/>
                <w:color w:val="auto"/>
              </w:rPr>
            </w:pPr>
            <w:r>
              <w:rPr>
                <w:rFonts w:ascii="Arial" w:cs="Arial" w:eastAsia="Arial" w:hAnsi="Arial"/>
                <w:sz w:val="12"/>
                <w:szCs w:val="12"/>
                <w:b w:val="1"/>
                <w:bCs w:val="1"/>
                <w:i w:val="1"/>
                <w:iCs w:val="1"/>
                <w:color w:val="auto"/>
              </w:rPr>
              <w:t>Net Cash Used in Financing Activities</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374"/>
        </w:trPr>
        <w:tc>
          <w:tcPr>
            <w:tcW w:w="102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Changes in net cash used in financing activities were driven by:</w:t>
            </w: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1"/>
              <w:spacing w:after="0"/>
              <w:rPr>
                <w:sz w:val="20"/>
                <w:szCs w:val="20"/>
                <w:color w:val="auto"/>
              </w:rPr>
            </w:pPr>
            <w:r>
              <w:rPr>
                <w:rFonts w:ascii="Arial" w:cs="Arial" w:eastAsia="Arial" w:hAnsi="Arial"/>
                <w:sz w:val="10"/>
                <w:szCs w:val="10"/>
                <w:b w:val="1"/>
                <w:bCs w:val="1"/>
                <w:color w:val="auto"/>
              </w:rPr>
              <w:t>(In millions)</w:t>
            </w:r>
          </w:p>
        </w:tc>
      </w:tr>
      <w:tr>
        <w:trPr>
          <w:trHeight w:val="173"/>
        </w:trPr>
        <w:tc>
          <w:tcPr>
            <w:tcW w:w="10220" w:type="dxa"/>
            <w:vAlign w:val="bottom"/>
            <w:shd w:val="clear" w:color="auto" w:fill="CCEEFF"/>
          </w:tcPr>
          <w:p>
            <w:pPr>
              <w:ind w:left="20"/>
              <w:spacing w:after="0"/>
              <w:rPr>
                <w:sz w:val="20"/>
                <w:szCs w:val="20"/>
                <w:color w:val="auto"/>
              </w:rPr>
            </w:pPr>
            <w:r>
              <w:rPr>
                <w:rFonts w:ascii="Arial" w:cs="Arial" w:eastAsia="Arial" w:hAnsi="Arial"/>
                <w:sz w:val="12"/>
                <w:szCs w:val="12"/>
                <w:color w:val="auto"/>
              </w:rPr>
              <w:t>Lower distributions, net of contributions to NRG for the Drop Down Assets relating to the pre-acquisition period in 2018 compared to 2017</w:t>
            </w: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26</w:t>
            </w:r>
          </w:p>
        </w:tc>
      </w:tr>
      <w:tr>
        <w:trPr>
          <w:trHeight w:val="171"/>
        </w:trPr>
        <w:tc>
          <w:tcPr>
            <w:tcW w:w="10220" w:type="dxa"/>
            <w:vAlign w:val="bottom"/>
          </w:tcPr>
          <w:p>
            <w:pPr>
              <w:ind w:left="20"/>
              <w:spacing w:after="0"/>
              <w:rPr>
                <w:sz w:val="20"/>
                <w:szCs w:val="20"/>
                <w:color w:val="auto"/>
              </w:rPr>
            </w:pPr>
            <w:r>
              <w:rPr>
                <w:rFonts w:ascii="Arial" w:cs="Arial" w:eastAsia="Arial" w:hAnsi="Arial"/>
                <w:sz w:val="12"/>
                <w:szCs w:val="12"/>
                <w:color w:val="auto"/>
              </w:rPr>
              <w:t>Net repayments under the revolving credit facility in 2018</w:t>
            </w:r>
          </w:p>
        </w:tc>
        <w:tc>
          <w:tcPr>
            <w:tcW w:w="360" w:type="dxa"/>
            <w:vAlign w:val="bottom"/>
          </w:tcPr>
          <w:p>
            <w:pPr>
              <w:spacing w:after="0"/>
              <w:rPr>
                <w:sz w:val="14"/>
                <w:szCs w:val="14"/>
                <w:color w:val="auto"/>
              </w:rPr>
            </w:pPr>
          </w:p>
        </w:tc>
        <w:tc>
          <w:tcPr>
            <w:tcW w:w="900" w:type="dxa"/>
            <w:vAlign w:val="bottom"/>
          </w:tcPr>
          <w:p>
            <w:pPr>
              <w:jc w:val="right"/>
              <w:ind w:right="21"/>
              <w:spacing w:after="0"/>
              <w:rPr>
                <w:sz w:val="20"/>
                <w:szCs w:val="20"/>
                <w:color w:val="auto"/>
              </w:rPr>
            </w:pPr>
            <w:r>
              <w:rPr>
                <w:rFonts w:ascii="Arial" w:cs="Arial" w:eastAsia="Arial" w:hAnsi="Arial"/>
                <w:sz w:val="12"/>
                <w:szCs w:val="12"/>
                <w:color w:val="auto"/>
              </w:rPr>
              <w:t>(55)</w:t>
            </w:r>
          </w:p>
        </w:tc>
      </w:tr>
      <w:tr>
        <w:trPr>
          <w:trHeight w:val="189"/>
        </w:trPr>
        <w:tc>
          <w:tcPr>
            <w:tcW w:w="10220" w:type="dxa"/>
            <w:vAlign w:val="bottom"/>
            <w:shd w:val="clear" w:color="auto" w:fill="CCEEFF"/>
          </w:tcPr>
          <w:p>
            <w:pPr>
              <w:ind w:left="20"/>
              <w:spacing w:after="0"/>
              <w:rPr>
                <w:sz w:val="20"/>
                <w:szCs w:val="20"/>
                <w:color w:val="auto"/>
              </w:rPr>
            </w:pPr>
            <w:r>
              <w:rPr>
                <w:rFonts w:ascii="Arial" w:cs="Arial" w:eastAsia="Arial" w:hAnsi="Arial"/>
                <w:sz w:val="12"/>
                <w:szCs w:val="12"/>
                <w:color w:val="auto"/>
              </w:rPr>
              <w:t xml:space="preserve">Increase in net contributions from noncontrolling interests primarily from Buckthorn Holdings, LLC's Class A member in 2018, as described in Note 3, </w:t>
            </w:r>
            <w:r>
              <w:rPr>
                <w:rFonts w:ascii="Arial" w:cs="Arial" w:eastAsia="Arial" w:hAnsi="Arial"/>
                <w:sz w:val="12"/>
                <w:szCs w:val="12"/>
                <w:i w:val="1"/>
                <w:iCs w:val="1"/>
                <w:color w:val="auto"/>
              </w:rPr>
              <w:t>Business Acquisitions</w:t>
            </w: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79</w:t>
            </w:r>
          </w:p>
        </w:tc>
      </w:tr>
      <w:tr>
        <w:trPr>
          <w:trHeight w:val="171"/>
        </w:trPr>
        <w:tc>
          <w:tcPr>
            <w:tcW w:w="10220" w:type="dxa"/>
            <w:vAlign w:val="bottom"/>
          </w:tcPr>
          <w:p>
            <w:pPr>
              <w:ind w:left="20"/>
              <w:spacing w:after="0"/>
              <w:rPr>
                <w:sz w:val="20"/>
                <w:szCs w:val="20"/>
                <w:color w:val="auto"/>
              </w:rPr>
            </w:pPr>
            <w:r>
              <w:rPr>
                <w:rFonts w:ascii="Arial" w:cs="Arial" w:eastAsia="Arial" w:hAnsi="Arial"/>
                <w:sz w:val="12"/>
                <w:szCs w:val="12"/>
                <w:color w:val="auto"/>
              </w:rPr>
              <w:t>Higher net proceeds from the NRG Yield, Inc. Class C common stock offerings under the ATM Program in the first half of 2018 compared to the same period in 2017</w:t>
            </w:r>
          </w:p>
        </w:tc>
        <w:tc>
          <w:tcPr>
            <w:tcW w:w="360" w:type="dxa"/>
            <w:vAlign w:val="bottom"/>
          </w:tcPr>
          <w:p>
            <w:pPr>
              <w:spacing w:after="0"/>
              <w:rPr>
                <w:sz w:val="14"/>
                <w:szCs w:val="14"/>
                <w:color w:val="auto"/>
              </w:rPr>
            </w:pPr>
          </w:p>
        </w:tc>
        <w:tc>
          <w:tcPr>
            <w:tcW w:w="900" w:type="dxa"/>
            <w:vAlign w:val="bottom"/>
          </w:tcPr>
          <w:p>
            <w:pPr>
              <w:jc w:val="right"/>
              <w:ind w:right="61"/>
              <w:spacing w:after="0"/>
              <w:rPr>
                <w:sz w:val="20"/>
                <w:szCs w:val="20"/>
                <w:color w:val="auto"/>
              </w:rPr>
            </w:pPr>
            <w:r>
              <w:rPr>
                <w:rFonts w:ascii="Arial" w:cs="Arial" w:eastAsia="Arial" w:hAnsi="Arial"/>
                <w:sz w:val="12"/>
                <w:szCs w:val="12"/>
                <w:color w:val="auto"/>
              </w:rPr>
              <w:t>59</w:t>
            </w:r>
          </w:p>
        </w:tc>
      </w:tr>
      <w:tr>
        <w:trPr>
          <w:trHeight w:val="189"/>
        </w:trPr>
        <w:tc>
          <w:tcPr>
            <w:tcW w:w="10220" w:type="dxa"/>
            <w:vAlign w:val="bottom"/>
            <w:shd w:val="clear" w:color="auto" w:fill="CCEEFF"/>
          </w:tcPr>
          <w:p>
            <w:pPr>
              <w:ind w:left="20"/>
              <w:spacing w:after="0"/>
              <w:rPr>
                <w:sz w:val="20"/>
                <w:szCs w:val="20"/>
                <w:color w:val="auto"/>
              </w:rPr>
            </w:pPr>
            <w:r>
              <w:rPr>
                <w:rFonts w:ascii="Arial" w:cs="Arial" w:eastAsia="Arial" w:hAnsi="Arial"/>
                <w:sz w:val="12"/>
                <w:szCs w:val="12"/>
                <w:color w:val="auto"/>
              </w:rPr>
              <w:t xml:space="preserve">Net proceeds from the refinancing of the Thermal note purchase and private shelf agreement, as described in Note 7, </w:t>
            </w:r>
            <w:r>
              <w:rPr>
                <w:rFonts w:ascii="Arial" w:cs="Arial" w:eastAsia="Arial" w:hAnsi="Arial"/>
                <w:sz w:val="12"/>
                <w:szCs w:val="12"/>
                <w:i w:val="1"/>
                <w:iCs w:val="1"/>
                <w:color w:val="auto"/>
              </w:rPr>
              <w:t>Long-term Debt</w:t>
            </w: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120</w:t>
            </w:r>
          </w:p>
        </w:tc>
      </w:tr>
      <w:tr>
        <w:trPr>
          <w:trHeight w:val="171"/>
        </w:trPr>
        <w:tc>
          <w:tcPr>
            <w:tcW w:w="10220" w:type="dxa"/>
            <w:vAlign w:val="bottom"/>
          </w:tcPr>
          <w:p>
            <w:pPr>
              <w:ind w:left="20"/>
              <w:spacing w:after="0"/>
              <w:rPr>
                <w:sz w:val="20"/>
                <w:szCs w:val="20"/>
                <w:color w:val="auto"/>
              </w:rPr>
            </w:pPr>
            <w:r>
              <w:rPr>
                <w:rFonts w:ascii="Arial" w:cs="Arial" w:eastAsia="Arial" w:hAnsi="Arial"/>
                <w:sz w:val="12"/>
                <w:szCs w:val="12"/>
                <w:color w:val="auto"/>
              </w:rPr>
              <w:t>Conversion of the Buckthorn Solar Portfolio, LLC Construction Loan to a term loan in 2018</w:t>
            </w:r>
          </w:p>
        </w:tc>
        <w:tc>
          <w:tcPr>
            <w:tcW w:w="360" w:type="dxa"/>
            <w:vAlign w:val="bottom"/>
          </w:tcPr>
          <w:p>
            <w:pPr>
              <w:spacing w:after="0"/>
              <w:rPr>
                <w:sz w:val="14"/>
                <w:szCs w:val="14"/>
                <w:color w:val="auto"/>
              </w:rPr>
            </w:pPr>
          </w:p>
        </w:tc>
        <w:tc>
          <w:tcPr>
            <w:tcW w:w="900" w:type="dxa"/>
            <w:vAlign w:val="bottom"/>
          </w:tcPr>
          <w:p>
            <w:pPr>
              <w:jc w:val="right"/>
              <w:ind w:right="21"/>
              <w:spacing w:after="0"/>
              <w:rPr>
                <w:sz w:val="20"/>
                <w:szCs w:val="20"/>
                <w:color w:val="auto"/>
              </w:rPr>
            </w:pPr>
            <w:r>
              <w:rPr>
                <w:rFonts w:ascii="Arial" w:cs="Arial" w:eastAsia="Arial" w:hAnsi="Arial"/>
                <w:sz w:val="12"/>
                <w:szCs w:val="12"/>
                <w:color w:val="auto"/>
              </w:rPr>
              <w:t>(98)</w:t>
            </w:r>
          </w:p>
        </w:tc>
      </w:tr>
      <w:tr>
        <w:trPr>
          <w:trHeight w:val="180"/>
        </w:trPr>
        <w:tc>
          <w:tcPr>
            <w:tcW w:w="102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Increase in dividends paid to common stockholders, as declared dividends per share increased by 15% from 2017 to 2018</w:t>
            </w:r>
          </w:p>
        </w:tc>
        <w:tc>
          <w:tcPr>
            <w:tcW w:w="3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(16)</w:t>
            </w:r>
          </w:p>
        </w:tc>
      </w:tr>
      <w:tr>
        <w:trPr>
          <w:trHeight w:val="185"/>
        </w:trPr>
        <w:tc>
          <w:tcPr>
            <w:tcW w:w="10220" w:type="dxa"/>
            <w:vAlign w:val="bottom"/>
          </w:tcPr>
          <w:p>
            <w:pPr>
              <w:spacing w:after="0"/>
              <w:rPr>
                <w:sz w:val="16"/>
                <w:szCs w:val="16"/>
                <w:color w:val="auto"/>
              </w:rPr>
            </w:pP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115</w:t>
            </w:r>
          </w:p>
        </w:tc>
      </w:tr>
      <w:tr>
        <w:trPr>
          <w:trHeight w:val="666"/>
        </w:trPr>
        <w:tc>
          <w:tcPr>
            <w:tcW w:w="10220" w:type="dxa"/>
            <w:vAlign w:val="bottom"/>
          </w:tcPr>
          <w:p>
            <w:pPr>
              <w:ind w:left="5680"/>
              <w:spacing w:after="0"/>
              <w:rPr>
                <w:sz w:val="20"/>
                <w:szCs w:val="20"/>
                <w:color w:val="auto"/>
              </w:rPr>
            </w:pPr>
            <w:r>
              <w:rPr>
                <w:rFonts w:ascii="Arial" w:cs="Arial" w:eastAsia="Arial" w:hAnsi="Arial"/>
                <w:sz w:val="12"/>
                <w:szCs w:val="12"/>
                <w:color w:val="auto"/>
              </w:rPr>
              <w:t>48</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80"/>
          </w:cols>
          <w:pgMar w:left="220" w:top="505" w:right="19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2"/>
          <w:szCs w:val="12"/>
          <w:b w:val="1"/>
          <w:bCs w:val="1"/>
          <w:color w:val="auto"/>
        </w:rPr>
        <w:t>NOLs, Deferred Tax Assets and Uncertain Tax Position Implications, under ASC 740</w:t>
      </w:r>
    </w:p>
    <w:p>
      <w:pPr>
        <w:spacing w:after="0" w:line="118" w:lineRule="exact"/>
        <w:rPr>
          <w:sz w:val="20"/>
          <w:szCs w:val="20"/>
          <w:color w:val="auto"/>
        </w:rPr>
      </w:pPr>
    </w:p>
    <w:p>
      <w:pPr>
        <w:jc w:val="both"/>
        <w:ind w:firstLine="288"/>
        <w:spacing w:after="0" w:line="259" w:lineRule="auto"/>
        <w:rPr>
          <w:sz w:val="20"/>
          <w:szCs w:val="20"/>
          <w:color w:val="auto"/>
        </w:rPr>
      </w:pPr>
      <w:r>
        <w:rPr>
          <w:rFonts w:ascii="Arial" w:cs="Arial" w:eastAsia="Arial" w:hAnsi="Arial"/>
          <w:sz w:val="12"/>
          <w:szCs w:val="12"/>
          <w:color w:val="auto"/>
        </w:rPr>
        <w:t>As of December 31, 2017, the Company has a cumulative federal NOL carry forward balance of $870 million for financial statement purposes, which will begin expiring in 2033, and does not anticipate any federal income tax payments for 2018. As a result of the Company's tax position, and based on current forecasts, the Company does not anticipate significant income tax payments for state and local jurisdictions in 2018. Based on the Company's current and expected NOL balances generated primarily by accelerated tax depreciation of its property, plant and equipment, the Company does not expect to pay significant federal income tax for a period of approximately ten years inclusive of any NOL generated in 2018 or later subject to an 80% limitation against future taxable income pursuant to the Tax Cuts and Jobs Act.</w:t>
      </w:r>
    </w:p>
    <w:p>
      <w:pPr>
        <w:spacing w:after="0" w:line="89" w:lineRule="exact"/>
        <w:rPr>
          <w:sz w:val="20"/>
          <w:szCs w:val="20"/>
          <w:color w:val="auto"/>
        </w:rPr>
      </w:pPr>
    </w:p>
    <w:p>
      <w:pPr>
        <w:ind w:right="60" w:firstLine="288"/>
        <w:spacing w:after="0" w:line="276" w:lineRule="auto"/>
        <w:rPr>
          <w:sz w:val="20"/>
          <w:szCs w:val="20"/>
          <w:color w:val="auto"/>
        </w:rPr>
      </w:pPr>
      <w:r>
        <w:rPr>
          <w:rFonts w:ascii="Arial" w:cs="Arial" w:eastAsia="Arial" w:hAnsi="Arial"/>
          <w:sz w:val="12"/>
          <w:szCs w:val="12"/>
          <w:color w:val="auto"/>
        </w:rPr>
        <w:t>The Company is subject to examination by taxing authorities for income tax returns filed in the U.S. federal jurisdiction and various state jurisdictions. The Company is not subject to U.S. federal or state income tax examinations for years prior to 2013.</w:t>
      </w:r>
    </w:p>
    <w:p>
      <w:pPr>
        <w:spacing w:after="0" w:line="7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Company has no uncertain tax benefits.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Off-Balance Sheet Arrangements</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Obligations under Certain Guarantee Contracts</w:t>
      </w:r>
    </w:p>
    <w:p>
      <w:pPr>
        <w:spacing w:after="0" w:line="96" w:lineRule="exact"/>
        <w:rPr>
          <w:sz w:val="20"/>
          <w:szCs w:val="20"/>
          <w:color w:val="auto"/>
        </w:rPr>
      </w:pPr>
    </w:p>
    <w:p>
      <w:pPr>
        <w:ind w:left="260"/>
        <w:spacing w:after="0"/>
        <w:rPr>
          <w:sz w:val="20"/>
          <w:szCs w:val="20"/>
          <w:color w:val="auto"/>
        </w:rPr>
      </w:pPr>
      <w:r>
        <w:rPr>
          <w:rFonts w:ascii="Arial" w:cs="Arial" w:eastAsia="Arial" w:hAnsi="Arial"/>
          <w:sz w:val="12"/>
          <w:szCs w:val="12"/>
          <w:color w:val="231F20"/>
        </w:rPr>
        <w:t>The Company may enter into guarantee arrangements in the normal course of business to facilitate commercial transactions with third parties.</w:t>
      </w:r>
    </w:p>
    <w:p>
      <w:pPr>
        <w:spacing w:after="0" w:line="96"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Retained or Contingent Interests</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Company does not have any material retained or contingent interests in assets transferred to an unconsolidated entity.</w:t>
      </w:r>
    </w:p>
    <w:p>
      <w:pPr>
        <w:spacing w:after="0" w:line="96"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Obligations Arising Out of a Variable Interest in an Unconsolidated Entity</w:t>
      </w:r>
    </w:p>
    <w:p>
      <w:pPr>
        <w:spacing w:after="0" w:line="96" w:lineRule="exact"/>
        <w:rPr>
          <w:sz w:val="20"/>
          <w:szCs w:val="20"/>
          <w:color w:val="auto"/>
        </w:rPr>
      </w:pPr>
    </w:p>
    <w:p>
      <w:pPr>
        <w:jc w:val="both"/>
        <w:ind w:firstLine="270"/>
        <w:spacing w:after="0" w:line="323" w:lineRule="auto"/>
        <w:rPr>
          <w:sz w:val="20"/>
          <w:szCs w:val="20"/>
          <w:color w:val="auto"/>
        </w:rPr>
      </w:pPr>
      <w:r>
        <w:rPr>
          <w:rFonts w:ascii="Arial" w:cs="Arial" w:eastAsia="Arial" w:hAnsi="Arial"/>
          <w:sz w:val="11"/>
          <w:szCs w:val="11"/>
          <w:i w:val="1"/>
          <w:iCs w:val="1"/>
          <w:color w:val="auto"/>
        </w:rPr>
        <w:t xml:space="preserve">Variable interest in equity investments </w:t>
      </w:r>
      <w:r>
        <w:rPr>
          <w:rFonts w:ascii="Arial" w:cs="Arial" w:eastAsia="Arial" w:hAnsi="Arial"/>
          <w:sz w:val="11"/>
          <w:szCs w:val="11"/>
          <w:color w:val="auto"/>
        </w:rPr>
        <w:t>— As of June 30, 2018, the Company has several investments with an ownership interest percentage of 50% or less in energy and energy-related entities that are accounted for under the equity</w:t>
      </w:r>
      <w:r>
        <w:rPr>
          <w:rFonts w:ascii="Arial" w:cs="Arial" w:eastAsia="Arial" w:hAnsi="Arial"/>
          <w:sz w:val="11"/>
          <w:szCs w:val="11"/>
          <w:i w:val="1"/>
          <w:iCs w:val="1"/>
          <w:color w:val="auto"/>
        </w:rPr>
        <w:t xml:space="preserve"> </w:t>
      </w:r>
      <w:r>
        <w:rPr>
          <w:rFonts w:ascii="Arial" w:cs="Arial" w:eastAsia="Arial" w:hAnsi="Arial"/>
          <w:sz w:val="11"/>
          <w:szCs w:val="11"/>
          <w:color w:val="auto"/>
        </w:rPr>
        <w:t>method. Utah Solar Portfolio, GenConn, DGPV Holdco 1, RPV Holdco, DGPV Holdco 2, and DGPV Holdco 3 are variable interest entities for which the Company is not the primary beneficiary.</w:t>
      </w:r>
    </w:p>
    <w:p>
      <w:pPr>
        <w:spacing w:after="0" w:line="38" w:lineRule="exact"/>
        <w:rPr>
          <w:sz w:val="20"/>
          <w:szCs w:val="20"/>
          <w:color w:val="auto"/>
        </w:rPr>
      </w:pPr>
    </w:p>
    <w:p>
      <w:pPr>
        <w:jc w:val="both"/>
        <w:ind w:firstLine="288"/>
        <w:spacing w:after="0" w:line="276" w:lineRule="auto"/>
        <w:rPr>
          <w:sz w:val="20"/>
          <w:szCs w:val="20"/>
          <w:color w:val="auto"/>
        </w:rPr>
      </w:pPr>
      <w:r>
        <w:rPr>
          <w:rFonts w:ascii="Arial" w:cs="Arial" w:eastAsia="Arial" w:hAnsi="Arial"/>
          <w:sz w:val="12"/>
          <w:szCs w:val="12"/>
          <w:color w:val="auto"/>
        </w:rPr>
        <w:t>The Company's pro-rata share of non-recourse debt held by unconsolidated affiliates was approximately $814 million as of June 30, 2018. This indebtedness may restrict the ability of these subsidiaries to issue dividends or distributions to the Company.</w:t>
      </w:r>
    </w:p>
    <w:p>
      <w:pPr>
        <w:spacing w:after="0" w:line="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Contractual Obligations and Commercial Commitments</w:t>
      </w:r>
    </w:p>
    <w:p>
      <w:pPr>
        <w:spacing w:after="0" w:line="100" w:lineRule="exact"/>
        <w:rPr>
          <w:sz w:val="20"/>
          <w:szCs w:val="20"/>
          <w:color w:val="auto"/>
        </w:rPr>
      </w:pPr>
    </w:p>
    <w:p>
      <w:pPr>
        <w:jc w:val="both"/>
        <w:ind w:firstLine="288"/>
        <w:spacing w:after="0" w:line="276" w:lineRule="auto"/>
        <w:rPr>
          <w:sz w:val="20"/>
          <w:szCs w:val="20"/>
          <w:color w:val="auto"/>
        </w:rPr>
      </w:pPr>
      <w:r>
        <w:rPr>
          <w:rFonts w:ascii="Arial" w:cs="Arial" w:eastAsia="Arial" w:hAnsi="Arial"/>
          <w:sz w:val="12"/>
          <w:szCs w:val="12"/>
          <w:color w:val="auto"/>
        </w:rPr>
        <w:t xml:space="preserve">The Company has a variety of contractual obligations and other commercial commitments that represent prospective cash requirements in addition to the Company's capital expenditure programs, as disclosed in the Company's 2017 Form 10-K. See also Note 3, </w:t>
      </w:r>
      <w:r>
        <w:rPr>
          <w:rFonts w:ascii="Arial" w:cs="Arial" w:eastAsia="Arial" w:hAnsi="Arial"/>
          <w:sz w:val="12"/>
          <w:szCs w:val="12"/>
          <w:i w:val="1"/>
          <w:iCs w:val="1"/>
          <w:color w:val="auto"/>
        </w:rPr>
        <w:t>Business Acquisitions</w:t>
      </w:r>
      <w:r>
        <w:rPr>
          <w:rFonts w:ascii="Arial" w:cs="Arial" w:eastAsia="Arial" w:hAnsi="Arial"/>
          <w:sz w:val="12"/>
          <w:szCs w:val="12"/>
          <w:color w:val="auto"/>
        </w:rPr>
        <w:t xml:space="preserve"> to this Form 10-Q for a discussion of additional contingencies that occurred during 2018.</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Fair Value of Derivative Instruments</w:t>
      </w:r>
    </w:p>
    <w:p>
      <w:pPr>
        <w:spacing w:after="0" w:line="100"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231F20"/>
        </w:rPr>
        <w:t>The Company may enter into fuel purchase contracts and other energy-related derivative instruments to mitigate variability in earnings due to fluctuations in spot market prices and to hedge fuel requirements at certain generation facilities. In addition, in order to mitigate interest rate risk associated with the issuance of variable rate debt, the Company enters into interest rate swap agreements.</w:t>
      </w:r>
    </w:p>
    <w:p>
      <w:pPr>
        <w:spacing w:after="0" w:line="61"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Arial" w:cs="Arial" w:eastAsia="Arial" w:hAnsi="Arial"/>
          <w:sz w:val="12"/>
          <w:szCs w:val="12"/>
          <w:color w:val="000000"/>
        </w:rPr>
        <w:t>June 30, 2018</w:t>
      </w:r>
      <w:r>
        <w:rPr>
          <w:rFonts w:ascii="Arial" w:cs="Arial" w:eastAsia="Arial" w:hAnsi="Arial"/>
          <w:sz w:val="12"/>
          <w:szCs w:val="12"/>
          <w:color w:val="231F20"/>
        </w:rPr>
        <w:t xml:space="preserve">, based on their level within the fair value hierarchy defined in ASC 820; and indicate the maturities of contracts at </w:t>
      </w:r>
      <w:r>
        <w:rPr>
          <w:rFonts w:ascii="Arial" w:cs="Arial" w:eastAsia="Arial" w:hAnsi="Arial"/>
          <w:sz w:val="12"/>
          <w:szCs w:val="12"/>
          <w:color w:val="000000"/>
        </w:rPr>
        <w:t>June 30, 2018</w:t>
      </w:r>
      <w:r>
        <w:rPr>
          <w:rFonts w:ascii="Arial" w:cs="Arial" w:eastAsia="Arial" w:hAnsi="Arial"/>
          <w:sz w:val="12"/>
          <w:szCs w:val="12"/>
          <w:color w:val="231F20"/>
        </w:rPr>
        <w:t xml:space="preserve">. For a full discussion of the Company's valuation methodology of its contracts, see </w:t>
      </w:r>
      <w:r>
        <w:rPr>
          <w:rFonts w:ascii="Arial" w:cs="Arial" w:eastAsia="Arial" w:hAnsi="Arial"/>
          <w:sz w:val="12"/>
          <w:szCs w:val="12"/>
          <w:i w:val="1"/>
          <w:iCs w:val="1"/>
          <w:color w:val="231F20"/>
        </w:rPr>
        <w:t>Derivative Fair Value Measurements</w:t>
      </w:r>
      <w:r>
        <w:rPr>
          <w:rFonts w:ascii="Arial" w:cs="Arial" w:eastAsia="Arial" w:hAnsi="Arial"/>
          <w:sz w:val="12"/>
          <w:szCs w:val="12"/>
          <w:color w:val="231F20"/>
        </w:rPr>
        <w:t xml:space="preserve"> in Item — 1 </w:t>
      </w:r>
      <w:r>
        <w:rPr>
          <w:rFonts w:ascii="Arial" w:cs="Arial" w:eastAsia="Arial" w:hAnsi="Arial"/>
          <w:sz w:val="12"/>
          <w:szCs w:val="12"/>
          <w:color w:val="000000"/>
        </w:rPr>
        <w:t>Note 5</w:t>
      </w:r>
      <w:r>
        <w:rPr>
          <w:rFonts w:ascii="Arial" w:cs="Arial" w:eastAsia="Arial" w:hAnsi="Arial"/>
          <w:sz w:val="12"/>
          <w:szCs w:val="12"/>
          <w:color w:val="231F20"/>
        </w:rPr>
        <w:t xml:space="preserve">, </w:t>
      </w:r>
      <w:r>
        <w:rPr>
          <w:rFonts w:ascii="Arial" w:cs="Arial" w:eastAsia="Arial" w:hAnsi="Arial"/>
          <w:sz w:val="12"/>
          <w:szCs w:val="12"/>
          <w:i w:val="1"/>
          <w:iCs w:val="1"/>
          <w:color w:val="000000"/>
        </w:rPr>
        <w:t>Fair Value of Financial Instruments</w:t>
      </w:r>
      <w:r>
        <w:rPr>
          <w:rFonts w:ascii="Arial" w:cs="Arial" w:eastAsia="Arial" w:hAnsi="Arial"/>
          <w:sz w:val="12"/>
          <w:szCs w:val="12"/>
          <w:color w:val="231F20"/>
        </w:rPr>
        <w:t>.</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280" w:type="dxa"/>
            <w:vAlign w:val="bottom"/>
            <w:gridSpan w:val="3"/>
          </w:tcPr>
          <w:p>
            <w:pPr>
              <w:ind w:left="20"/>
              <w:spacing w:after="0"/>
              <w:rPr>
                <w:sz w:val="20"/>
                <w:szCs w:val="20"/>
                <w:color w:val="auto"/>
              </w:rPr>
            </w:pPr>
            <w:r>
              <w:rPr>
                <w:rFonts w:ascii="Arial" w:cs="Arial" w:eastAsia="Arial" w:hAnsi="Arial"/>
                <w:sz w:val="10"/>
                <w:szCs w:val="10"/>
                <w:b w:val="1"/>
                <w:bCs w:val="1"/>
                <w:color w:val="auto"/>
              </w:rPr>
              <w:t>Derivative Activity (Losses)/Gains</w:t>
            </w:r>
          </w:p>
        </w:tc>
        <w:tc>
          <w:tcPr>
            <w:tcW w:w="6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jc w:val="right"/>
              <w:ind w:right="262"/>
              <w:spacing w:after="0"/>
              <w:rPr>
                <w:sz w:val="20"/>
                <w:szCs w:val="20"/>
                <w:color w:val="auto"/>
              </w:rPr>
            </w:pPr>
            <w:r>
              <w:rPr>
                <w:rFonts w:ascii="Arial" w:cs="Arial" w:eastAsia="Arial" w:hAnsi="Arial"/>
                <w:sz w:val="10"/>
                <w:szCs w:val="10"/>
                <w:b w:val="1"/>
                <w:bCs w:val="1"/>
                <w:color w:val="auto"/>
              </w:rPr>
              <w:t>(In millions)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80" w:type="dxa"/>
            <w:vAlign w:val="bottom"/>
            <w:tcBorders>
              <w:top w:val="single" w:sz="8" w:color="auto"/>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56"/>
        </w:trPr>
        <w:tc>
          <w:tcPr>
            <w:tcW w:w="42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Fair value of contracts as of December 31, 2017</w:t>
            </w:r>
          </w:p>
        </w:tc>
        <w:tc>
          <w:tcPr>
            <w:tcW w:w="6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(47)</w:t>
            </w:r>
          </w:p>
        </w:tc>
      </w:tr>
      <w:tr>
        <w:trPr>
          <w:trHeight w:val="171"/>
        </w:trPr>
        <w:tc>
          <w:tcPr>
            <w:tcW w:w="20" w:type="dxa"/>
            <w:vAlign w:val="bottom"/>
          </w:tcPr>
          <w:p>
            <w:pPr>
              <w:spacing w:after="0"/>
              <w:rPr>
                <w:sz w:val="14"/>
                <w:szCs w:val="14"/>
                <w:color w:val="auto"/>
              </w:rPr>
            </w:pPr>
          </w:p>
        </w:tc>
        <w:tc>
          <w:tcPr>
            <w:tcW w:w="4260" w:type="dxa"/>
            <w:vAlign w:val="bottom"/>
            <w:gridSpan w:val="2"/>
          </w:tcPr>
          <w:p>
            <w:pPr>
              <w:ind w:left="160"/>
              <w:spacing w:after="0"/>
              <w:rPr>
                <w:sz w:val="20"/>
                <w:szCs w:val="20"/>
                <w:color w:val="auto"/>
              </w:rPr>
            </w:pPr>
            <w:r>
              <w:rPr>
                <w:rFonts w:ascii="Arial" w:cs="Arial" w:eastAsia="Arial" w:hAnsi="Arial"/>
                <w:sz w:val="12"/>
                <w:szCs w:val="12"/>
                <w:color w:val="auto"/>
              </w:rPr>
              <w:t>Contracts realized or otherwise settled during the period</w:t>
            </w:r>
          </w:p>
        </w:tc>
        <w:tc>
          <w:tcPr>
            <w:tcW w:w="6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8</w:t>
            </w:r>
          </w:p>
        </w:tc>
      </w:tr>
      <w:tr>
        <w:trPr>
          <w:trHeight w:val="180"/>
        </w:trPr>
        <w:tc>
          <w:tcPr>
            <w:tcW w:w="20" w:type="dxa"/>
            <w:vAlign w:val="bottom"/>
            <w:shd w:val="clear" w:color="auto" w:fill="CCEEFF"/>
          </w:tcPr>
          <w:p>
            <w:pPr>
              <w:spacing w:after="0"/>
              <w:rPr>
                <w:sz w:val="15"/>
                <w:szCs w:val="15"/>
                <w:color w:val="auto"/>
              </w:rPr>
            </w:pPr>
          </w:p>
        </w:tc>
        <w:tc>
          <w:tcPr>
            <w:tcW w:w="426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Changes in fair value</w:t>
            </w:r>
          </w:p>
        </w:tc>
        <w:tc>
          <w:tcPr>
            <w:tcW w:w="60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45</w:t>
            </w:r>
          </w:p>
        </w:tc>
      </w:tr>
      <w:tr>
        <w:trPr>
          <w:trHeight w:val="185"/>
        </w:trPr>
        <w:tc>
          <w:tcPr>
            <w:tcW w:w="4280" w:type="dxa"/>
            <w:vAlign w:val="bottom"/>
            <w:gridSpan w:val="3"/>
          </w:tcPr>
          <w:p>
            <w:pPr>
              <w:ind w:left="20"/>
              <w:spacing w:after="0"/>
              <w:rPr>
                <w:sz w:val="20"/>
                <w:szCs w:val="20"/>
                <w:color w:val="auto"/>
              </w:rPr>
            </w:pPr>
            <w:r>
              <w:rPr>
                <w:rFonts w:ascii="Arial" w:cs="Arial" w:eastAsia="Arial" w:hAnsi="Arial"/>
                <w:sz w:val="12"/>
                <w:szCs w:val="12"/>
                <w:color w:val="auto"/>
              </w:rPr>
              <w:t>Fair value of contracts as of June 30, 2018</w:t>
            </w:r>
          </w:p>
        </w:tc>
        <w:tc>
          <w:tcPr>
            <w:tcW w:w="62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6</w:t>
            </w:r>
          </w:p>
        </w:tc>
      </w:tr>
      <w:tr>
        <w:trPr>
          <w:trHeight w:val="342"/>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060" w:type="dxa"/>
            <w:vAlign w:val="bottom"/>
          </w:tcPr>
          <w:p>
            <w:pPr>
              <w:jc w:val="right"/>
              <w:ind w:right="4480"/>
              <w:spacing w:after="0"/>
              <w:rPr>
                <w:sz w:val="20"/>
                <w:szCs w:val="20"/>
                <w:color w:val="auto"/>
              </w:rPr>
            </w:pPr>
            <w:r>
              <w:rPr>
                <w:rFonts w:ascii="Arial" w:cs="Arial" w:eastAsia="Arial" w:hAnsi="Arial"/>
                <w:sz w:val="12"/>
                <w:szCs w:val="12"/>
                <w:color w:val="auto"/>
              </w:rPr>
              <w:t>49</w:t>
            </w: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bl>
    <w:p>
      <w:pPr>
        <w:sectPr>
          <w:pgSz w:w="11900" w:h="16838" w:orient="portrait"/>
          <w:cols w:equalWidth="0" w:num="1">
            <w:col w:w="11480"/>
          </w:cols>
          <w:pgMar w:left="220" w:top="505" w:right="199"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gridSpan w:val="4"/>
          </w:tcPr>
          <w:p>
            <w:pPr>
              <w:ind w:left="20"/>
              <w:spacing w:after="0"/>
              <w:rPr>
                <w:sz w:val="20"/>
                <w:szCs w:val="20"/>
                <w:color w:val="auto"/>
              </w:rPr>
            </w:pPr>
            <w:r>
              <w:rPr>
                <w:rFonts w:ascii="Arial" w:cs="Arial" w:eastAsia="Arial" w:hAnsi="Arial"/>
                <w:sz w:val="10"/>
                <w:szCs w:val="10"/>
                <w:b w:val="1"/>
                <w:bCs w:val="1"/>
                <w:color w:val="auto"/>
                <w:w w:val="89"/>
              </w:rPr>
              <w:t>Fair value of contracts as of June 30, 2018</w:t>
            </w:r>
          </w:p>
        </w:tc>
        <w:tc>
          <w:tcPr>
            <w:tcW w:w="10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r>
      <w:tr>
        <w:trPr>
          <w:trHeight w:val="169"/>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ind w:left="60"/>
              <w:spacing w:after="0"/>
              <w:rPr>
                <w:sz w:val="20"/>
                <w:szCs w:val="20"/>
                <w:color w:val="auto"/>
              </w:rPr>
            </w:pPr>
            <w:r>
              <w:rPr>
                <w:rFonts w:ascii="Arial" w:cs="Arial" w:eastAsia="Arial" w:hAnsi="Arial"/>
                <w:sz w:val="10"/>
                <w:szCs w:val="10"/>
                <w:b w:val="1"/>
                <w:bCs w:val="1"/>
                <w:color w:val="auto"/>
              </w:rPr>
              <w:t>Maturity</w:t>
            </w:r>
          </w:p>
        </w:tc>
        <w:tc>
          <w:tcPr>
            <w:tcW w:w="10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96"/>
        </w:trPr>
        <w:tc>
          <w:tcPr>
            <w:tcW w:w="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3560" w:type="dxa"/>
            <w:vAlign w:val="bottom"/>
          </w:tcPr>
          <w:p>
            <w:pPr>
              <w:spacing w:after="0"/>
              <w:rPr>
                <w:sz w:val="8"/>
                <w:szCs w:val="8"/>
                <w:color w:val="auto"/>
              </w:rPr>
            </w:pPr>
          </w:p>
        </w:tc>
        <w:tc>
          <w:tcPr>
            <w:tcW w:w="9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40" w:type="dxa"/>
            <w:vAlign w:val="bottom"/>
          </w:tcPr>
          <w:p>
            <w:pPr>
              <w:jc w:val="center"/>
              <w:ind w:left="228"/>
              <w:spacing w:after="0" w:line="96" w:lineRule="exact"/>
              <w:rPr>
                <w:sz w:val="20"/>
                <w:szCs w:val="20"/>
                <w:color w:val="auto"/>
              </w:rPr>
            </w:pPr>
            <w:r>
              <w:rPr>
                <w:rFonts w:ascii="Arial" w:cs="Arial" w:eastAsia="Arial" w:hAnsi="Arial"/>
                <w:sz w:val="10"/>
                <w:szCs w:val="10"/>
                <w:b w:val="1"/>
                <w:bCs w:val="1"/>
                <w:color w:val="auto"/>
                <w:w w:val="89"/>
              </w:rPr>
              <w:t>Greater Than</w:t>
            </w: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ind w:left="140"/>
              <w:spacing w:after="0" w:line="96" w:lineRule="exact"/>
              <w:rPr>
                <w:sz w:val="20"/>
                <w:szCs w:val="20"/>
                <w:color w:val="auto"/>
              </w:rPr>
            </w:pPr>
            <w:r>
              <w:rPr>
                <w:rFonts w:ascii="Arial" w:cs="Arial" w:eastAsia="Arial" w:hAnsi="Arial"/>
                <w:sz w:val="10"/>
                <w:szCs w:val="10"/>
                <w:b w:val="1"/>
                <w:bCs w:val="1"/>
                <w:color w:val="auto"/>
              </w:rPr>
              <w:t>Greater Than</w:t>
            </w:r>
          </w:p>
        </w:tc>
        <w:tc>
          <w:tcPr>
            <w:tcW w:w="360" w:type="dxa"/>
            <w:vAlign w:val="bottom"/>
          </w:tcPr>
          <w:p>
            <w:pPr>
              <w:spacing w:after="0"/>
              <w:rPr>
                <w:sz w:val="8"/>
                <w:szCs w:val="8"/>
                <w:color w:val="auto"/>
              </w:rPr>
            </w:pPr>
          </w:p>
        </w:tc>
        <w:tc>
          <w:tcPr>
            <w:tcW w:w="1000" w:type="dxa"/>
            <w:vAlign w:val="bottom"/>
          </w:tcPr>
          <w:p>
            <w:pPr>
              <w:jc w:val="center"/>
              <w:ind w:right="208"/>
              <w:spacing w:after="0" w:line="96" w:lineRule="exact"/>
              <w:rPr>
                <w:sz w:val="20"/>
                <w:szCs w:val="20"/>
                <w:color w:val="auto"/>
              </w:rPr>
            </w:pPr>
            <w:r>
              <w:rPr>
                <w:rFonts w:ascii="Arial" w:cs="Arial" w:eastAsia="Arial" w:hAnsi="Arial"/>
                <w:sz w:val="10"/>
                <w:szCs w:val="10"/>
                <w:b w:val="1"/>
                <w:bCs w:val="1"/>
                <w:color w:val="auto"/>
                <w:w w:val="93"/>
              </w:rPr>
              <w:t>Greater Than</w:t>
            </w:r>
          </w:p>
        </w:tc>
        <w:tc>
          <w:tcPr>
            <w:tcW w:w="320" w:type="dxa"/>
            <w:vAlign w:val="bottom"/>
          </w:tcPr>
          <w:p>
            <w:pPr>
              <w:spacing w:after="0"/>
              <w:rPr>
                <w:sz w:val="8"/>
                <w:szCs w:val="8"/>
                <w:color w:val="auto"/>
              </w:rPr>
            </w:pPr>
          </w:p>
        </w:tc>
        <w:tc>
          <w:tcPr>
            <w:tcW w:w="920" w:type="dxa"/>
            <w:vAlign w:val="bottom"/>
          </w:tcPr>
          <w:p>
            <w:pPr>
              <w:jc w:val="center"/>
              <w:ind w:right="168"/>
              <w:spacing w:after="0" w:line="96" w:lineRule="exact"/>
              <w:rPr>
                <w:sz w:val="20"/>
                <w:szCs w:val="20"/>
                <w:color w:val="auto"/>
              </w:rPr>
            </w:pPr>
            <w:r>
              <w:rPr>
                <w:rFonts w:ascii="Arial" w:cs="Arial" w:eastAsia="Arial" w:hAnsi="Arial"/>
                <w:sz w:val="10"/>
                <w:szCs w:val="10"/>
                <w:b w:val="1"/>
                <w:bCs w:val="1"/>
                <w:color w:val="auto"/>
                <w:w w:val="93"/>
              </w:rPr>
              <w:t>Total Fair</w:t>
            </w:r>
          </w:p>
        </w:tc>
      </w:tr>
      <w:tr>
        <w:trPr>
          <w:trHeight w:val="105"/>
        </w:trPr>
        <w:tc>
          <w:tcPr>
            <w:tcW w:w="5060" w:type="dxa"/>
            <w:vAlign w:val="bottom"/>
            <w:gridSpan w:val="3"/>
          </w:tcPr>
          <w:p>
            <w:pPr>
              <w:ind w:left="20"/>
              <w:spacing w:after="0" w:line="105" w:lineRule="exact"/>
              <w:rPr>
                <w:sz w:val="20"/>
                <w:szCs w:val="20"/>
                <w:color w:val="auto"/>
              </w:rPr>
            </w:pPr>
            <w:r>
              <w:rPr>
                <w:rFonts w:ascii="Arial" w:cs="Arial" w:eastAsia="Arial" w:hAnsi="Arial"/>
                <w:sz w:val="10"/>
                <w:szCs w:val="10"/>
                <w:b w:val="1"/>
                <w:bCs w:val="1"/>
                <w:color w:val="auto"/>
              </w:rPr>
              <w:t>Fair Value Hierarchy (Losses)/Gains</w:t>
            </w:r>
          </w:p>
        </w:tc>
        <w:tc>
          <w:tcPr>
            <w:tcW w:w="980" w:type="dxa"/>
            <w:vAlign w:val="bottom"/>
          </w:tcPr>
          <w:p>
            <w:pPr>
              <w:jc w:val="right"/>
              <w:ind w:right="6"/>
              <w:spacing w:after="0" w:line="105" w:lineRule="exact"/>
              <w:rPr>
                <w:sz w:val="20"/>
                <w:szCs w:val="20"/>
                <w:color w:val="auto"/>
              </w:rPr>
            </w:pPr>
            <w:r>
              <w:rPr>
                <w:rFonts w:ascii="Arial" w:cs="Arial" w:eastAsia="Arial" w:hAnsi="Arial"/>
                <w:sz w:val="10"/>
                <w:szCs w:val="10"/>
                <w:b w:val="1"/>
                <w:bCs w:val="1"/>
                <w:color w:val="auto"/>
              </w:rPr>
              <w:t>1 Year or Less</w:t>
            </w:r>
          </w:p>
        </w:tc>
        <w:tc>
          <w:tcPr>
            <w:tcW w:w="320" w:type="dxa"/>
            <w:vAlign w:val="bottom"/>
          </w:tcPr>
          <w:p>
            <w:pPr>
              <w:spacing w:after="0"/>
              <w:rPr>
                <w:sz w:val="9"/>
                <w:szCs w:val="9"/>
                <w:color w:val="auto"/>
              </w:rPr>
            </w:pPr>
          </w:p>
        </w:tc>
        <w:tc>
          <w:tcPr>
            <w:tcW w:w="1040" w:type="dxa"/>
            <w:vAlign w:val="bottom"/>
          </w:tcPr>
          <w:p>
            <w:pPr>
              <w:jc w:val="center"/>
              <w:ind w:left="228"/>
              <w:spacing w:after="0" w:line="105" w:lineRule="exact"/>
              <w:rPr>
                <w:sz w:val="20"/>
                <w:szCs w:val="20"/>
                <w:color w:val="auto"/>
              </w:rPr>
            </w:pPr>
            <w:r>
              <w:rPr>
                <w:rFonts w:ascii="Arial" w:cs="Arial" w:eastAsia="Arial" w:hAnsi="Arial"/>
                <w:sz w:val="10"/>
                <w:szCs w:val="10"/>
                <w:b w:val="1"/>
                <w:bCs w:val="1"/>
                <w:color w:val="auto"/>
                <w:w w:val="84"/>
              </w:rPr>
              <w:t>1 Year to 3 Years</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ind w:left="60"/>
              <w:spacing w:after="0" w:line="105" w:lineRule="exact"/>
              <w:rPr>
                <w:sz w:val="20"/>
                <w:szCs w:val="20"/>
                <w:color w:val="auto"/>
              </w:rPr>
            </w:pPr>
            <w:r>
              <w:rPr>
                <w:rFonts w:ascii="Arial" w:cs="Arial" w:eastAsia="Arial" w:hAnsi="Arial"/>
                <w:sz w:val="10"/>
                <w:szCs w:val="10"/>
                <w:b w:val="1"/>
                <w:bCs w:val="1"/>
                <w:color w:val="auto"/>
              </w:rPr>
              <w:t>3 Years to 5 Years</w:t>
            </w:r>
          </w:p>
        </w:tc>
        <w:tc>
          <w:tcPr>
            <w:tcW w:w="360" w:type="dxa"/>
            <w:vAlign w:val="bottom"/>
          </w:tcPr>
          <w:p>
            <w:pPr>
              <w:spacing w:after="0"/>
              <w:rPr>
                <w:sz w:val="9"/>
                <w:szCs w:val="9"/>
                <w:color w:val="auto"/>
              </w:rPr>
            </w:pPr>
          </w:p>
        </w:tc>
        <w:tc>
          <w:tcPr>
            <w:tcW w:w="1000" w:type="dxa"/>
            <w:vAlign w:val="bottom"/>
          </w:tcPr>
          <w:p>
            <w:pPr>
              <w:jc w:val="center"/>
              <w:ind w:right="208"/>
              <w:spacing w:after="0" w:line="105" w:lineRule="exact"/>
              <w:rPr>
                <w:sz w:val="20"/>
                <w:szCs w:val="20"/>
                <w:color w:val="auto"/>
              </w:rPr>
            </w:pPr>
            <w:r>
              <w:rPr>
                <w:rFonts w:ascii="Arial" w:cs="Arial" w:eastAsia="Arial" w:hAnsi="Arial"/>
                <w:sz w:val="10"/>
                <w:szCs w:val="10"/>
                <w:b w:val="1"/>
                <w:bCs w:val="1"/>
                <w:color w:val="auto"/>
                <w:w w:val="84"/>
              </w:rPr>
              <w:t>5 Years</w:t>
            </w:r>
          </w:p>
        </w:tc>
        <w:tc>
          <w:tcPr>
            <w:tcW w:w="320" w:type="dxa"/>
            <w:vAlign w:val="bottom"/>
          </w:tcPr>
          <w:p>
            <w:pPr>
              <w:spacing w:after="0"/>
              <w:rPr>
                <w:sz w:val="9"/>
                <w:szCs w:val="9"/>
                <w:color w:val="auto"/>
              </w:rPr>
            </w:pPr>
          </w:p>
        </w:tc>
        <w:tc>
          <w:tcPr>
            <w:tcW w:w="920" w:type="dxa"/>
            <w:vAlign w:val="bottom"/>
          </w:tcPr>
          <w:p>
            <w:pPr>
              <w:jc w:val="center"/>
              <w:ind w:right="168"/>
              <w:spacing w:after="0" w:line="105" w:lineRule="exact"/>
              <w:rPr>
                <w:sz w:val="20"/>
                <w:szCs w:val="20"/>
                <w:color w:val="auto"/>
              </w:rPr>
            </w:pPr>
            <w:r>
              <w:rPr>
                <w:rFonts w:ascii="Arial" w:cs="Arial" w:eastAsia="Arial" w:hAnsi="Arial"/>
                <w:sz w:val="10"/>
                <w:szCs w:val="10"/>
                <w:b w:val="1"/>
                <w:bCs w:val="1"/>
                <w:color w:val="auto"/>
                <w:w w:val="82"/>
              </w:rPr>
              <w:t>Value</w:t>
            </w:r>
          </w:p>
        </w:tc>
      </w:tr>
      <w:tr>
        <w:trPr>
          <w:trHeight w:val="20"/>
        </w:trPr>
        <w:tc>
          <w:tcPr>
            <w:tcW w:w="20" w:type="dxa"/>
            <w:vAlign w:val="bottom"/>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ind w:left="140"/>
              <w:spacing w:after="0"/>
              <w:rPr>
                <w:sz w:val="20"/>
                <w:szCs w:val="20"/>
                <w:color w:val="auto"/>
              </w:rPr>
            </w:pPr>
            <w:r>
              <w:rPr>
                <w:rFonts w:ascii="Arial" w:cs="Arial" w:eastAsia="Arial" w:hAnsi="Arial"/>
                <w:sz w:val="10"/>
                <w:szCs w:val="10"/>
                <w:b w:val="1"/>
                <w:bCs w:val="1"/>
                <w:color w:val="auto"/>
              </w:rPr>
              <w:t>(In millions)</w:t>
            </w: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84"/>
        </w:trPr>
        <w:tc>
          <w:tcPr>
            <w:tcW w:w="50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Level 2</w:t>
            </w:r>
          </w:p>
        </w:tc>
        <w:tc>
          <w:tcPr>
            <w:tcW w:w="980" w:type="dxa"/>
            <w:vAlign w:val="bottom"/>
            <w:shd w:val="clear" w:color="auto" w:fill="CCEEFF"/>
          </w:tcPr>
          <w:p>
            <w:pPr>
              <w:jc w:val="right"/>
              <w:ind w:right="846"/>
              <w:spacing w:after="0"/>
              <w:rPr>
                <w:sz w:val="20"/>
                <w:szCs w:val="20"/>
                <w:color w:val="auto"/>
              </w:rPr>
            </w:pPr>
            <w:r>
              <w:rPr>
                <w:rFonts w:ascii="Arial" w:cs="Arial" w:eastAsia="Arial" w:hAnsi="Arial"/>
                <w:sz w:val="12"/>
                <w:szCs w:val="12"/>
                <w:color w:val="auto"/>
                <w:w w:val="89"/>
              </w:rPr>
              <w:t>$</w:t>
            </w:r>
          </w:p>
        </w:tc>
        <w:tc>
          <w:tcPr>
            <w:tcW w:w="3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w:t>
            </w:r>
          </w:p>
        </w:tc>
        <w:tc>
          <w:tcPr>
            <w:tcW w:w="1040" w:type="dxa"/>
            <w:vAlign w:val="bottom"/>
            <w:shd w:val="clear" w:color="auto" w:fill="CCEEFF"/>
          </w:tcPr>
          <w:p>
            <w:pPr>
              <w:jc w:val="right"/>
              <w:ind w:right="828"/>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2"/>
                <w:szCs w:val="12"/>
                <w:color w:val="auto"/>
              </w:rPr>
              <w:t>4</w:t>
            </w:r>
          </w:p>
        </w:tc>
        <w:tc>
          <w:tcPr>
            <w:tcW w:w="2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ind w:right="69"/>
              <w:spacing w:after="0"/>
              <w:rPr>
                <w:sz w:val="20"/>
                <w:szCs w:val="20"/>
                <w:color w:val="auto"/>
              </w:rPr>
            </w:pPr>
            <w:r>
              <w:rPr>
                <w:rFonts w:ascii="Arial" w:cs="Arial" w:eastAsia="Arial" w:hAnsi="Arial"/>
                <w:sz w:val="12"/>
                <w:szCs w:val="12"/>
                <w:color w:val="auto"/>
              </w:rPr>
              <w:t>2</w:t>
            </w:r>
          </w:p>
        </w:tc>
        <w:tc>
          <w:tcPr>
            <w:tcW w:w="3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2"/>
                <w:szCs w:val="12"/>
                <w:color w:val="auto"/>
              </w:rPr>
              <w:t>5</w:t>
            </w:r>
          </w:p>
        </w:tc>
        <w:tc>
          <w:tcPr>
            <w:tcW w:w="3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2"/>
                <w:szCs w:val="12"/>
                <w:color w:val="auto"/>
              </w:rPr>
              <w:t>6</w:t>
            </w:r>
          </w:p>
        </w:tc>
      </w:tr>
    </w:tbl>
    <w:p>
      <w:pPr>
        <w:spacing w:after="0" w:line="108"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231F20"/>
        </w:rPr>
        <w:t xml:space="preserve">The Company has elected to disclose derivative assets and liabilities on a trade-by-trade basis and does not offset amounts at the counterparty master agreement level. As discussed below in </w:t>
      </w:r>
      <w:r>
        <w:rPr>
          <w:rFonts w:ascii="Arial" w:cs="Arial" w:eastAsia="Arial" w:hAnsi="Arial"/>
          <w:sz w:val="12"/>
          <w:szCs w:val="12"/>
          <w:i w:val="1"/>
          <w:iCs w:val="1"/>
          <w:color w:val="231F20"/>
        </w:rPr>
        <w:t>Quantitative and Qualitative Disclosures</w:t>
      </w:r>
      <w:r>
        <w:rPr>
          <w:rFonts w:ascii="Arial" w:cs="Arial" w:eastAsia="Arial" w:hAnsi="Arial"/>
          <w:sz w:val="12"/>
          <w:szCs w:val="12"/>
          <w:color w:val="231F20"/>
        </w:rPr>
        <w:t xml:space="preserve"> </w:t>
      </w:r>
      <w:r>
        <w:rPr>
          <w:rFonts w:ascii="Arial" w:cs="Arial" w:eastAsia="Arial" w:hAnsi="Arial"/>
          <w:sz w:val="12"/>
          <w:szCs w:val="12"/>
          <w:i w:val="1"/>
          <w:iCs w:val="1"/>
          <w:color w:val="231F20"/>
        </w:rPr>
        <w:t xml:space="preserve">about Market Risk - Commodity Price Risk, </w:t>
      </w:r>
      <w:r>
        <w:rPr>
          <w:rFonts w:ascii="Arial" w:cs="Arial" w:eastAsia="Arial" w:hAnsi="Arial"/>
          <w:sz w:val="12"/>
          <w:szCs w:val="12"/>
          <w:color w:val="231F20"/>
        </w:rPr>
        <w:t>NRG, on behalf of the</w:t>
      </w:r>
      <w:r>
        <w:rPr>
          <w:rFonts w:ascii="Arial" w:cs="Arial" w:eastAsia="Arial" w:hAnsi="Arial"/>
          <w:sz w:val="12"/>
          <w:szCs w:val="12"/>
          <w:i w:val="1"/>
          <w:iCs w:val="1"/>
          <w:color w:val="231F20"/>
        </w:rPr>
        <w:t xml:space="preserve"> </w:t>
      </w:r>
      <w:r>
        <w:rPr>
          <w:rFonts w:ascii="Arial" w:cs="Arial" w:eastAsia="Arial" w:hAnsi="Arial"/>
          <w:sz w:val="12"/>
          <w:szCs w:val="12"/>
          <w:color w:val="000000"/>
        </w:rPr>
        <w:t>Company, measures the sensitivity of the portfolio to potential changes in market prices using VaR, a statistical model which attempts to predict risk of loss based on</w:t>
      </w:r>
      <w:r>
        <w:rPr>
          <w:rFonts w:ascii="Arial" w:cs="Arial" w:eastAsia="Arial" w:hAnsi="Arial"/>
          <w:sz w:val="12"/>
          <w:szCs w:val="12"/>
          <w:i w:val="1"/>
          <w:iCs w:val="1"/>
          <w:color w:val="231F20"/>
        </w:rPr>
        <w:t xml:space="preserve"> </w:t>
      </w:r>
      <w:r>
        <w:rPr>
          <w:rFonts w:ascii="Arial" w:cs="Arial" w:eastAsia="Arial" w:hAnsi="Arial"/>
          <w:sz w:val="12"/>
          <w:szCs w:val="12"/>
          <w:color w:val="000000"/>
        </w:rPr>
        <w:t>market price and volatility. NRG's risk management policy places a limit on one-day holding period VaR, which limits the net open position.</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 and Estimates</w:t>
      </w:r>
    </w:p>
    <w:p>
      <w:pPr>
        <w:spacing w:after="0" w:line="118" w:lineRule="exact"/>
        <w:rPr>
          <w:sz w:val="20"/>
          <w:szCs w:val="20"/>
          <w:color w:val="auto"/>
        </w:rPr>
      </w:pPr>
    </w:p>
    <w:p>
      <w:pPr>
        <w:jc w:val="both"/>
        <w:ind w:firstLine="288"/>
        <w:spacing w:after="0" w:line="283" w:lineRule="auto"/>
        <w:rPr>
          <w:sz w:val="20"/>
          <w:szCs w:val="20"/>
          <w:color w:val="auto"/>
        </w:rPr>
      </w:pPr>
      <w:r>
        <w:rPr>
          <w:rFonts w:ascii="Arial" w:cs="Arial" w:eastAsia="Arial" w:hAnsi="Arial"/>
          <w:sz w:val="11"/>
          <w:szCs w:val="11"/>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78" w:lineRule="exact"/>
        <w:rPr>
          <w:sz w:val="20"/>
          <w:szCs w:val="20"/>
          <w:color w:val="auto"/>
        </w:rPr>
      </w:pPr>
    </w:p>
    <w:p>
      <w:pPr>
        <w:jc w:val="both"/>
        <w:ind w:right="20" w:firstLine="288"/>
        <w:spacing w:after="0" w:line="263" w:lineRule="auto"/>
        <w:rPr>
          <w:sz w:val="20"/>
          <w:szCs w:val="20"/>
          <w:color w:val="auto"/>
        </w:rPr>
      </w:pPr>
      <w:r>
        <w:rPr>
          <w:rFonts w:ascii="Arial" w:cs="Arial" w:eastAsia="Arial" w:hAnsi="Arial"/>
          <w:sz w:val="12"/>
          <w:szCs w:val="12"/>
          <w:color w:val="auto"/>
        </w:rPr>
        <w:t>On an ongoing basis, the Company evaluates these estimates, utilizing historic experience, consultation with experts and other methods the Company considers reasonable. In any event,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87"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income taxes and valuation allowance for deferred tax assets, impairment of long lived assets and other intangible assets and acquisition accounting.</w:t>
      </w:r>
    </w:p>
    <w:p>
      <w:pPr>
        <w:spacing w:after="0" w:line="87"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Recent Accounting Developments</w:t>
      </w:r>
    </w:p>
    <w:p>
      <w:pPr>
        <w:spacing w:after="0" w:line="114" w:lineRule="exact"/>
        <w:rPr>
          <w:sz w:val="20"/>
          <w:szCs w:val="20"/>
          <w:color w:val="auto"/>
        </w:rPr>
      </w:pPr>
    </w:p>
    <w:p>
      <w:pPr>
        <w:ind w:left="280"/>
        <w:spacing w:after="0"/>
        <w:rPr>
          <w:sz w:val="20"/>
          <w:szCs w:val="20"/>
          <w:color w:val="auto"/>
        </w:rPr>
      </w:pPr>
      <w:r>
        <w:rPr>
          <w:rFonts w:ascii="Arial" w:cs="Arial" w:eastAsia="Arial" w:hAnsi="Arial"/>
          <w:sz w:val="12"/>
          <w:szCs w:val="12"/>
          <w:color w:val="auto"/>
        </w:rPr>
        <w:t xml:space="preserve">See Item — 1 Note 2, </w:t>
      </w:r>
      <w:r>
        <w:rPr>
          <w:rFonts w:ascii="Arial" w:cs="Arial" w:eastAsia="Arial" w:hAnsi="Arial"/>
          <w:sz w:val="12"/>
          <w:szCs w:val="12"/>
          <w:i w:val="1"/>
          <w:iCs w:val="1"/>
          <w:color w:val="auto"/>
        </w:rPr>
        <w:t>Summary of Significant Accounting Policies</w:t>
      </w:r>
      <w:r>
        <w:rPr>
          <w:rFonts w:ascii="Arial" w:cs="Arial" w:eastAsia="Arial" w:hAnsi="Arial"/>
          <w:sz w:val="12"/>
          <w:szCs w:val="12"/>
          <w:color w:val="auto"/>
        </w:rPr>
        <w:t>, for a discussion of recent accounting developments.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ectPr>
          <w:pgSz w:w="11900" w:h="16838" w:orient="portrait"/>
          <w:cols w:equalWidth="0" w:num="1">
            <w:col w:w="11480"/>
          </w:cols>
          <w:pgMar w:left="220" w:top="656" w:right="199" w:bottom="1440" w:gutter="0" w:footer="0" w:header="0"/>
        </w:sectPr>
      </w:pPr>
    </w:p>
    <w:bookmarkStart w:id="50" w:name="page51"/>
    <w:bookmarkEnd w:id="50"/>
    <w:p>
      <w:pPr>
        <w:spacing w:after="0"/>
        <w:rPr>
          <w:sz w:val="20"/>
          <w:szCs w:val="20"/>
          <w:color w:val="auto"/>
        </w:rPr>
      </w:pPr>
      <w:r>
        <w:rPr>
          <w:rFonts w:ascii="Arial" w:cs="Arial" w:eastAsia="Arial" w:hAnsi="Arial"/>
          <w:sz w:val="12"/>
          <w:szCs w:val="12"/>
          <w:b w:val="1"/>
          <w:bCs w:val="1"/>
          <w:color w:val="auto"/>
        </w:rPr>
        <w:t>ITEM 3 — Quantitative and Qualitative Disclosures About Market Risk</w:t>
      </w:r>
    </w:p>
    <w:p>
      <w:pPr>
        <w:spacing w:after="0" w:line="118"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231F20"/>
        </w:rPr>
        <w:t xml:space="preserve">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 </w:t>
      </w:r>
      <w:r>
        <w:rPr>
          <w:rFonts w:ascii="Arial" w:cs="Arial" w:eastAsia="Arial" w:hAnsi="Arial"/>
          <w:sz w:val="12"/>
          <w:szCs w:val="12"/>
          <w:color w:val="000000"/>
        </w:rPr>
        <w:t>The following disclosures about market risk provide an update to, and</w:t>
      </w:r>
      <w:r>
        <w:rPr>
          <w:rFonts w:ascii="Arial" w:cs="Arial" w:eastAsia="Arial" w:hAnsi="Arial"/>
          <w:sz w:val="12"/>
          <w:szCs w:val="12"/>
          <w:color w:val="231F20"/>
        </w:rPr>
        <w:t xml:space="preserve"> </w:t>
      </w:r>
      <w:r>
        <w:rPr>
          <w:rFonts w:ascii="Arial" w:cs="Arial" w:eastAsia="Arial" w:hAnsi="Arial"/>
          <w:sz w:val="12"/>
          <w:szCs w:val="12"/>
          <w:color w:val="000000"/>
        </w:rPr>
        <w:t xml:space="preserve">should be read in conjunction with, Item 7A — </w:t>
      </w:r>
      <w:r>
        <w:rPr>
          <w:rFonts w:ascii="Arial" w:cs="Arial" w:eastAsia="Arial" w:hAnsi="Arial"/>
          <w:sz w:val="12"/>
          <w:szCs w:val="12"/>
          <w:i w:val="1"/>
          <w:iCs w:val="1"/>
          <w:color w:val="000000"/>
        </w:rPr>
        <w:t>Quantitative and Qualitative Disclosures About Market Risk,</w:t>
      </w:r>
      <w:r>
        <w:rPr>
          <w:rFonts w:ascii="Arial" w:cs="Arial" w:eastAsia="Arial" w:hAnsi="Arial"/>
          <w:sz w:val="12"/>
          <w:szCs w:val="12"/>
          <w:color w:val="000000"/>
        </w:rPr>
        <w:t xml:space="preserve"> of the Company's 2017 Form 10-K.</w:t>
      </w:r>
    </w:p>
    <w:p>
      <w:pPr>
        <w:spacing w:after="0" w:line="87"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231F20"/>
        </w:rPr>
        <w:t>Interest Rate Risk</w:t>
      </w:r>
    </w:p>
    <w:p>
      <w:pPr>
        <w:spacing w:after="0" w:line="114"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2"/>
          <w:szCs w:val="12"/>
          <w:color w:val="231F20"/>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NRG's risk management policies allow the Company to reduce interest rate exposure from variable rate debt obligations. See Item 1 </w:t>
      </w:r>
      <w:r>
        <w:rPr>
          <w:rFonts w:ascii="Arial" w:cs="Arial" w:eastAsia="Arial" w:hAnsi="Arial"/>
          <w:sz w:val="12"/>
          <w:szCs w:val="12"/>
          <w:color w:val="000000"/>
        </w:rPr>
        <w:t>— Note 6</w:t>
      </w:r>
      <w:r>
        <w:rPr>
          <w:rFonts w:ascii="Arial" w:cs="Arial" w:eastAsia="Arial" w:hAnsi="Arial"/>
          <w:sz w:val="12"/>
          <w:szCs w:val="12"/>
          <w:color w:val="231F20"/>
        </w:rPr>
        <w:t xml:space="preserve">, </w:t>
      </w:r>
      <w:r>
        <w:rPr>
          <w:rFonts w:ascii="Arial" w:cs="Arial" w:eastAsia="Arial" w:hAnsi="Arial"/>
          <w:sz w:val="12"/>
          <w:szCs w:val="12"/>
          <w:i w:val="1"/>
          <w:iCs w:val="1"/>
          <w:color w:val="000000"/>
        </w:rPr>
        <w:t>Accounting for Derivative Instruments and Hedging Activities</w:t>
      </w:r>
      <w:r>
        <w:rPr>
          <w:rFonts w:ascii="Arial" w:cs="Arial" w:eastAsia="Arial" w:hAnsi="Arial"/>
          <w:sz w:val="12"/>
          <w:szCs w:val="12"/>
          <w:color w:val="231F20"/>
        </w:rPr>
        <w:t>, for more information.</w:t>
      </w:r>
    </w:p>
    <w:p>
      <w:pPr>
        <w:spacing w:after="0" w:line="89"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231F20"/>
        </w:rPr>
        <w:t xml:space="preserve">Most of the Company's project subsidiaries enter into interest rate swaps, intended to hedge the risks associated with interest rates on non-recourse project level debt. See </w:t>
      </w:r>
      <w:r>
        <w:rPr>
          <w:rFonts w:ascii="Arial" w:cs="Arial" w:eastAsia="Arial" w:hAnsi="Arial"/>
          <w:sz w:val="12"/>
          <w:szCs w:val="12"/>
          <w:color w:val="000000"/>
        </w:rPr>
        <w:t>Note 10</w:t>
      </w:r>
      <w:r>
        <w:rPr>
          <w:rFonts w:ascii="Arial" w:cs="Arial" w:eastAsia="Arial" w:hAnsi="Arial"/>
          <w:sz w:val="12"/>
          <w:szCs w:val="12"/>
          <w:color w:val="231F20"/>
        </w:rPr>
        <w:t xml:space="preserve">, </w:t>
      </w:r>
      <w:r>
        <w:rPr>
          <w:rFonts w:ascii="Arial" w:cs="Arial" w:eastAsia="Arial" w:hAnsi="Arial"/>
          <w:sz w:val="12"/>
          <w:szCs w:val="12"/>
          <w:i w:val="1"/>
          <w:iCs w:val="1"/>
          <w:color w:val="000000"/>
        </w:rPr>
        <w:t>Long-term Debt</w:t>
      </w:r>
      <w:r>
        <w:rPr>
          <w:rFonts w:ascii="Arial" w:cs="Arial" w:eastAsia="Arial" w:hAnsi="Arial"/>
          <w:sz w:val="12"/>
          <w:szCs w:val="12"/>
          <w:i w:val="1"/>
          <w:iCs w:val="1"/>
          <w:color w:val="231F20"/>
        </w:rPr>
        <w:t>,</w:t>
      </w:r>
      <w:r>
        <w:rPr>
          <w:rFonts w:ascii="Arial" w:cs="Arial" w:eastAsia="Arial" w:hAnsi="Arial"/>
          <w:sz w:val="12"/>
          <w:szCs w:val="12"/>
          <w:color w:val="231F20"/>
        </w:rPr>
        <w:t xml:space="preserve"> to the Company's </w:t>
      </w:r>
      <w:r>
        <w:rPr>
          <w:rFonts w:ascii="Arial" w:cs="Arial" w:eastAsia="Arial" w:hAnsi="Arial"/>
          <w:sz w:val="12"/>
          <w:szCs w:val="12"/>
          <w:color w:val="000000"/>
        </w:rPr>
        <w:t>audited</w:t>
      </w:r>
      <w:r>
        <w:rPr>
          <w:rFonts w:ascii="Arial" w:cs="Arial" w:eastAsia="Arial" w:hAnsi="Arial"/>
          <w:sz w:val="12"/>
          <w:szCs w:val="12"/>
          <w:color w:val="231F20"/>
        </w:rPr>
        <w:t xml:space="preserve"> </w:t>
      </w:r>
      <w:r>
        <w:rPr>
          <w:rFonts w:ascii="Arial" w:cs="Arial" w:eastAsia="Arial" w:hAnsi="Arial"/>
          <w:sz w:val="12"/>
          <w:szCs w:val="12"/>
          <w:color w:val="000000"/>
        </w:rPr>
        <w:t xml:space="preserve">consolidated financial statements for the year ended December 31, 2017 included in the 2017 Form 10-K </w:t>
      </w:r>
      <w:r>
        <w:rPr>
          <w:rFonts w:ascii="Arial" w:cs="Arial" w:eastAsia="Arial" w:hAnsi="Arial"/>
          <w:sz w:val="12"/>
          <w:szCs w:val="12"/>
          <w:color w:val="231F20"/>
        </w:rPr>
        <w:t>for more information about interest rate swaps of the Company's project subsidiaries.</w:t>
      </w:r>
    </w:p>
    <w:p>
      <w:pPr>
        <w:spacing w:after="0" w:line="79"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231F20"/>
        </w:rPr>
        <w:t xml:space="preserve">If all of the interest rate swaps had been discontinued on </w:t>
      </w:r>
      <w:r>
        <w:rPr>
          <w:rFonts w:ascii="Arial" w:cs="Arial" w:eastAsia="Arial" w:hAnsi="Arial"/>
          <w:sz w:val="12"/>
          <w:szCs w:val="12"/>
          <w:color w:val="000000"/>
        </w:rPr>
        <w:t>June 30, 2018</w:t>
      </w:r>
      <w:r>
        <w:rPr>
          <w:rFonts w:ascii="Arial" w:cs="Arial" w:eastAsia="Arial" w:hAnsi="Arial"/>
          <w:sz w:val="12"/>
          <w:szCs w:val="12"/>
          <w:color w:val="231F20"/>
        </w:rPr>
        <w:t xml:space="preserve">, the Company would have owed the counterparties </w:t>
      </w:r>
      <w:r>
        <w:rPr>
          <w:rFonts w:ascii="Arial" w:cs="Arial" w:eastAsia="Arial" w:hAnsi="Arial"/>
          <w:sz w:val="12"/>
          <w:szCs w:val="12"/>
          <w:color w:val="000000"/>
        </w:rPr>
        <w:t>$3 million</w:t>
      </w:r>
      <w:r>
        <w:rPr>
          <w:rFonts w:ascii="Arial" w:cs="Arial" w:eastAsia="Arial" w:hAnsi="Arial"/>
          <w:sz w:val="12"/>
          <w:szCs w:val="12"/>
          <w:color w:val="231F20"/>
        </w:rPr>
        <w:t>. Based on the credit ratings of the counterparties, the Company believes its exposure to credit risk due to nonperformance by counterparties to its hedge contracts to be insignificant.</w:t>
      </w:r>
    </w:p>
    <w:p>
      <w:pPr>
        <w:spacing w:after="0" w:line="79" w:lineRule="exact"/>
        <w:rPr>
          <w:sz w:val="20"/>
          <w:szCs w:val="20"/>
          <w:color w:val="auto"/>
        </w:rPr>
      </w:pPr>
    </w:p>
    <w:p>
      <w:pPr>
        <w:jc w:val="both"/>
        <w:ind w:right="20" w:firstLine="270"/>
        <w:spacing w:after="0" w:line="276" w:lineRule="auto"/>
        <w:rPr>
          <w:sz w:val="20"/>
          <w:szCs w:val="20"/>
          <w:color w:val="auto"/>
        </w:rPr>
      </w:pPr>
      <w:r>
        <w:rPr>
          <w:rFonts w:ascii="Arial" w:cs="Arial" w:eastAsia="Arial" w:hAnsi="Arial"/>
          <w:sz w:val="12"/>
          <w:szCs w:val="12"/>
          <w:color w:val="231F20"/>
        </w:rPr>
        <w:t xml:space="preserve">The Company has long-term debt instruments that subject it to the risk of loss associated with movements in market interest rates. As of </w:t>
      </w:r>
      <w:r>
        <w:rPr>
          <w:rFonts w:ascii="Arial" w:cs="Arial" w:eastAsia="Arial" w:hAnsi="Arial"/>
          <w:sz w:val="12"/>
          <w:szCs w:val="12"/>
          <w:color w:val="000000"/>
        </w:rPr>
        <w:t>June 30, 2018</w:t>
      </w:r>
      <w:r>
        <w:rPr>
          <w:rFonts w:ascii="Arial" w:cs="Arial" w:eastAsia="Arial" w:hAnsi="Arial"/>
          <w:sz w:val="12"/>
          <w:szCs w:val="12"/>
          <w:color w:val="231F20"/>
        </w:rPr>
        <w:t>, a 1% change in interest rates would result in an approximately $3 million change in market interest expense on a rolling twelve-month basis.</w:t>
      </w:r>
    </w:p>
    <w:p>
      <w:pPr>
        <w:spacing w:after="0" w:line="79" w:lineRule="exact"/>
        <w:rPr>
          <w:sz w:val="20"/>
          <w:szCs w:val="20"/>
          <w:color w:val="auto"/>
        </w:rPr>
      </w:pPr>
    </w:p>
    <w:p>
      <w:pPr>
        <w:jc w:val="both"/>
        <w:ind w:right="20" w:firstLine="270"/>
        <w:spacing w:after="0" w:line="276" w:lineRule="auto"/>
        <w:rPr>
          <w:sz w:val="20"/>
          <w:szCs w:val="20"/>
          <w:color w:val="auto"/>
        </w:rPr>
      </w:pPr>
      <w:r>
        <w:rPr>
          <w:rFonts w:ascii="Arial" w:cs="Arial" w:eastAsia="Arial" w:hAnsi="Arial"/>
          <w:sz w:val="12"/>
          <w:szCs w:val="12"/>
          <w:color w:val="231F20"/>
        </w:rPr>
        <w:t xml:space="preserve">As of </w:t>
      </w:r>
      <w:r>
        <w:rPr>
          <w:rFonts w:ascii="Arial" w:cs="Arial" w:eastAsia="Arial" w:hAnsi="Arial"/>
          <w:sz w:val="12"/>
          <w:szCs w:val="12"/>
          <w:color w:val="000000"/>
        </w:rPr>
        <w:t>June 30, 2018</w:t>
      </w:r>
      <w:r>
        <w:rPr>
          <w:rFonts w:ascii="Arial" w:cs="Arial" w:eastAsia="Arial" w:hAnsi="Arial"/>
          <w:sz w:val="12"/>
          <w:szCs w:val="12"/>
          <w:color w:val="231F20"/>
        </w:rPr>
        <w:t xml:space="preserve">, the fair value of the Company's debt was $5,936 million and the carrying value was $5,957 million. The Company estimates that a 1% decrease in market interest rates would have increased the fair value of its long-term debt by approximately </w:t>
      </w:r>
      <w:r>
        <w:rPr>
          <w:rFonts w:ascii="Arial" w:cs="Arial" w:eastAsia="Arial" w:hAnsi="Arial"/>
          <w:sz w:val="12"/>
          <w:szCs w:val="12"/>
          <w:color w:val="000000"/>
        </w:rPr>
        <w:t>$301 million</w:t>
      </w:r>
      <w:r>
        <w:rPr>
          <w:rFonts w:ascii="Arial" w:cs="Arial" w:eastAsia="Arial" w:hAnsi="Arial"/>
          <w:sz w:val="12"/>
          <w:szCs w:val="12"/>
          <w:color w:val="231F20"/>
        </w:rPr>
        <w:t>.</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231F20"/>
        </w:rPr>
        <w:t>Liquidity Risk</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2"/>
          <w:szCs w:val="12"/>
          <w:color w:val="231F20"/>
        </w:rPr>
        <w:t>Liquidity risk arises from the general funding needs of the Company's activities and in the management of the Company's assets and liabilities.</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231F20"/>
        </w:rPr>
        <w:t>Commodity Price Risk</w:t>
      </w:r>
    </w:p>
    <w:p>
      <w:pPr>
        <w:spacing w:after="0" w:line="114"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231F20"/>
        </w:rPr>
        <w:t>Commodity price risks result from exposures to changes in spot prices, forward prices, volatilities, and correlations between various commodities, such as electricity, natural gas and emissions credits. The Company manages the commodity price risk of its merchant generation operations by entering into derivative or non-derivative instruments to hedge the variability in future cash flows from forecasted power sales or purchases of fuel. The portion of forecasted transactions hedged may vary based upon management's assessment of market, weather, operation and other factors.</w:t>
      </w:r>
    </w:p>
    <w:p>
      <w:pPr>
        <w:spacing w:after="0" w:line="87"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231F20"/>
        </w:rPr>
        <w:t xml:space="preserve">Based on a sensitivity analysis using simplified assumptions, the impact of a $0.50 per MMBtu increase or decrease in natural gas prices across the term of the derivative contracts would cause a change of approximately </w:t>
      </w:r>
      <w:r>
        <w:rPr>
          <w:rFonts w:ascii="Arial" w:cs="Arial" w:eastAsia="Arial" w:hAnsi="Arial"/>
          <w:sz w:val="12"/>
          <w:szCs w:val="12"/>
          <w:color w:val="000000"/>
        </w:rPr>
        <w:t>$1 million</w:t>
      </w:r>
      <w:r>
        <w:rPr>
          <w:rFonts w:ascii="Arial" w:cs="Arial" w:eastAsia="Arial" w:hAnsi="Arial"/>
          <w:sz w:val="12"/>
          <w:szCs w:val="12"/>
          <w:color w:val="231F20"/>
        </w:rPr>
        <w:t xml:space="preserve"> to the net value of derivatives as of </w:t>
      </w:r>
      <w:r>
        <w:rPr>
          <w:rFonts w:ascii="Arial" w:cs="Arial" w:eastAsia="Arial" w:hAnsi="Arial"/>
          <w:sz w:val="12"/>
          <w:szCs w:val="12"/>
          <w:color w:val="000000"/>
        </w:rPr>
        <w:t>June 30, 2018</w:t>
      </w:r>
      <w:r>
        <w:rPr>
          <w:rFonts w:ascii="Arial" w:cs="Arial" w:eastAsia="Arial" w:hAnsi="Arial"/>
          <w:sz w:val="12"/>
          <w:szCs w:val="12"/>
          <w:color w:val="231F20"/>
        </w:rPr>
        <w:t>.</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231F20"/>
        </w:rPr>
        <w:t>Counterparty Credit Risk</w:t>
      </w:r>
    </w:p>
    <w:p>
      <w:pPr>
        <w:spacing w:after="0" w:line="114"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2"/>
          <w:szCs w:val="12"/>
          <w:color w:val="231F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Item 1 - </w:t>
      </w:r>
      <w:r>
        <w:rPr>
          <w:rFonts w:ascii="Arial" w:cs="Arial" w:eastAsia="Arial" w:hAnsi="Arial"/>
          <w:sz w:val="12"/>
          <w:szCs w:val="12"/>
          <w:color w:val="000000"/>
        </w:rPr>
        <w:t>Note 1</w:t>
      </w:r>
      <w:r>
        <w:rPr>
          <w:rFonts w:ascii="Arial" w:cs="Arial" w:eastAsia="Arial" w:hAnsi="Arial"/>
          <w:sz w:val="12"/>
          <w:szCs w:val="12"/>
          <w:color w:val="231F20"/>
        </w:rPr>
        <w:t xml:space="preserve">, </w:t>
      </w:r>
      <w:r>
        <w:rPr>
          <w:rFonts w:ascii="Arial" w:cs="Arial" w:eastAsia="Arial" w:hAnsi="Arial"/>
          <w:sz w:val="12"/>
          <w:szCs w:val="12"/>
          <w:i w:val="1"/>
          <w:iCs w:val="1"/>
          <w:color w:val="000000"/>
        </w:rPr>
        <w:t>Nature of Business</w:t>
      </w:r>
      <w:r>
        <w:rPr>
          <w:rFonts w:ascii="Arial" w:cs="Arial" w:eastAsia="Arial" w:hAnsi="Arial"/>
          <w:sz w:val="12"/>
          <w:szCs w:val="12"/>
          <w:color w:val="231F20"/>
        </w:rPr>
        <w:t xml:space="preserve">, and </w:t>
      </w:r>
      <w:r>
        <w:rPr>
          <w:rFonts w:ascii="Arial" w:cs="Arial" w:eastAsia="Arial" w:hAnsi="Arial"/>
          <w:sz w:val="12"/>
          <w:szCs w:val="12"/>
          <w:color w:val="000000"/>
        </w:rPr>
        <w:t>Note 5</w:t>
      </w:r>
      <w:r>
        <w:rPr>
          <w:rFonts w:ascii="Arial" w:cs="Arial" w:eastAsia="Arial" w:hAnsi="Arial"/>
          <w:sz w:val="12"/>
          <w:szCs w:val="12"/>
          <w:color w:val="231F20"/>
        </w:rPr>
        <w:t xml:space="preserve">, </w:t>
      </w:r>
      <w:r>
        <w:rPr>
          <w:rFonts w:ascii="Arial" w:cs="Arial" w:eastAsia="Arial" w:hAnsi="Arial"/>
          <w:sz w:val="12"/>
          <w:szCs w:val="12"/>
          <w:i w:val="1"/>
          <w:iCs w:val="1"/>
          <w:color w:val="000000"/>
        </w:rPr>
        <w:t>Fair Value of Financial Instruments</w:t>
      </w:r>
      <w:r>
        <w:rPr>
          <w:rFonts w:ascii="Arial" w:cs="Arial" w:eastAsia="Arial" w:hAnsi="Arial"/>
          <w:sz w:val="12"/>
          <w:szCs w:val="12"/>
          <w:color w:val="231F20"/>
        </w:rPr>
        <w:t>, to the Consolidated Financial Statements for more information about concentration of credit risk.</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1480"/>
          </w:cols>
          <w:pgMar w:left="220" w:top="505" w:right="199" w:bottom="1440" w:gutter="0" w:footer="0" w:header="0"/>
        </w:sectPr>
      </w:pPr>
    </w:p>
    <w:bookmarkStart w:id="51" w:name="page52"/>
    <w:bookmarkEnd w:id="51"/>
    <w:p>
      <w:pPr>
        <w:spacing w:after="0"/>
        <w:rPr>
          <w:sz w:val="20"/>
          <w:szCs w:val="20"/>
          <w:color w:val="auto"/>
        </w:rPr>
      </w:pPr>
      <w:r>
        <w:rPr>
          <w:rFonts w:ascii="Arial" w:cs="Arial" w:eastAsia="Arial" w:hAnsi="Arial"/>
          <w:sz w:val="12"/>
          <w:szCs w:val="12"/>
          <w:b w:val="1"/>
          <w:bCs w:val="1"/>
          <w:color w:val="auto"/>
        </w:rPr>
        <w:t>ITEM 4 — Controls and Procedures</w:t>
      </w:r>
    </w:p>
    <w:p>
      <w:pPr>
        <w:spacing w:after="0" w:line="118"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Conclusion Regarding the Effectiveness of Disclosure Controls and Procedures</w:t>
      </w:r>
    </w:p>
    <w:p>
      <w:pPr>
        <w:spacing w:after="0" w:line="114" w:lineRule="exact"/>
        <w:rPr>
          <w:sz w:val="20"/>
          <w:szCs w:val="20"/>
          <w:color w:val="auto"/>
        </w:rPr>
      </w:pPr>
    </w:p>
    <w:p>
      <w:pPr>
        <w:jc w:val="both"/>
        <w:ind w:firstLine="270"/>
        <w:spacing w:after="0" w:line="298" w:lineRule="auto"/>
        <w:rPr>
          <w:sz w:val="20"/>
          <w:szCs w:val="20"/>
          <w:color w:val="auto"/>
        </w:rPr>
      </w:pPr>
      <w:r>
        <w:rPr>
          <w:rFonts w:ascii="Arial" w:cs="Arial" w:eastAsia="Arial" w:hAnsi="Arial"/>
          <w:sz w:val="11"/>
          <w:szCs w:val="11"/>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Quarterly Report on Form 10-Q.</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Changes in Internal Control over Financial Reporting</w:t>
      </w:r>
    </w:p>
    <w:p>
      <w:pPr>
        <w:spacing w:after="0" w:line="114" w:lineRule="exact"/>
        <w:rPr>
          <w:sz w:val="20"/>
          <w:szCs w:val="20"/>
          <w:color w:val="auto"/>
        </w:rPr>
      </w:pPr>
    </w:p>
    <w:p>
      <w:pPr>
        <w:jc w:val="both"/>
        <w:ind w:right="20" w:firstLine="270"/>
        <w:spacing w:after="0" w:line="276" w:lineRule="auto"/>
        <w:rPr>
          <w:sz w:val="20"/>
          <w:szCs w:val="20"/>
          <w:color w:val="auto"/>
        </w:rPr>
      </w:pPr>
      <w:r>
        <w:rPr>
          <w:rFonts w:ascii="Arial" w:cs="Arial" w:eastAsia="Arial" w:hAnsi="Arial"/>
          <w:sz w:val="12"/>
          <w:szCs w:val="12"/>
          <w:color w:val="auto"/>
        </w:rPr>
        <w:t>There were no changes in the Company's internal control over financial reporting (as such term is defined in Rule 13a-15(f) under the Exchange Act) that occurred in the quarter ended June 30, 2018 that materially affected, or are reasonably likely to materially affect, the Company's internal control over financial reporting.</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ectPr>
          <w:pgSz w:w="11900" w:h="16838" w:orient="portrait"/>
          <w:cols w:equalWidth="0" w:num="1">
            <w:col w:w="11480"/>
          </w:cols>
          <w:pgMar w:left="220" w:top="505" w:right="199" w:bottom="1440" w:gutter="0" w:footer="0" w:header="0"/>
        </w:sectPr>
      </w:pPr>
    </w:p>
    <w:bookmarkStart w:id="52" w:name="page53"/>
    <w:bookmarkEnd w:id="52"/>
    <w:p>
      <w:pPr>
        <w:ind w:left="4800"/>
        <w:spacing w:after="0"/>
        <w:rPr>
          <w:sz w:val="20"/>
          <w:szCs w:val="20"/>
          <w:color w:val="auto"/>
        </w:rPr>
      </w:pPr>
      <w:r>
        <w:rPr>
          <w:rFonts w:ascii="Arial" w:cs="Arial" w:eastAsia="Arial" w:hAnsi="Arial"/>
          <w:sz w:val="12"/>
          <w:szCs w:val="12"/>
          <w:b w:val="1"/>
          <w:bCs w:val="1"/>
          <w:color w:val="auto"/>
        </w:rPr>
        <w:t>PART II - OTHER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 LEGAL PROCEEDINGS</w:t>
      </w:r>
    </w:p>
    <w:p>
      <w:pPr>
        <w:spacing w:after="0" w:line="118" w:lineRule="exact"/>
        <w:rPr>
          <w:sz w:val="20"/>
          <w:szCs w:val="20"/>
          <w:color w:val="auto"/>
        </w:rPr>
      </w:pPr>
    </w:p>
    <w:p>
      <w:pPr>
        <w:ind w:left="280"/>
        <w:spacing w:after="0"/>
        <w:rPr>
          <w:sz w:val="20"/>
          <w:szCs w:val="20"/>
          <w:color w:val="auto"/>
        </w:rPr>
      </w:pPr>
      <w:r>
        <w:rPr>
          <w:rFonts w:ascii="Arial" w:cs="Arial" w:eastAsia="Arial" w:hAnsi="Arial"/>
          <w:sz w:val="12"/>
          <w:szCs w:val="12"/>
          <w:color w:val="auto"/>
        </w:rPr>
        <w:t xml:space="preserve">For a discussion of the material legal proceedings in which the Company was involved through June 30, 2018, see Note 13, </w:t>
      </w:r>
      <w:r>
        <w:rPr>
          <w:rFonts w:ascii="Arial" w:cs="Arial" w:eastAsia="Arial" w:hAnsi="Arial"/>
          <w:sz w:val="12"/>
          <w:szCs w:val="12"/>
          <w:i w:val="1"/>
          <w:iCs w:val="1"/>
          <w:color w:val="auto"/>
        </w:rPr>
        <w:t>Contingencies</w:t>
      </w:r>
      <w:r>
        <w:rPr>
          <w:rFonts w:ascii="Arial" w:cs="Arial" w:eastAsia="Arial" w:hAnsi="Arial"/>
          <w:sz w:val="12"/>
          <w:szCs w:val="12"/>
          <w:color w:val="auto"/>
        </w:rPr>
        <w:t>, to this Form 10-Q.</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1A — RISK FACTORS</w:t>
      </w:r>
    </w:p>
    <w:p>
      <w:pPr>
        <w:spacing w:after="0" w:line="118" w:lineRule="exact"/>
        <w:rPr>
          <w:sz w:val="20"/>
          <w:szCs w:val="20"/>
          <w:color w:val="auto"/>
        </w:rPr>
      </w:pPr>
    </w:p>
    <w:p>
      <w:pPr>
        <w:ind w:left="260"/>
        <w:spacing w:after="0"/>
        <w:rPr>
          <w:sz w:val="20"/>
          <w:szCs w:val="20"/>
          <w:color w:val="auto"/>
        </w:rPr>
      </w:pPr>
      <w:r>
        <w:rPr>
          <w:rFonts w:ascii="Arial" w:cs="Arial" w:eastAsia="Arial" w:hAnsi="Arial"/>
          <w:sz w:val="10"/>
          <w:szCs w:val="10"/>
          <w:color w:val="auto"/>
        </w:rPr>
        <w:t xml:space="preserve">Information regarding risk factors appears in Part I, Item 1A, </w:t>
      </w:r>
      <w:r>
        <w:rPr>
          <w:rFonts w:ascii="Arial" w:cs="Arial" w:eastAsia="Arial" w:hAnsi="Arial"/>
          <w:sz w:val="10"/>
          <w:szCs w:val="10"/>
          <w:i w:val="1"/>
          <w:iCs w:val="1"/>
          <w:color w:val="auto"/>
        </w:rPr>
        <w:t>Risk Factors,</w:t>
      </w:r>
      <w:r>
        <w:rPr>
          <w:rFonts w:ascii="Arial" w:cs="Arial" w:eastAsia="Arial" w:hAnsi="Arial"/>
          <w:sz w:val="10"/>
          <w:szCs w:val="10"/>
          <w:color w:val="auto"/>
        </w:rPr>
        <w:t xml:space="preserve"> in the Company's 2017 Form 10-K. There have been no material changes in the Company's risk factors since those reported in its 2017 Form 10-K.</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 UNREGISTERED SALES OF EQUITY SECURITIES AND USE OF PROCEEDS</w:t>
      </w:r>
    </w:p>
    <w:p>
      <w:pPr>
        <w:spacing w:after="0" w:line="118" w:lineRule="exact"/>
        <w:rPr>
          <w:sz w:val="20"/>
          <w:szCs w:val="20"/>
          <w:color w:val="auto"/>
        </w:rPr>
      </w:pPr>
    </w:p>
    <w:p>
      <w:pPr>
        <w:ind w:left="260"/>
        <w:spacing w:after="0"/>
        <w:rPr>
          <w:sz w:val="20"/>
          <w:szCs w:val="20"/>
          <w:color w:val="auto"/>
        </w:rPr>
      </w:pPr>
      <w:r>
        <w:rPr>
          <w:rFonts w:ascii="Arial" w:cs="Arial" w:eastAsia="Arial" w:hAnsi="Arial"/>
          <w:sz w:val="12"/>
          <w:szCs w:val="12"/>
          <w:color w:val="auto"/>
        </w:rPr>
        <w:t>None.</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 DEFAULTS UPON SENIOR SECURITIES</w:t>
      </w:r>
    </w:p>
    <w:p>
      <w:pPr>
        <w:spacing w:after="0" w:line="118" w:lineRule="exact"/>
        <w:rPr>
          <w:sz w:val="20"/>
          <w:szCs w:val="20"/>
          <w:color w:val="auto"/>
        </w:rPr>
      </w:pPr>
    </w:p>
    <w:p>
      <w:pPr>
        <w:ind w:left="260"/>
        <w:spacing w:after="0"/>
        <w:rPr>
          <w:sz w:val="20"/>
          <w:szCs w:val="20"/>
          <w:color w:val="auto"/>
        </w:rPr>
      </w:pPr>
      <w:r>
        <w:rPr>
          <w:rFonts w:ascii="Arial" w:cs="Arial" w:eastAsia="Arial" w:hAnsi="Arial"/>
          <w:sz w:val="12"/>
          <w:szCs w:val="12"/>
          <w:color w:val="auto"/>
        </w:rPr>
        <w:t>None.</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 MINE SAFETY DISCLOSURES</w:t>
      </w:r>
    </w:p>
    <w:p>
      <w:pPr>
        <w:spacing w:after="0" w:line="118" w:lineRule="exact"/>
        <w:rPr>
          <w:sz w:val="20"/>
          <w:szCs w:val="20"/>
          <w:color w:val="auto"/>
        </w:rPr>
      </w:pPr>
    </w:p>
    <w:p>
      <w:pPr>
        <w:ind w:left="260"/>
        <w:spacing w:after="0"/>
        <w:rPr>
          <w:sz w:val="20"/>
          <w:szCs w:val="20"/>
          <w:color w:val="auto"/>
        </w:rPr>
      </w:pPr>
      <w:r>
        <w:rPr>
          <w:rFonts w:ascii="Arial" w:cs="Arial" w:eastAsia="Arial" w:hAnsi="Arial"/>
          <w:sz w:val="12"/>
          <w:szCs w:val="12"/>
          <w:color w:val="auto"/>
        </w:rPr>
        <w:t>Not applicable.</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5 — OTHER INFORMATION</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None.</w:t>
      </w:r>
    </w:p>
    <w:p>
      <w:pPr>
        <w:spacing w:after="0" w:line="200" w:lineRule="exact"/>
        <w:rPr>
          <w:sz w:val="20"/>
          <w:szCs w:val="20"/>
          <w:color w:val="auto"/>
        </w:rPr>
      </w:pPr>
    </w:p>
    <w:p>
      <w:pPr>
        <w:spacing w:after="0" w:line="365" w:lineRule="exact"/>
        <w:rPr>
          <w:sz w:val="20"/>
          <w:szCs w:val="20"/>
          <w:color w:val="auto"/>
        </w:rPr>
      </w:pPr>
    </w:p>
    <w:p>
      <w:pPr>
        <w:jc w:val="center"/>
        <w:ind w:right="-499"/>
        <w:spacing w:after="0"/>
        <w:rPr>
          <w:sz w:val="20"/>
          <w:szCs w:val="20"/>
          <w:color w:val="auto"/>
        </w:rPr>
      </w:pPr>
      <w:r>
        <w:rPr>
          <w:rFonts w:ascii="Arial" w:cs="Arial" w:eastAsia="Arial" w:hAnsi="Arial"/>
          <w:sz w:val="12"/>
          <w:szCs w:val="12"/>
          <w:color w:val="auto"/>
        </w:rPr>
        <w:t>53</w:t>
      </w:r>
    </w:p>
    <w:p>
      <w:pPr>
        <w:sectPr>
          <w:pgSz w:w="11900" w:h="16838" w:orient="portrait"/>
          <w:cols w:equalWidth="0" w:num="1">
            <w:col w:w="10960"/>
          </w:cols>
          <w:pgMar w:left="220" w:top="505" w:right="719" w:bottom="1440" w:gutter="0" w:footer="0" w:header="0"/>
        </w:sectPr>
      </w:pPr>
    </w:p>
    <w:bookmarkStart w:id="53" w:name="page54"/>
    <w:bookmarkEnd w:id="53"/>
    <w:p>
      <w:pPr>
        <w:spacing w:after="0"/>
        <w:rPr>
          <w:sz w:val="20"/>
          <w:szCs w:val="20"/>
          <w:color w:val="auto"/>
        </w:rPr>
      </w:pPr>
      <w:r>
        <w:rPr>
          <w:rFonts w:ascii="Arial" w:cs="Arial" w:eastAsia="Arial" w:hAnsi="Arial"/>
          <w:sz w:val="12"/>
          <w:szCs w:val="12"/>
          <w:b w:val="1"/>
          <w:bCs w:val="1"/>
          <w:color w:val="auto"/>
        </w:rPr>
        <w:t>ITEM 6 — EXHIBITS</w:t>
      </w:r>
    </w:p>
    <w:p>
      <w:pPr>
        <w:sectPr>
          <w:pgSz w:w="11900" w:h="16838" w:orient="portrait"/>
          <w:cols w:equalWidth="0" w:num="1">
            <w:col w:w="11460"/>
          </w:cols>
          <w:pgMar w:left="220" w:top="505" w:right="219" w:bottom="1440" w:gutter="0" w:footer="0" w:header="0"/>
        </w:sectPr>
      </w:pP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140"/>
        </w:trPr>
        <w:tc>
          <w:tcPr>
            <w:tcW w:w="104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5920" w:type="dxa"/>
            <w:vAlign w:val="bottom"/>
            <w:gridSpan w:val="3"/>
          </w:tcPr>
          <w:p>
            <w:pPr>
              <w:spacing w:after="0"/>
              <w:rPr>
                <w:sz w:val="20"/>
                <w:szCs w:val="20"/>
                <w:color w:val="auto"/>
              </w:rPr>
            </w:pPr>
            <w:r>
              <w:rPr>
                <w:rFonts w:ascii="Arial" w:cs="Arial" w:eastAsia="Arial" w:hAnsi="Arial"/>
                <w:sz w:val="11"/>
                <w:szCs w:val="11"/>
                <w:b w:val="1"/>
                <w:bCs w:val="1"/>
                <w:color w:val="auto"/>
              </w:rPr>
              <w:t>Description</w:t>
            </w:r>
          </w:p>
        </w:tc>
      </w:tr>
      <w:tr>
        <w:trPr>
          <w:trHeight w:val="148"/>
        </w:trPr>
        <w:tc>
          <w:tcPr>
            <w:tcW w:w="1040" w:type="dxa"/>
            <w:vAlign w:val="bottom"/>
          </w:tcPr>
          <w:p>
            <w:pPr>
              <w:spacing w:after="0"/>
              <w:rPr>
                <w:sz w:val="20"/>
                <w:szCs w:val="20"/>
                <w:color w:val="auto"/>
              </w:rPr>
            </w:pPr>
            <w:r>
              <w:rPr>
                <w:rFonts w:ascii="Arial" w:cs="Arial" w:eastAsia="Arial" w:hAnsi="Arial"/>
                <w:sz w:val="11"/>
                <w:szCs w:val="11"/>
                <w:color w:val="auto"/>
              </w:rPr>
              <w:t>4.1</w:t>
            </w:r>
          </w:p>
        </w:tc>
        <w:tc>
          <w:tcPr>
            <w:tcW w:w="5920" w:type="dxa"/>
            <w:vAlign w:val="bottom"/>
            <w:tcBorders>
              <w:bottom w:val="single" w:sz="8" w:color="0000FF"/>
            </w:tcBorders>
            <w:gridSpan w:val="3"/>
          </w:tcPr>
          <w:p>
            <w:pPr>
              <w:spacing w:after="0"/>
              <w:rPr>
                <w:rFonts w:ascii="Arial" w:cs="Arial" w:eastAsia="Arial" w:hAnsi="Arial"/>
                <w:sz w:val="11"/>
                <w:szCs w:val="11"/>
                <w:color w:val="0000FF"/>
                <w:w w:val="88"/>
              </w:rPr>
            </w:pPr>
            <w:hyperlink r:id="rId43">
              <w:r>
                <w:rPr>
                  <w:rFonts w:ascii="Arial" w:cs="Arial" w:eastAsia="Arial" w:hAnsi="Arial"/>
                  <w:sz w:val="11"/>
                  <w:szCs w:val="11"/>
                  <w:color w:val="0000FF"/>
                  <w:w w:val="88"/>
                </w:rPr>
                <w:t>Sixth Supplemental Indenture, dated as of June 12, 2018, among NRG Yield Operating LLC, the guarantors named therein and Delaware</w:t>
              </w:r>
            </w:hyperlink>
          </w:p>
        </w:tc>
      </w:tr>
      <w:tr>
        <w:trPr>
          <w:trHeight w:val="115"/>
        </w:trPr>
        <w:tc>
          <w:tcPr>
            <w:tcW w:w="1040" w:type="dxa"/>
            <w:vAlign w:val="bottom"/>
          </w:tcPr>
          <w:p>
            <w:pPr>
              <w:spacing w:after="0"/>
              <w:rPr>
                <w:sz w:val="10"/>
                <w:szCs w:val="10"/>
                <w:color w:val="auto"/>
              </w:rPr>
            </w:pPr>
          </w:p>
        </w:tc>
        <w:tc>
          <w:tcPr>
            <w:tcW w:w="3880" w:type="dxa"/>
            <w:vAlign w:val="bottom"/>
            <w:tcBorders>
              <w:bottom w:val="single" w:sz="8" w:color="0000FF"/>
            </w:tcBorders>
          </w:tcPr>
          <w:p>
            <w:pPr>
              <w:spacing w:after="0" w:line="115" w:lineRule="exact"/>
              <w:rPr>
                <w:rFonts w:ascii="Arial" w:cs="Arial" w:eastAsia="Arial" w:hAnsi="Arial"/>
                <w:sz w:val="11"/>
                <w:szCs w:val="11"/>
                <w:color w:val="0000FF"/>
                <w:w w:val="88"/>
              </w:rPr>
            </w:pPr>
            <w:hyperlink r:id="rId43">
              <w:r>
                <w:rPr>
                  <w:rFonts w:ascii="Arial" w:cs="Arial" w:eastAsia="Arial" w:hAnsi="Arial"/>
                  <w:sz w:val="11"/>
                  <w:szCs w:val="11"/>
                  <w:color w:val="0000FF"/>
                  <w:w w:val="88"/>
                </w:rPr>
                <w:t>Trust Company (as successor in interest to Law Debenture Trust Company of New York).</w:t>
              </w:r>
            </w:hyperlink>
          </w:p>
        </w:tc>
        <w:tc>
          <w:tcPr>
            <w:tcW w:w="2040" w:type="dxa"/>
            <w:vAlign w:val="bottom"/>
            <w:gridSpan w:val="2"/>
          </w:tcPr>
          <w:p>
            <w:pPr>
              <w:spacing w:after="0"/>
              <w:rPr>
                <w:sz w:val="10"/>
                <w:szCs w:val="10"/>
                <w:color w:val="auto"/>
              </w:rPr>
            </w:pPr>
          </w:p>
        </w:tc>
      </w:tr>
      <w:tr>
        <w:trPr>
          <w:trHeight w:val="151"/>
        </w:trPr>
        <w:tc>
          <w:tcPr>
            <w:tcW w:w="1040" w:type="dxa"/>
            <w:vAlign w:val="bottom"/>
          </w:tcPr>
          <w:p>
            <w:pPr>
              <w:spacing w:after="0"/>
              <w:rPr>
                <w:sz w:val="20"/>
                <w:szCs w:val="20"/>
                <w:color w:val="auto"/>
              </w:rPr>
            </w:pPr>
            <w:r>
              <w:rPr>
                <w:rFonts w:ascii="Arial" w:cs="Arial" w:eastAsia="Arial" w:hAnsi="Arial"/>
                <w:sz w:val="11"/>
                <w:szCs w:val="11"/>
                <w:color w:val="auto"/>
              </w:rPr>
              <w:t>4.2</w:t>
            </w:r>
          </w:p>
        </w:tc>
        <w:tc>
          <w:tcPr>
            <w:tcW w:w="5920" w:type="dxa"/>
            <w:vAlign w:val="bottom"/>
            <w:tcBorders>
              <w:bottom w:val="single" w:sz="8" w:color="0000FF"/>
            </w:tcBorders>
            <w:gridSpan w:val="3"/>
          </w:tcPr>
          <w:p>
            <w:pPr>
              <w:spacing w:after="0"/>
              <w:rPr>
                <w:rFonts w:ascii="Arial" w:cs="Arial" w:eastAsia="Arial" w:hAnsi="Arial"/>
                <w:sz w:val="11"/>
                <w:szCs w:val="11"/>
                <w:color w:val="0000FF"/>
                <w:w w:val="93"/>
              </w:rPr>
            </w:pPr>
            <w:hyperlink r:id="rId44">
              <w:r>
                <w:rPr>
                  <w:rFonts w:ascii="Arial" w:cs="Arial" w:eastAsia="Arial" w:hAnsi="Arial"/>
                  <w:sz w:val="11"/>
                  <w:szCs w:val="11"/>
                  <w:color w:val="0000FF"/>
                  <w:w w:val="93"/>
                </w:rPr>
                <w:t>Second Supplemental Indenture, dated as of June 12, 2018, among NRG Yield Operating LLC, the guarantors named therein and</w:t>
              </w:r>
            </w:hyperlink>
          </w:p>
        </w:tc>
      </w:tr>
      <w:tr>
        <w:trPr>
          <w:trHeight w:val="115"/>
        </w:trPr>
        <w:tc>
          <w:tcPr>
            <w:tcW w:w="1040" w:type="dxa"/>
            <w:vAlign w:val="bottom"/>
          </w:tcPr>
          <w:p>
            <w:pPr>
              <w:spacing w:after="0"/>
              <w:rPr>
                <w:sz w:val="10"/>
                <w:szCs w:val="10"/>
                <w:color w:val="auto"/>
              </w:rPr>
            </w:pPr>
          </w:p>
        </w:tc>
        <w:tc>
          <w:tcPr>
            <w:tcW w:w="4320" w:type="dxa"/>
            <w:vAlign w:val="bottom"/>
            <w:tcBorders>
              <w:bottom w:val="single" w:sz="8" w:color="0000FF"/>
            </w:tcBorders>
            <w:gridSpan w:val="2"/>
          </w:tcPr>
          <w:p>
            <w:pPr>
              <w:spacing w:after="0" w:line="115" w:lineRule="exact"/>
              <w:rPr>
                <w:rFonts w:ascii="Arial" w:cs="Arial" w:eastAsia="Arial" w:hAnsi="Arial"/>
                <w:sz w:val="11"/>
                <w:szCs w:val="11"/>
                <w:color w:val="0000FF"/>
                <w:w w:val="88"/>
              </w:rPr>
            </w:pPr>
            <w:hyperlink r:id="rId44">
              <w:r>
                <w:rPr>
                  <w:rFonts w:ascii="Arial" w:cs="Arial" w:eastAsia="Arial" w:hAnsi="Arial"/>
                  <w:sz w:val="11"/>
                  <w:szCs w:val="11"/>
                  <w:color w:val="0000FF"/>
                  <w:w w:val="88"/>
                </w:rPr>
                <w:t>Delaware Trust Company (as successor in interest to Law Debenture Trust Company of New York).</w:t>
              </w:r>
            </w:hyperlink>
          </w:p>
        </w:tc>
        <w:tc>
          <w:tcPr>
            <w:tcW w:w="1600" w:type="dxa"/>
            <w:vAlign w:val="bottom"/>
          </w:tcPr>
          <w:p>
            <w:pPr>
              <w:spacing w:after="0"/>
              <w:rPr>
                <w:sz w:val="10"/>
                <w:szCs w:val="10"/>
                <w:color w:val="auto"/>
              </w:rPr>
            </w:pPr>
          </w:p>
        </w:tc>
      </w:tr>
      <w:tr>
        <w:trPr>
          <w:trHeight w:val="151"/>
        </w:trPr>
        <w:tc>
          <w:tcPr>
            <w:tcW w:w="1040" w:type="dxa"/>
            <w:vAlign w:val="bottom"/>
          </w:tcPr>
          <w:p>
            <w:pPr>
              <w:spacing w:after="0"/>
              <w:rPr>
                <w:sz w:val="20"/>
                <w:szCs w:val="20"/>
                <w:color w:val="auto"/>
              </w:rPr>
            </w:pPr>
            <w:r>
              <w:rPr>
                <w:rFonts w:ascii="Arial" w:cs="Arial" w:eastAsia="Arial" w:hAnsi="Arial"/>
                <w:sz w:val="11"/>
                <w:szCs w:val="11"/>
                <w:color w:val="auto"/>
              </w:rPr>
              <w:t>4.3</w:t>
            </w:r>
          </w:p>
        </w:tc>
        <w:tc>
          <w:tcPr>
            <w:tcW w:w="5920" w:type="dxa"/>
            <w:vAlign w:val="bottom"/>
            <w:tcBorders>
              <w:bottom w:val="single" w:sz="8" w:color="0000FF"/>
            </w:tcBorders>
            <w:gridSpan w:val="3"/>
          </w:tcPr>
          <w:p>
            <w:pPr>
              <w:spacing w:after="0"/>
              <w:rPr>
                <w:rFonts w:ascii="Arial" w:cs="Arial" w:eastAsia="Arial" w:hAnsi="Arial"/>
                <w:sz w:val="11"/>
                <w:szCs w:val="11"/>
                <w:color w:val="0000FF"/>
                <w:w w:val="93"/>
              </w:rPr>
            </w:pPr>
            <w:hyperlink w:anchor="page56">
              <w:r>
                <w:rPr>
                  <w:rFonts w:ascii="Arial" w:cs="Arial" w:eastAsia="Arial" w:hAnsi="Arial"/>
                  <w:sz w:val="11"/>
                  <w:szCs w:val="11"/>
                  <w:color w:val="0000FF"/>
                  <w:w w:val="93"/>
                </w:rPr>
                <w:t>Seventh Supplemental Indenture, dated as of July 17, 2018, among NRG Yield Operating LLC, the guarantors named therein and</w:t>
              </w:r>
            </w:hyperlink>
          </w:p>
        </w:tc>
      </w:tr>
      <w:tr>
        <w:trPr>
          <w:trHeight w:val="115"/>
        </w:trPr>
        <w:tc>
          <w:tcPr>
            <w:tcW w:w="1040" w:type="dxa"/>
            <w:vAlign w:val="bottom"/>
          </w:tcPr>
          <w:p>
            <w:pPr>
              <w:spacing w:after="0"/>
              <w:rPr>
                <w:sz w:val="10"/>
                <w:szCs w:val="10"/>
                <w:color w:val="auto"/>
              </w:rPr>
            </w:pPr>
          </w:p>
        </w:tc>
        <w:tc>
          <w:tcPr>
            <w:tcW w:w="4320" w:type="dxa"/>
            <w:vAlign w:val="bottom"/>
            <w:tcBorders>
              <w:bottom w:val="single" w:sz="8" w:color="0000FF"/>
            </w:tcBorders>
            <w:gridSpan w:val="2"/>
          </w:tcPr>
          <w:p>
            <w:pPr>
              <w:spacing w:after="0" w:line="115" w:lineRule="exact"/>
              <w:rPr>
                <w:rFonts w:ascii="Arial" w:cs="Arial" w:eastAsia="Arial" w:hAnsi="Arial"/>
                <w:sz w:val="11"/>
                <w:szCs w:val="11"/>
                <w:color w:val="0000FF"/>
                <w:w w:val="88"/>
              </w:rPr>
            </w:pPr>
            <w:hyperlink w:anchor="page56">
              <w:r>
                <w:rPr>
                  <w:rFonts w:ascii="Arial" w:cs="Arial" w:eastAsia="Arial" w:hAnsi="Arial"/>
                  <w:sz w:val="11"/>
                  <w:szCs w:val="11"/>
                  <w:color w:val="0000FF"/>
                  <w:w w:val="88"/>
                </w:rPr>
                <w:t>Delaware Trust Company (as successor in interest to Law Debenture Trust Company of New York).</w:t>
              </w:r>
            </w:hyperlink>
          </w:p>
        </w:tc>
        <w:tc>
          <w:tcPr>
            <w:tcW w:w="1600" w:type="dxa"/>
            <w:vAlign w:val="bottom"/>
          </w:tcPr>
          <w:p>
            <w:pPr>
              <w:spacing w:after="0"/>
              <w:rPr>
                <w:sz w:val="10"/>
                <w:szCs w:val="10"/>
                <w:color w:val="auto"/>
              </w:rPr>
            </w:pPr>
          </w:p>
        </w:tc>
      </w:tr>
      <w:tr>
        <w:trPr>
          <w:trHeight w:val="151"/>
        </w:trPr>
        <w:tc>
          <w:tcPr>
            <w:tcW w:w="1040" w:type="dxa"/>
            <w:vAlign w:val="bottom"/>
          </w:tcPr>
          <w:p>
            <w:pPr>
              <w:spacing w:after="0"/>
              <w:rPr>
                <w:sz w:val="20"/>
                <w:szCs w:val="20"/>
                <w:color w:val="auto"/>
              </w:rPr>
            </w:pPr>
            <w:r>
              <w:rPr>
                <w:rFonts w:ascii="Arial" w:cs="Arial" w:eastAsia="Arial" w:hAnsi="Arial"/>
                <w:sz w:val="11"/>
                <w:szCs w:val="11"/>
                <w:color w:val="auto"/>
              </w:rPr>
              <w:t>4.4</w:t>
            </w:r>
          </w:p>
        </w:tc>
        <w:tc>
          <w:tcPr>
            <w:tcW w:w="5920" w:type="dxa"/>
            <w:vAlign w:val="bottom"/>
            <w:tcBorders>
              <w:bottom w:val="single" w:sz="8" w:color="0000FF"/>
            </w:tcBorders>
            <w:gridSpan w:val="3"/>
          </w:tcPr>
          <w:p>
            <w:pPr>
              <w:spacing w:after="0"/>
              <w:rPr>
                <w:rFonts w:ascii="Arial" w:cs="Arial" w:eastAsia="Arial" w:hAnsi="Arial"/>
                <w:sz w:val="11"/>
                <w:szCs w:val="11"/>
                <w:color w:val="0000FF"/>
                <w:w w:val="88"/>
              </w:rPr>
            </w:pPr>
            <w:hyperlink w:anchor="page60">
              <w:r>
                <w:rPr>
                  <w:rFonts w:ascii="Arial" w:cs="Arial" w:eastAsia="Arial" w:hAnsi="Arial"/>
                  <w:sz w:val="11"/>
                  <w:szCs w:val="11"/>
                  <w:color w:val="0000FF"/>
                  <w:w w:val="88"/>
                </w:rPr>
                <w:t>Third Supplemental Indenture, dated as of July 17, 2018, among NRG Yield Operating LLC, the guarantors named therein and Delaware</w:t>
              </w:r>
            </w:hyperlink>
          </w:p>
        </w:tc>
      </w:tr>
      <w:tr>
        <w:trPr>
          <w:trHeight w:val="115"/>
        </w:trPr>
        <w:tc>
          <w:tcPr>
            <w:tcW w:w="1040" w:type="dxa"/>
            <w:vAlign w:val="bottom"/>
          </w:tcPr>
          <w:p>
            <w:pPr>
              <w:spacing w:after="0"/>
              <w:rPr>
                <w:sz w:val="10"/>
                <w:szCs w:val="10"/>
                <w:color w:val="auto"/>
              </w:rPr>
            </w:pPr>
          </w:p>
        </w:tc>
        <w:tc>
          <w:tcPr>
            <w:tcW w:w="3880" w:type="dxa"/>
            <w:vAlign w:val="bottom"/>
            <w:tcBorders>
              <w:bottom w:val="single" w:sz="8" w:color="0000FF"/>
            </w:tcBorders>
          </w:tcPr>
          <w:p>
            <w:pPr>
              <w:spacing w:after="0" w:line="115" w:lineRule="exact"/>
              <w:rPr>
                <w:rFonts w:ascii="Arial" w:cs="Arial" w:eastAsia="Arial" w:hAnsi="Arial"/>
                <w:sz w:val="11"/>
                <w:szCs w:val="11"/>
                <w:color w:val="0000FF"/>
                <w:w w:val="88"/>
              </w:rPr>
            </w:pPr>
            <w:hyperlink w:anchor="page60">
              <w:r>
                <w:rPr>
                  <w:rFonts w:ascii="Arial" w:cs="Arial" w:eastAsia="Arial" w:hAnsi="Arial"/>
                  <w:sz w:val="11"/>
                  <w:szCs w:val="11"/>
                  <w:color w:val="0000FF"/>
                  <w:w w:val="88"/>
                </w:rPr>
                <w:t>Trust Company (as successor in interest to Law Debenture Trust Company of New York).</w:t>
              </w:r>
            </w:hyperlink>
          </w:p>
        </w:tc>
        <w:tc>
          <w:tcPr>
            <w:tcW w:w="2040" w:type="dxa"/>
            <w:vAlign w:val="bottom"/>
            <w:gridSpan w:val="2"/>
          </w:tcPr>
          <w:p>
            <w:pPr>
              <w:spacing w:after="0"/>
              <w:rPr>
                <w:sz w:val="10"/>
                <w:szCs w:val="10"/>
                <w:color w:val="auto"/>
              </w:rPr>
            </w:pPr>
          </w:p>
        </w:tc>
      </w:tr>
    </w:tbl>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Method of Filing</w:t>
      </w:r>
    </w:p>
    <w:p>
      <w:pPr>
        <w:spacing w:after="0" w:line="49" w:lineRule="exact"/>
        <w:rPr>
          <w:sz w:val="20"/>
          <w:szCs w:val="20"/>
          <w:color w:val="auto"/>
        </w:rPr>
      </w:pPr>
    </w:p>
    <w:p>
      <w:pPr>
        <w:spacing w:after="0" w:line="274" w:lineRule="auto"/>
        <w:rPr>
          <w:sz w:val="20"/>
          <w:szCs w:val="20"/>
          <w:color w:val="auto"/>
        </w:rPr>
      </w:pPr>
      <w:r>
        <w:rPr>
          <w:rFonts w:ascii="Arial" w:cs="Arial" w:eastAsia="Arial" w:hAnsi="Arial"/>
          <w:sz w:val="11"/>
          <w:szCs w:val="11"/>
          <w:color w:val="auto"/>
        </w:rPr>
        <w:t>Incorporated herein by reference to Exhibit 4.1 to the Registrant's Current Report on Form 8-K filed on June 12, 2018.</w:t>
      </w:r>
    </w:p>
    <w:p>
      <w:pPr>
        <w:spacing w:after="0" w:line="17" w:lineRule="exact"/>
        <w:rPr>
          <w:sz w:val="20"/>
          <w:szCs w:val="20"/>
          <w:color w:val="auto"/>
        </w:rPr>
      </w:pPr>
    </w:p>
    <w:p>
      <w:pPr>
        <w:spacing w:after="0" w:line="274" w:lineRule="auto"/>
        <w:rPr>
          <w:sz w:val="20"/>
          <w:szCs w:val="20"/>
          <w:color w:val="auto"/>
        </w:rPr>
      </w:pPr>
      <w:r>
        <w:rPr>
          <w:rFonts w:ascii="Arial" w:cs="Arial" w:eastAsia="Arial" w:hAnsi="Arial"/>
          <w:sz w:val="11"/>
          <w:szCs w:val="11"/>
          <w:color w:val="auto"/>
        </w:rPr>
        <w:t>Incorporated herein by reference to Exhibit 4.2 to the Registrant's Current Report on Form 8-K filed on June 12, 2018.</w:t>
      </w:r>
    </w:p>
    <w:p>
      <w:pPr>
        <w:spacing w:after="0" w:line="17" w:lineRule="exact"/>
        <w:rPr>
          <w:sz w:val="20"/>
          <w:szCs w:val="20"/>
          <w:color w:val="auto"/>
        </w:rPr>
      </w:pPr>
    </w:p>
    <w:p>
      <w:pPr>
        <w:spacing w:after="0"/>
        <w:rPr>
          <w:sz w:val="20"/>
          <w:szCs w:val="20"/>
          <w:color w:val="auto"/>
        </w:rPr>
      </w:pPr>
      <w:r>
        <w:rPr>
          <w:rFonts w:ascii="Arial" w:cs="Arial" w:eastAsia="Arial" w:hAnsi="Arial"/>
          <w:sz w:val="11"/>
          <w:szCs w:val="11"/>
          <w:color w:val="auto"/>
        </w:rPr>
        <w:t>Filed herewith.</w:t>
      </w:r>
    </w:p>
    <w:p>
      <w:pPr>
        <w:spacing w:after="0" w:line="180" w:lineRule="exact"/>
        <w:rPr>
          <w:sz w:val="20"/>
          <w:szCs w:val="20"/>
          <w:color w:val="auto"/>
        </w:rPr>
      </w:pPr>
    </w:p>
    <w:p>
      <w:pPr>
        <w:spacing w:after="0"/>
        <w:rPr>
          <w:sz w:val="20"/>
          <w:szCs w:val="20"/>
          <w:color w:val="auto"/>
        </w:rPr>
      </w:pPr>
      <w:r>
        <w:rPr>
          <w:rFonts w:ascii="Arial" w:cs="Arial" w:eastAsia="Arial" w:hAnsi="Arial"/>
          <w:sz w:val="11"/>
          <w:szCs w:val="11"/>
          <w:color w:val="auto"/>
        </w:rPr>
        <w:t>Filed herewith.</w:t>
      </w:r>
    </w:p>
    <w:p>
      <w:pPr>
        <w:spacing w:after="0" w:line="175" w:lineRule="exact"/>
        <w:rPr>
          <w:sz w:val="20"/>
          <w:szCs w:val="20"/>
          <w:color w:val="auto"/>
        </w:rPr>
      </w:pPr>
    </w:p>
    <w:p>
      <w:pPr>
        <w:sectPr>
          <w:pgSz w:w="11900" w:h="16838" w:orient="portrait"/>
          <w:cols w:equalWidth="0" w:num="2">
            <w:col w:w="6980" w:space="160"/>
            <w:col w:w="4320"/>
          </w:cols>
          <w:pgMar w:left="220" w:top="505" w:right="219" w:bottom="1440" w:gutter="0" w:footer="0" w:header="0"/>
          <w:type w:val="continuous"/>
        </w:sectPr>
      </w:pPr>
    </w:p>
    <w:tbl>
      <w:tblPr>
        <w:tblLayout w:type="fixed"/>
        <w:tblInd w:w="20" w:type="dxa"/>
        <w:tblCellMar>
          <w:top w:w="0" w:type="dxa"/>
          <w:left w:w="0" w:type="dxa"/>
          <w:bottom w:w="0" w:type="dxa"/>
          <w:right w:w="0" w:type="dxa"/>
        </w:tblCellMar>
      </w:tblPr>
      <w:tr>
        <w:trPr>
          <w:trHeight w:val="126"/>
        </w:trPr>
        <w:tc>
          <w:tcPr>
            <w:tcW w:w="180" w:type="dxa"/>
            <w:vAlign w:val="bottom"/>
          </w:tcPr>
          <w:p>
            <w:pPr>
              <w:spacing w:after="0"/>
              <w:rPr>
                <w:sz w:val="20"/>
                <w:szCs w:val="20"/>
                <w:color w:val="auto"/>
              </w:rPr>
            </w:pPr>
            <w:r>
              <w:rPr>
                <w:rFonts w:ascii="Arial" w:cs="Arial" w:eastAsia="Arial" w:hAnsi="Arial"/>
                <w:sz w:val="11"/>
                <w:szCs w:val="11"/>
                <w:color w:val="auto"/>
                <w:w w:val="74"/>
              </w:rPr>
              <w:t>31.1</w:t>
            </w:r>
          </w:p>
        </w:tc>
        <w:tc>
          <w:tcPr>
            <w:tcW w:w="860" w:type="dxa"/>
            <w:vAlign w:val="bottom"/>
          </w:tcPr>
          <w:p>
            <w:pPr>
              <w:spacing w:after="0"/>
              <w:rPr>
                <w:sz w:val="10"/>
                <w:szCs w:val="10"/>
                <w:color w:val="auto"/>
              </w:rPr>
            </w:pPr>
          </w:p>
        </w:tc>
        <w:tc>
          <w:tcPr>
            <w:tcW w:w="2720" w:type="dxa"/>
            <w:vAlign w:val="bottom"/>
            <w:tcBorders>
              <w:bottom w:val="single" w:sz="8" w:color="0000FF"/>
            </w:tcBorders>
            <w:gridSpan w:val="3"/>
          </w:tcPr>
          <w:p>
            <w:pPr>
              <w:spacing w:after="0"/>
              <w:rPr>
                <w:rFonts w:ascii="Arial" w:cs="Arial" w:eastAsia="Arial" w:hAnsi="Arial"/>
                <w:sz w:val="11"/>
                <w:szCs w:val="11"/>
                <w:color w:val="0000FF"/>
                <w:w w:val="89"/>
              </w:rPr>
            </w:pPr>
            <w:hyperlink w:anchor="page63">
              <w:r>
                <w:rPr>
                  <w:rFonts w:ascii="Arial" w:cs="Arial" w:eastAsia="Arial" w:hAnsi="Arial"/>
                  <w:sz w:val="11"/>
                  <w:szCs w:val="11"/>
                  <w:color w:val="0000FF"/>
                  <w:w w:val="89"/>
                </w:rPr>
                <w:t>Rule 13a-14(a)/15d-14(a) certification of Christopher S. Sotos.</w:t>
              </w:r>
            </w:hyperlink>
          </w:p>
        </w:tc>
        <w:tc>
          <w:tcPr>
            <w:tcW w:w="1680" w:type="dxa"/>
            <w:vAlign w:val="bottom"/>
          </w:tcPr>
          <w:p>
            <w:pPr>
              <w:spacing w:after="0"/>
              <w:rPr>
                <w:sz w:val="10"/>
                <w:szCs w:val="10"/>
                <w:color w:val="auto"/>
              </w:rPr>
            </w:pPr>
          </w:p>
        </w:tc>
        <w:tc>
          <w:tcPr>
            <w:tcW w:w="2540" w:type="dxa"/>
            <w:vAlign w:val="bottom"/>
          </w:tcPr>
          <w:p>
            <w:pPr>
              <w:ind w:left="1680"/>
              <w:spacing w:after="0"/>
              <w:rPr>
                <w:sz w:val="20"/>
                <w:szCs w:val="20"/>
                <w:color w:val="auto"/>
              </w:rPr>
            </w:pPr>
            <w:r>
              <w:rPr>
                <w:rFonts w:ascii="Arial" w:cs="Arial" w:eastAsia="Arial" w:hAnsi="Arial"/>
                <w:sz w:val="11"/>
                <w:szCs w:val="11"/>
                <w:color w:val="auto"/>
              </w:rPr>
              <w:t>Filed herewith.</w:t>
            </w:r>
          </w:p>
        </w:tc>
      </w:tr>
      <w:tr>
        <w:trPr>
          <w:trHeight w:val="160"/>
        </w:trPr>
        <w:tc>
          <w:tcPr>
            <w:tcW w:w="180" w:type="dxa"/>
            <w:vAlign w:val="bottom"/>
          </w:tcPr>
          <w:p>
            <w:pPr>
              <w:spacing w:after="0"/>
              <w:rPr>
                <w:sz w:val="20"/>
                <w:szCs w:val="20"/>
                <w:color w:val="auto"/>
              </w:rPr>
            </w:pPr>
            <w:r>
              <w:rPr>
                <w:rFonts w:ascii="Arial" w:cs="Arial" w:eastAsia="Arial" w:hAnsi="Arial"/>
                <w:sz w:val="11"/>
                <w:szCs w:val="11"/>
                <w:color w:val="auto"/>
                <w:w w:val="74"/>
              </w:rPr>
              <w:t>31.2</w:t>
            </w:r>
          </w:p>
        </w:tc>
        <w:tc>
          <w:tcPr>
            <w:tcW w:w="860" w:type="dxa"/>
            <w:vAlign w:val="bottom"/>
          </w:tcPr>
          <w:p>
            <w:pPr>
              <w:spacing w:after="0"/>
              <w:rPr>
                <w:sz w:val="13"/>
                <w:szCs w:val="13"/>
                <w:color w:val="auto"/>
              </w:rPr>
            </w:pPr>
          </w:p>
        </w:tc>
        <w:tc>
          <w:tcPr>
            <w:tcW w:w="2400" w:type="dxa"/>
            <w:vAlign w:val="bottom"/>
            <w:tcBorders>
              <w:bottom w:val="single" w:sz="8" w:color="0000FF"/>
            </w:tcBorders>
            <w:gridSpan w:val="2"/>
          </w:tcPr>
          <w:p>
            <w:pPr>
              <w:spacing w:after="0"/>
              <w:rPr>
                <w:rFonts w:ascii="Arial" w:cs="Arial" w:eastAsia="Arial" w:hAnsi="Arial"/>
                <w:sz w:val="11"/>
                <w:szCs w:val="11"/>
                <w:color w:val="0000FF"/>
                <w:w w:val="90"/>
              </w:rPr>
            </w:pPr>
            <w:hyperlink w:anchor="page64">
              <w:r>
                <w:rPr>
                  <w:rFonts w:ascii="Arial" w:cs="Arial" w:eastAsia="Arial" w:hAnsi="Arial"/>
                  <w:sz w:val="11"/>
                  <w:szCs w:val="11"/>
                  <w:color w:val="0000FF"/>
                  <w:w w:val="90"/>
                </w:rPr>
                <w:t>Rule 13a-14(a)/15d-14(a) certification of Chad Plotkin.</w:t>
              </w:r>
            </w:hyperlink>
          </w:p>
        </w:tc>
        <w:tc>
          <w:tcPr>
            <w:tcW w:w="2000" w:type="dxa"/>
            <w:vAlign w:val="bottom"/>
            <w:gridSpan w:val="2"/>
          </w:tcPr>
          <w:p>
            <w:pPr>
              <w:spacing w:after="0"/>
              <w:rPr>
                <w:sz w:val="13"/>
                <w:szCs w:val="13"/>
                <w:color w:val="auto"/>
              </w:rPr>
            </w:pPr>
          </w:p>
        </w:tc>
        <w:tc>
          <w:tcPr>
            <w:tcW w:w="2540" w:type="dxa"/>
            <w:vAlign w:val="bottom"/>
          </w:tcPr>
          <w:p>
            <w:pPr>
              <w:ind w:left="1680"/>
              <w:spacing w:after="0"/>
              <w:rPr>
                <w:sz w:val="20"/>
                <w:szCs w:val="20"/>
                <w:color w:val="auto"/>
              </w:rPr>
            </w:pPr>
            <w:r>
              <w:rPr>
                <w:rFonts w:ascii="Arial" w:cs="Arial" w:eastAsia="Arial" w:hAnsi="Arial"/>
                <w:sz w:val="11"/>
                <w:szCs w:val="11"/>
                <w:color w:val="auto"/>
              </w:rPr>
              <w:t>Filed herewith.</w:t>
            </w:r>
          </w:p>
        </w:tc>
      </w:tr>
      <w:tr>
        <w:trPr>
          <w:trHeight w:val="160"/>
        </w:trPr>
        <w:tc>
          <w:tcPr>
            <w:tcW w:w="180" w:type="dxa"/>
            <w:vAlign w:val="bottom"/>
          </w:tcPr>
          <w:p>
            <w:pPr>
              <w:spacing w:after="0"/>
              <w:rPr>
                <w:sz w:val="20"/>
                <w:szCs w:val="20"/>
                <w:color w:val="auto"/>
              </w:rPr>
            </w:pPr>
            <w:r>
              <w:rPr>
                <w:rFonts w:ascii="Arial" w:cs="Arial" w:eastAsia="Arial" w:hAnsi="Arial"/>
                <w:sz w:val="11"/>
                <w:szCs w:val="11"/>
                <w:color w:val="auto"/>
                <w:w w:val="74"/>
              </w:rPr>
              <w:t>31.3</w:t>
            </w:r>
          </w:p>
        </w:tc>
        <w:tc>
          <w:tcPr>
            <w:tcW w:w="860" w:type="dxa"/>
            <w:vAlign w:val="bottom"/>
          </w:tcPr>
          <w:p>
            <w:pPr>
              <w:spacing w:after="0"/>
              <w:rPr>
                <w:sz w:val="13"/>
                <w:szCs w:val="13"/>
                <w:color w:val="auto"/>
              </w:rPr>
            </w:pPr>
          </w:p>
        </w:tc>
        <w:tc>
          <w:tcPr>
            <w:tcW w:w="2400" w:type="dxa"/>
            <w:vAlign w:val="bottom"/>
            <w:tcBorders>
              <w:bottom w:val="single" w:sz="8" w:color="0000FF"/>
            </w:tcBorders>
            <w:gridSpan w:val="2"/>
          </w:tcPr>
          <w:p>
            <w:pPr>
              <w:spacing w:after="0"/>
              <w:rPr>
                <w:rFonts w:ascii="Arial" w:cs="Arial" w:eastAsia="Arial" w:hAnsi="Arial"/>
                <w:sz w:val="11"/>
                <w:szCs w:val="11"/>
                <w:color w:val="0000FF"/>
                <w:w w:val="90"/>
              </w:rPr>
            </w:pPr>
            <w:hyperlink w:anchor="page65">
              <w:r>
                <w:rPr>
                  <w:rFonts w:ascii="Arial" w:cs="Arial" w:eastAsia="Arial" w:hAnsi="Arial"/>
                  <w:sz w:val="11"/>
                  <w:szCs w:val="11"/>
                  <w:color w:val="0000FF"/>
                  <w:w w:val="90"/>
                </w:rPr>
                <w:t>Rule 13a-14(a)/15d-14(a) certification of David Callen.</w:t>
              </w:r>
            </w:hyperlink>
          </w:p>
        </w:tc>
        <w:tc>
          <w:tcPr>
            <w:tcW w:w="2000" w:type="dxa"/>
            <w:vAlign w:val="bottom"/>
            <w:gridSpan w:val="2"/>
          </w:tcPr>
          <w:p>
            <w:pPr>
              <w:spacing w:after="0"/>
              <w:rPr>
                <w:sz w:val="13"/>
                <w:szCs w:val="13"/>
                <w:color w:val="auto"/>
              </w:rPr>
            </w:pPr>
          </w:p>
        </w:tc>
        <w:tc>
          <w:tcPr>
            <w:tcW w:w="2540" w:type="dxa"/>
            <w:vAlign w:val="bottom"/>
          </w:tcPr>
          <w:p>
            <w:pPr>
              <w:ind w:left="1680"/>
              <w:spacing w:after="0"/>
              <w:rPr>
                <w:sz w:val="20"/>
                <w:szCs w:val="20"/>
                <w:color w:val="auto"/>
              </w:rPr>
            </w:pPr>
            <w:r>
              <w:rPr>
                <w:rFonts w:ascii="Arial" w:cs="Arial" w:eastAsia="Arial" w:hAnsi="Arial"/>
                <w:sz w:val="11"/>
                <w:szCs w:val="11"/>
                <w:color w:val="auto"/>
              </w:rPr>
              <w:t>Filed herewith.</w:t>
            </w:r>
          </w:p>
        </w:tc>
      </w:tr>
      <w:tr>
        <w:trPr>
          <w:trHeight w:val="160"/>
        </w:trPr>
        <w:tc>
          <w:tcPr>
            <w:tcW w:w="180" w:type="dxa"/>
            <w:vAlign w:val="bottom"/>
          </w:tcPr>
          <w:p>
            <w:pPr>
              <w:spacing w:after="0"/>
              <w:rPr>
                <w:sz w:val="20"/>
                <w:szCs w:val="20"/>
                <w:color w:val="auto"/>
              </w:rPr>
            </w:pPr>
            <w:r>
              <w:rPr>
                <w:rFonts w:ascii="Arial" w:cs="Arial" w:eastAsia="Arial" w:hAnsi="Arial"/>
                <w:sz w:val="11"/>
                <w:szCs w:val="11"/>
                <w:color w:val="auto"/>
              </w:rPr>
              <w:t>32</w:t>
            </w:r>
          </w:p>
        </w:tc>
        <w:tc>
          <w:tcPr>
            <w:tcW w:w="860" w:type="dxa"/>
            <w:vAlign w:val="bottom"/>
          </w:tcPr>
          <w:p>
            <w:pPr>
              <w:spacing w:after="0"/>
              <w:rPr>
                <w:sz w:val="13"/>
                <w:szCs w:val="13"/>
                <w:color w:val="auto"/>
              </w:rPr>
            </w:pPr>
          </w:p>
        </w:tc>
        <w:tc>
          <w:tcPr>
            <w:tcW w:w="4400" w:type="dxa"/>
            <w:vAlign w:val="bottom"/>
            <w:gridSpan w:val="4"/>
          </w:tcPr>
          <w:p>
            <w:pPr>
              <w:spacing w:after="0"/>
              <w:rPr>
                <w:rFonts w:ascii="Arial" w:cs="Arial" w:eastAsia="Arial" w:hAnsi="Arial"/>
                <w:sz w:val="11"/>
                <w:szCs w:val="11"/>
                <w:color w:val="0000FF"/>
              </w:rPr>
            </w:pPr>
            <w:hyperlink w:anchor="page66">
              <w:r>
                <w:rPr>
                  <w:rFonts w:ascii="Arial" w:cs="Arial" w:eastAsia="Arial" w:hAnsi="Arial"/>
                  <w:sz w:val="11"/>
                  <w:szCs w:val="11"/>
                  <w:color w:val="0000FF"/>
                </w:rPr>
                <w:t>Section 1350 Certification.</w:t>
              </w:r>
            </w:hyperlink>
          </w:p>
        </w:tc>
        <w:tc>
          <w:tcPr>
            <w:tcW w:w="2540" w:type="dxa"/>
            <w:vAlign w:val="bottom"/>
          </w:tcPr>
          <w:p>
            <w:pPr>
              <w:ind w:left="1680"/>
              <w:spacing w:after="0"/>
              <w:rPr>
                <w:sz w:val="20"/>
                <w:szCs w:val="20"/>
                <w:color w:val="auto"/>
              </w:rPr>
            </w:pPr>
            <w:r>
              <w:rPr>
                <w:rFonts w:ascii="Arial" w:cs="Arial" w:eastAsia="Arial" w:hAnsi="Arial"/>
                <w:sz w:val="11"/>
                <w:szCs w:val="11"/>
                <w:color w:val="auto"/>
                <w:w w:val="86"/>
              </w:rPr>
              <w:t>Furnished herewith.</w:t>
            </w:r>
          </w:p>
        </w:tc>
      </w:tr>
      <w:tr>
        <w:trPr>
          <w:trHeight w:val="20"/>
        </w:trPr>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83"/>
        </w:trPr>
        <w:tc>
          <w:tcPr>
            <w:tcW w:w="180" w:type="dxa"/>
            <w:vAlign w:val="bottom"/>
          </w:tcPr>
          <w:p>
            <w:pPr>
              <w:spacing w:after="0"/>
              <w:rPr>
                <w:sz w:val="20"/>
                <w:szCs w:val="20"/>
                <w:color w:val="auto"/>
              </w:rPr>
            </w:pPr>
            <w:r>
              <w:rPr>
                <w:rFonts w:ascii="Arial" w:cs="Arial" w:eastAsia="Arial" w:hAnsi="Arial"/>
                <w:sz w:val="11"/>
                <w:szCs w:val="11"/>
                <w:color w:val="auto"/>
                <w:w w:val="86"/>
              </w:rPr>
              <w:t>101</w:t>
            </w:r>
          </w:p>
        </w:tc>
        <w:tc>
          <w:tcPr>
            <w:tcW w:w="860" w:type="dxa"/>
            <w:vAlign w:val="bottom"/>
          </w:tcPr>
          <w:p>
            <w:pPr>
              <w:spacing w:after="0"/>
              <w:rPr>
                <w:sz w:val="20"/>
                <w:szCs w:val="20"/>
                <w:color w:val="auto"/>
              </w:rPr>
            </w:pPr>
            <w:r>
              <w:rPr>
                <w:rFonts w:ascii="Arial" w:cs="Arial" w:eastAsia="Arial" w:hAnsi="Arial"/>
                <w:sz w:val="11"/>
                <w:szCs w:val="11"/>
                <w:color w:val="auto"/>
              </w:rPr>
              <w:t>INS</w:t>
            </w:r>
          </w:p>
        </w:tc>
        <w:tc>
          <w:tcPr>
            <w:tcW w:w="4400" w:type="dxa"/>
            <w:vAlign w:val="bottom"/>
            <w:gridSpan w:val="4"/>
          </w:tcPr>
          <w:p>
            <w:pPr>
              <w:spacing w:after="0"/>
              <w:rPr>
                <w:sz w:val="20"/>
                <w:szCs w:val="20"/>
                <w:color w:val="auto"/>
              </w:rPr>
            </w:pPr>
            <w:r>
              <w:rPr>
                <w:rFonts w:ascii="Arial" w:cs="Arial" w:eastAsia="Arial" w:hAnsi="Arial"/>
                <w:sz w:val="11"/>
                <w:szCs w:val="11"/>
                <w:color w:val="auto"/>
              </w:rPr>
              <w:t>XBRL Instance Document.</w:t>
            </w:r>
          </w:p>
        </w:tc>
        <w:tc>
          <w:tcPr>
            <w:tcW w:w="2540" w:type="dxa"/>
            <w:vAlign w:val="bottom"/>
          </w:tcPr>
          <w:p>
            <w:pPr>
              <w:ind w:left="1680"/>
              <w:spacing w:after="0"/>
              <w:rPr>
                <w:sz w:val="20"/>
                <w:szCs w:val="20"/>
                <w:color w:val="auto"/>
              </w:rPr>
            </w:pPr>
            <w:r>
              <w:rPr>
                <w:rFonts w:ascii="Arial" w:cs="Arial" w:eastAsia="Arial" w:hAnsi="Arial"/>
                <w:sz w:val="11"/>
                <w:szCs w:val="11"/>
                <w:color w:val="auto"/>
              </w:rPr>
              <w:t>Filed herewith.</w:t>
            </w:r>
          </w:p>
        </w:tc>
      </w:tr>
      <w:tr>
        <w:trPr>
          <w:trHeight w:val="180"/>
        </w:trPr>
        <w:tc>
          <w:tcPr>
            <w:tcW w:w="180" w:type="dxa"/>
            <w:vAlign w:val="bottom"/>
          </w:tcPr>
          <w:p>
            <w:pPr>
              <w:spacing w:after="0"/>
              <w:rPr>
                <w:sz w:val="20"/>
                <w:szCs w:val="20"/>
                <w:color w:val="auto"/>
              </w:rPr>
            </w:pPr>
            <w:r>
              <w:rPr>
                <w:rFonts w:ascii="Arial" w:cs="Arial" w:eastAsia="Arial" w:hAnsi="Arial"/>
                <w:sz w:val="11"/>
                <w:szCs w:val="11"/>
                <w:color w:val="auto"/>
                <w:w w:val="86"/>
              </w:rPr>
              <w:t>101</w:t>
            </w:r>
          </w:p>
        </w:tc>
        <w:tc>
          <w:tcPr>
            <w:tcW w:w="860" w:type="dxa"/>
            <w:vAlign w:val="bottom"/>
          </w:tcPr>
          <w:p>
            <w:pPr>
              <w:spacing w:after="0"/>
              <w:rPr>
                <w:sz w:val="20"/>
                <w:szCs w:val="20"/>
                <w:color w:val="auto"/>
              </w:rPr>
            </w:pPr>
            <w:r>
              <w:rPr>
                <w:rFonts w:ascii="Arial" w:cs="Arial" w:eastAsia="Arial" w:hAnsi="Arial"/>
                <w:sz w:val="11"/>
                <w:szCs w:val="11"/>
                <w:color w:val="auto"/>
              </w:rPr>
              <w:t>SCH</w:t>
            </w:r>
          </w:p>
        </w:tc>
        <w:tc>
          <w:tcPr>
            <w:tcW w:w="4400" w:type="dxa"/>
            <w:vAlign w:val="bottom"/>
            <w:gridSpan w:val="4"/>
          </w:tcPr>
          <w:p>
            <w:pPr>
              <w:spacing w:after="0"/>
              <w:rPr>
                <w:sz w:val="20"/>
                <w:szCs w:val="20"/>
                <w:color w:val="auto"/>
              </w:rPr>
            </w:pPr>
            <w:r>
              <w:rPr>
                <w:rFonts w:ascii="Arial" w:cs="Arial" w:eastAsia="Arial" w:hAnsi="Arial"/>
                <w:sz w:val="11"/>
                <w:szCs w:val="11"/>
                <w:color w:val="auto"/>
              </w:rPr>
              <w:t>XBRL Taxonomy Extension Schema.</w:t>
            </w:r>
          </w:p>
        </w:tc>
        <w:tc>
          <w:tcPr>
            <w:tcW w:w="2540" w:type="dxa"/>
            <w:vAlign w:val="bottom"/>
          </w:tcPr>
          <w:p>
            <w:pPr>
              <w:ind w:left="1680"/>
              <w:spacing w:after="0"/>
              <w:rPr>
                <w:sz w:val="20"/>
                <w:szCs w:val="20"/>
                <w:color w:val="auto"/>
              </w:rPr>
            </w:pPr>
            <w:r>
              <w:rPr>
                <w:rFonts w:ascii="Arial" w:cs="Arial" w:eastAsia="Arial" w:hAnsi="Arial"/>
                <w:sz w:val="11"/>
                <w:szCs w:val="11"/>
                <w:color w:val="auto"/>
              </w:rPr>
              <w:t>Filed herewith.</w:t>
            </w:r>
          </w:p>
        </w:tc>
      </w:tr>
      <w:tr>
        <w:trPr>
          <w:trHeight w:val="180"/>
        </w:trPr>
        <w:tc>
          <w:tcPr>
            <w:tcW w:w="180" w:type="dxa"/>
            <w:vAlign w:val="bottom"/>
          </w:tcPr>
          <w:p>
            <w:pPr>
              <w:spacing w:after="0"/>
              <w:rPr>
                <w:sz w:val="20"/>
                <w:szCs w:val="20"/>
                <w:color w:val="auto"/>
              </w:rPr>
            </w:pPr>
            <w:r>
              <w:rPr>
                <w:rFonts w:ascii="Arial" w:cs="Arial" w:eastAsia="Arial" w:hAnsi="Arial"/>
                <w:sz w:val="11"/>
                <w:szCs w:val="11"/>
                <w:color w:val="auto"/>
                <w:w w:val="86"/>
              </w:rPr>
              <w:t>101</w:t>
            </w:r>
          </w:p>
        </w:tc>
        <w:tc>
          <w:tcPr>
            <w:tcW w:w="860" w:type="dxa"/>
            <w:vAlign w:val="bottom"/>
          </w:tcPr>
          <w:p>
            <w:pPr>
              <w:spacing w:after="0"/>
              <w:rPr>
                <w:sz w:val="20"/>
                <w:szCs w:val="20"/>
                <w:color w:val="auto"/>
              </w:rPr>
            </w:pPr>
            <w:r>
              <w:rPr>
                <w:rFonts w:ascii="Arial" w:cs="Arial" w:eastAsia="Arial" w:hAnsi="Arial"/>
                <w:sz w:val="11"/>
                <w:szCs w:val="11"/>
                <w:color w:val="auto"/>
              </w:rPr>
              <w:t>CAL</w:t>
            </w:r>
          </w:p>
        </w:tc>
        <w:tc>
          <w:tcPr>
            <w:tcW w:w="4400" w:type="dxa"/>
            <w:vAlign w:val="bottom"/>
            <w:gridSpan w:val="4"/>
          </w:tcPr>
          <w:p>
            <w:pPr>
              <w:spacing w:after="0"/>
              <w:rPr>
                <w:sz w:val="20"/>
                <w:szCs w:val="20"/>
                <w:color w:val="auto"/>
              </w:rPr>
            </w:pPr>
            <w:r>
              <w:rPr>
                <w:rFonts w:ascii="Arial" w:cs="Arial" w:eastAsia="Arial" w:hAnsi="Arial"/>
                <w:sz w:val="11"/>
                <w:szCs w:val="11"/>
                <w:color w:val="auto"/>
              </w:rPr>
              <w:t>XBRL Taxonomy Extension Calculation Linkbase.</w:t>
            </w:r>
          </w:p>
        </w:tc>
        <w:tc>
          <w:tcPr>
            <w:tcW w:w="2540" w:type="dxa"/>
            <w:vAlign w:val="bottom"/>
          </w:tcPr>
          <w:p>
            <w:pPr>
              <w:ind w:left="1680"/>
              <w:spacing w:after="0"/>
              <w:rPr>
                <w:sz w:val="20"/>
                <w:szCs w:val="20"/>
                <w:color w:val="auto"/>
              </w:rPr>
            </w:pPr>
            <w:r>
              <w:rPr>
                <w:rFonts w:ascii="Arial" w:cs="Arial" w:eastAsia="Arial" w:hAnsi="Arial"/>
                <w:sz w:val="11"/>
                <w:szCs w:val="11"/>
                <w:color w:val="auto"/>
              </w:rPr>
              <w:t>Filed herewith.</w:t>
            </w:r>
          </w:p>
        </w:tc>
      </w:tr>
      <w:tr>
        <w:trPr>
          <w:trHeight w:val="180"/>
        </w:trPr>
        <w:tc>
          <w:tcPr>
            <w:tcW w:w="180" w:type="dxa"/>
            <w:vAlign w:val="bottom"/>
          </w:tcPr>
          <w:p>
            <w:pPr>
              <w:spacing w:after="0"/>
              <w:rPr>
                <w:sz w:val="20"/>
                <w:szCs w:val="20"/>
                <w:color w:val="auto"/>
              </w:rPr>
            </w:pPr>
            <w:r>
              <w:rPr>
                <w:rFonts w:ascii="Arial" w:cs="Arial" w:eastAsia="Arial" w:hAnsi="Arial"/>
                <w:sz w:val="11"/>
                <w:szCs w:val="11"/>
                <w:color w:val="auto"/>
                <w:w w:val="86"/>
              </w:rPr>
              <w:t>101</w:t>
            </w:r>
          </w:p>
        </w:tc>
        <w:tc>
          <w:tcPr>
            <w:tcW w:w="860" w:type="dxa"/>
            <w:vAlign w:val="bottom"/>
          </w:tcPr>
          <w:p>
            <w:pPr>
              <w:spacing w:after="0"/>
              <w:rPr>
                <w:sz w:val="20"/>
                <w:szCs w:val="20"/>
                <w:color w:val="auto"/>
              </w:rPr>
            </w:pPr>
            <w:r>
              <w:rPr>
                <w:rFonts w:ascii="Arial" w:cs="Arial" w:eastAsia="Arial" w:hAnsi="Arial"/>
                <w:sz w:val="11"/>
                <w:szCs w:val="11"/>
                <w:color w:val="auto"/>
              </w:rPr>
              <w:t>DEF</w:t>
            </w:r>
          </w:p>
        </w:tc>
        <w:tc>
          <w:tcPr>
            <w:tcW w:w="4400" w:type="dxa"/>
            <w:vAlign w:val="bottom"/>
            <w:gridSpan w:val="4"/>
          </w:tcPr>
          <w:p>
            <w:pPr>
              <w:spacing w:after="0"/>
              <w:rPr>
                <w:sz w:val="20"/>
                <w:szCs w:val="20"/>
                <w:color w:val="auto"/>
              </w:rPr>
            </w:pPr>
            <w:r>
              <w:rPr>
                <w:rFonts w:ascii="Arial" w:cs="Arial" w:eastAsia="Arial" w:hAnsi="Arial"/>
                <w:sz w:val="11"/>
                <w:szCs w:val="11"/>
                <w:color w:val="auto"/>
              </w:rPr>
              <w:t>XBRL Taxonomy Extension Definition Linkbase.</w:t>
            </w:r>
          </w:p>
        </w:tc>
        <w:tc>
          <w:tcPr>
            <w:tcW w:w="2540" w:type="dxa"/>
            <w:vAlign w:val="bottom"/>
          </w:tcPr>
          <w:p>
            <w:pPr>
              <w:ind w:left="1680"/>
              <w:spacing w:after="0"/>
              <w:rPr>
                <w:sz w:val="20"/>
                <w:szCs w:val="20"/>
                <w:color w:val="auto"/>
              </w:rPr>
            </w:pPr>
            <w:r>
              <w:rPr>
                <w:rFonts w:ascii="Arial" w:cs="Arial" w:eastAsia="Arial" w:hAnsi="Arial"/>
                <w:sz w:val="11"/>
                <w:szCs w:val="11"/>
                <w:color w:val="auto"/>
              </w:rPr>
              <w:t>Filed herewith.</w:t>
            </w:r>
          </w:p>
        </w:tc>
      </w:tr>
      <w:tr>
        <w:trPr>
          <w:trHeight w:val="180"/>
        </w:trPr>
        <w:tc>
          <w:tcPr>
            <w:tcW w:w="180" w:type="dxa"/>
            <w:vAlign w:val="bottom"/>
          </w:tcPr>
          <w:p>
            <w:pPr>
              <w:spacing w:after="0"/>
              <w:rPr>
                <w:sz w:val="20"/>
                <w:szCs w:val="20"/>
                <w:color w:val="auto"/>
              </w:rPr>
            </w:pPr>
            <w:r>
              <w:rPr>
                <w:rFonts w:ascii="Arial" w:cs="Arial" w:eastAsia="Arial" w:hAnsi="Arial"/>
                <w:sz w:val="11"/>
                <w:szCs w:val="11"/>
                <w:color w:val="auto"/>
                <w:w w:val="86"/>
              </w:rPr>
              <w:t>101</w:t>
            </w:r>
          </w:p>
        </w:tc>
        <w:tc>
          <w:tcPr>
            <w:tcW w:w="860" w:type="dxa"/>
            <w:vAlign w:val="bottom"/>
          </w:tcPr>
          <w:p>
            <w:pPr>
              <w:spacing w:after="0"/>
              <w:rPr>
                <w:sz w:val="20"/>
                <w:szCs w:val="20"/>
                <w:color w:val="auto"/>
              </w:rPr>
            </w:pPr>
            <w:r>
              <w:rPr>
                <w:rFonts w:ascii="Arial" w:cs="Arial" w:eastAsia="Arial" w:hAnsi="Arial"/>
                <w:sz w:val="11"/>
                <w:szCs w:val="11"/>
                <w:color w:val="auto"/>
              </w:rPr>
              <w:t>LAB</w:t>
            </w:r>
          </w:p>
        </w:tc>
        <w:tc>
          <w:tcPr>
            <w:tcW w:w="4400" w:type="dxa"/>
            <w:vAlign w:val="bottom"/>
            <w:gridSpan w:val="4"/>
          </w:tcPr>
          <w:p>
            <w:pPr>
              <w:spacing w:after="0"/>
              <w:rPr>
                <w:sz w:val="20"/>
                <w:szCs w:val="20"/>
                <w:color w:val="auto"/>
              </w:rPr>
            </w:pPr>
            <w:r>
              <w:rPr>
                <w:rFonts w:ascii="Arial" w:cs="Arial" w:eastAsia="Arial" w:hAnsi="Arial"/>
                <w:sz w:val="11"/>
                <w:szCs w:val="11"/>
                <w:color w:val="auto"/>
              </w:rPr>
              <w:t>XBRL Taxonomy Extension Label Linkbase.</w:t>
            </w:r>
          </w:p>
        </w:tc>
        <w:tc>
          <w:tcPr>
            <w:tcW w:w="2540" w:type="dxa"/>
            <w:vAlign w:val="bottom"/>
          </w:tcPr>
          <w:p>
            <w:pPr>
              <w:ind w:left="1680"/>
              <w:spacing w:after="0"/>
              <w:rPr>
                <w:sz w:val="20"/>
                <w:szCs w:val="20"/>
                <w:color w:val="auto"/>
              </w:rPr>
            </w:pPr>
            <w:r>
              <w:rPr>
                <w:rFonts w:ascii="Arial" w:cs="Arial" w:eastAsia="Arial" w:hAnsi="Arial"/>
                <w:sz w:val="11"/>
                <w:szCs w:val="11"/>
                <w:color w:val="auto"/>
              </w:rPr>
              <w:t>Filed herewith.</w:t>
            </w:r>
          </w:p>
        </w:tc>
      </w:tr>
      <w:tr>
        <w:trPr>
          <w:trHeight w:val="180"/>
        </w:trPr>
        <w:tc>
          <w:tcPr>
            <w:tcW w:w="180" w:type="dxa"/>
            <w:vAlign w:val="bottom"/>
          </w:tcPr>
          <w:p>
            <w:pPr>
              <w:spacing w:after="0"/>
              <w:rPr>
                <w:sz w:val="20"/>
                <w:szCs w:val="20"/>
                <w:color w:val="auto"/>
              </w:rPr>
            </w:pPr>
            <w:r>
              <w:rPr>
                <w:rFonts w:ascii="Arial" w:cs="Arial" w:eastAsia="Arial" w:hAnsi="Arial"/>
                <w:sz w:val="11"/>
                <w:szCs w:val="11"/>
                <w:color w:val="auto"/>
                <w:w w:val="86"/>
              </w:rPr>
              <w:t>101</w:t>
            </w:r>
          </w:p>
        </w:tc>
        <w:tc>
          <w:tcPr>
            <w:tcW w:w="860" w:type="dxa"/>
            <w:vAlign w:val="bottom"/>
          </w:tcPr>
          <w:p>
            <w:pPr>
              <w:spacing w:after="0"/>
              <w:rPr>
                <w:sz w:val="20"/>
                <w:szCs w:val="20"/>
                <w:color w:val="auto"/>
              </w:rPr>
            </w:pPr>
            <w:r>
              <w:rPr>
                <w:rFonts w:ascii="Arial" w:cs="Arial" w:eastAsia="Arial" w:hAnsi="Arial"/>
                <w:sz w:val="11"/>
                <w:szCs w:val="11"/>
                <w:color w:val="auto"/>
              </w:rPr>
              <w:t>PRE</w:t>
            </w:r>
          </w:p>
        </w:tc>
        <w:tc>
          <w:tcPr>
            <w:tcW w:w="4400" w:type="dxa"/>
            <w:vAlign w:val="bottom"/>
            <w:gridSpan w:val="4"/>
          </w:tcPr>
          <w:p>
            <w:pPr>
              <w:spacing w:after="0"/>
              <w:rPr>
                <w:sz w:val="20"/>
                <w:szCs w:val="20"/>
                <w:color w:val="auto"/>
              </w:rPr>
            </w:pPr>
            <w:r>
              <w:rPr>
                <w:rFonts w:ascii="Arial" w:cs="Arial" w:eastAsia="Arial" w:hAnsi="Arial"/>
                <w:sz w:val="11"/>
                <w:szCs w:val="11"/>
                <w:color w:val="auto"/>
              </w:rPr>
              <w:t>XBRL Taxonomy Extension Presentation Linkbase.</w:t>
            </w:r>
          </w:p>
        </w:tc>
        <w:tc>
          <w:tcPr>
            <w:tcW w:w="2540" w:type="dxa"/>
            <w:vAlign w:val="bottom"/>
          </w:tcPr>
          <w:p>
            <w:pPr>
              <w:ind w:left="1680"/>
              <w:spacing w:after="0"/>
              <w:rPr>
                <w:sz w:val="20"/>
                <w:szCs w:val="20"/>
                <w:color w:val="auto"/>
              </w:rPr>
            </w:pPr>
            <w:r>
              <w:rPr>
                <w:rFonts w:ascii="Arial" w:cs="Arial" w:eastAsia="Arial" w:hAnsi="Arial"/>
                <w:sz w:val="11"/>
                <w:szCs w:val="11"/>
                <w:color w:val="auto"/>
              </w:rPr>
              <w:t>Filed herewith.</w:t>
            </w: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ectPr>
          <w:pgSz w:w="11900" w:h="16838" w:orient="portrait"/>
          <w:cols w:equalWidth="0" w:num="1">
            <w:col w:w="11460"/>
          </w:cols>
          <w:pgMar w:left="220" w:top="505" w:right="219" w:bottom="1440" w:gutter="0" w:footer="0" w:header="0"/>
          <w:type w:val="continuous"/>
        </w:sectPr>
      </w:pPr>
    </w:p>
    <w:bookmarkStart w:id="54" w:name="page55"/>
    <w:bookmarkEnd w:id="54"/>
    <w:p>
      <w:pPr>
        <w:ind w:left="5300"/>
        <w:spacing w:after="0"/>
        <w:rPr>
          <w:sz w:val="20"/>
          <w:szCs w:val="20"/>
          <w:color w:val="auto"/>
        </w:rPr>
      </w:pPr>
      <w:r>
        <w:rPr>
          <w:rFonts w:ascii="Arial" w:cs="Arial" w:eastAsia="Arial" w:hAnsi="Arial"/>
          <w:sz w:val="12"/>
          <w:szCs w:val="12"/>
          <w:b w:val="1"/>
          <w:bCs w:val="1"/>
          <w:color w:val="auto"/>
        </w:rPr>
        <w:t>SIGNATURES</w:t>
      </w:r>
    </w:p>
    <w:p>
      <w:pPr>
        <w:spacing w:after="0" w:line="118" w:lineRule="exact"/>
        <w:rPr>
          <w:sz w:val="20"/>
          <w:szCs w:val="20"/>
          <w:color w:val="auto"/>
        </w:rPr>
      </w:pPr>
    </w:p>
    <w:p>
      <w:pPr>
        <w:ind w:left="22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3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680" w:type="dxa"/>
            <w:vAlign w:val="bottom"/>
          </w:tcPr>
          <w:p>
            <w:pPr>
              <w:spacing w:after="0"/>
              <w:rPr>
                <w:sz w:val="20"/>
                <w:szCs w:val="20"/>
                <w:color w:val="auto"/>
              </w:rPr>
            </w:pPr>
            <w:r>
              <w:rPr>
                <w:rFonts w:ascii="Arial" w:cs="Arial" w:eastAsia="Arial" w:hAnsi="Arial"/>
                <w:sz w:val="12"/>
                <w:szCs w:val="12"/>
                <w:color w:val="auto"/>
              </w:rPr>
              <w:t>NRG YIELD, INC.</w:t>
            </w:r>
          </w:p>
        </w:tc>
      </w:tr>
      <w:tr>
        <w:trPr>
          <w:trHeight w:val="153"/>
        </w:trPr>
        <w:tc>
          <w:tcPr>
            <w:tcW w:w="33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4680" w:type="dxa"/>
            <w:vAlign w:val="bottom"/>
          </w:tcPr>
          <w:p>
            <w:pPr>
              <w:spacing w:after="0"/>
              <w:rPr>
                <w:sz w:val="20"/>
                <w:szCs w:val="20"/>
                <w:color w:val="auto"/>
              </w:rPr>
            </w:pPr>
            <w:r>
              <w:rPr>
                <w:rFonts w:ascii="Arial" w:cs="Arial" w:eastAsia="Arial" w:hAnsi="Arial"/>
                <w:sz w:val="12"/>
                <w:szCs w:val="12"/>
                <w:color w:val="auto"/>
              </w:rPr>
              <w:t>(Registrant)</w:t>
            </w:r>
          </w:p>
        </w:tc>
      </w:tr>
      <w:tr>
        <w:trPr>
          <w:trHeight w:val="387"/>
        </w:trPr>
        <w:tc>
          <w:tcPr>
            <w:tcW w:w="33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6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CHRISTOPHER S. SOTOS</w:t>
            </w:r>
          </w:p>
        </w:tc>
      </w:tr>
      <w:tr>
        <w:trPr>
          <w:trHeight w:val="160"/>
        </w:trPr>
        <w:tc>
          <w:tcPr>
            <w:tcW w:w="33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4680" w:type="dxa"/>
            <w:vAlign w:val="bottom"/>
          </w:tcPr>
          <w:p>
            <w:pPr>
              <w:spacing w:after="0"/>
              <w:rPr>
                <w:sz w:val="20"/>
                <w:szCs w:val="20"/>
                <w:color w:val="auto"/>
              </w:rPr>
            </w:pPr>
            <w:r>
              <w:rPr>
                <w:rFonts w:ascii="Arial" w:cs="Arial" w:eastAsia="Arial" w:hAnsi="Arial"/>
                <w:sz w:val="12"/>
                <w:szCs w:val="12"/>
                <w:color w:val="auto"/>
              </w:rPr>
              <w:t>Christopher S. Sotos</w:t>
            </w:r>
          </w:p>
        </w:tc>
      </w:tr>
      <w:tr>
        <w:trPr>
          <w:trHeight w:val="171"/>
        </w:trPr>
        <w:tc>
          <w:tcPr>
            <w:tcW w:w="33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4680" w:type="dxa"/>
            <w:vAlign w:val="bottom"/>
          </w:tcPr>
          <w:p>
            <w:pPr>
              <w:spacing w:after="0"/>
              <w:rPr>
                <w:sz w:val="20"/>
                <w:szCs w:val="20"/>
                <w:color w:val="auto"/>
              </w:rPr>
            </w:pPr>
            <w:r>
              <w:rPr>
                <w:rFonts w:ascii="Arial" w:cs="Arial" w:eastAsia="Arial" w:hAnsi="Arial"/>
                <w:sz w:val="12"/>
                <w:szCs w:val="12"/>
                <w:i w:val="1"/>
                <w:iCs w:val="1"/>
                <w:color w:val="auto"/>
              </w:rPr>
              <w:t>Chief Executive Officer</w:t>
            </w:r>
          </w:p>
        </w:tc>
      </w:tr>
      <w:tr>
        <w:trPr>
          <w:trHeight w:val="153"/>
        </w:trPr>
        <w:tc>
          <w:tcPr>
            <w:tcW w:w="33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4680" w:type="dxa"/>
            <w:vAlign w:val="bottom"/>
          </w:tcPr>
          <w:p>
            <w:pPr>
              <w:spacing w:after="0"/>
              <w:rPr>
                <w:sz w:val="20"/>
                <w:szCs w:val="20"/>
                <w:color w:val="auto"/>
              </w:rPr>
            </w:pPr>
            <w:r>
              <w:rPr>
                <w:rFonts w:ascii="Arial" w:cs="Arial" w:eastAsia="Arial" w:hAnsi="Arial"/>
                <w:sz w:val="12"/>
                <w:szCs w:val="12"/>
                <w:i w:val="1"/>
                <w:iCs w:val="1"/>
                <w:color w:val="auto"/>
              </w:rPr>
              <w:t>(Principal Executive Officer)</w:t>
            </w:r>
          </w:p>
        </w:tc>
      </w:tr>
      <w:tr>
        <w:trPr>
          <w:trHeight w:val="549"/>
        </w:trPr>
        <w:tc>
          <w:tcPr>
            <w:tcW w:w="33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6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CHAD PLOTKIN</w:t>
            </w:r>
          </w:p>
        </w:tc>
      </w:tr>
      <w:tr>
        <w:trPr>
          <w:trHeight w:val="160"/>
        </w:trPr>
        <w:tc>
          <w:tcPr>
            <w:tcW w:w="33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4680" w:type="dxa"/>
            <w:vAlign w:val="bottom"/>
          </w:tcPr>
          <w:p>
            <w:pPr>
              <w:spacing w:after="0"/>
              <w:rPr>
                <w:sz w:val="20"/>
                <w:szCs w:val="20"/>
                <w:color w:val="auto"/>
              </w:rPr>
            </w:pPr>
            <w:r>
              <w:rPr>
                <w:rFonts w:ascii="Arial" w:cs="Arial" w:eastAsia="Arial" w:hAnsi="Arial"/>
                <w:sz w:val="12"/>
                <w:szCs w:val="12"/>
                <w:color w:val="auto"/>
              </w:rPr>
              <w:t>Chad Plotkin</w:t>
            </w:r>
          </w:p>
        </w:tc>
      </w:tr>
      <w:tr>
        <w:trPr>
          <w:trHeight w:val="171"/>
        </w:trPr>
        <w:tc>
          <w:tcPr>
            <w:tcW w:w="33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4680" w:type="dxa"/>
            <w:vAlign w:val="bottom"/>
          </w:tcPr>
          <w:p>
            <w:pPr>
              <w:spacing w:after="0"/>
              <w:rPr>
                <w:sz w:val="20"/>
                <w:szCs w:val="20"/>
                <w:color w:val="auto"/>
              </w:rPr>
            </w:pPr>
            <w:r>
              <w:rPr>
                <w:rFonts w:ascii="Arial" w:cs="Arial" w:eastAsia="Arial" w:hAnsi="Arial"/>
                <w:sz w:val="12"/>
                <w:szCs w:val="12"/>
                <w:i w:val="1"/>
                <w:iCs w:val="1"/>
                <w:color w:val="auto"/>
              </w:rPr>
              <w:t>Chief Financial Officer</w:t>
            </w:r>
          </w:p>
        </w:tc>
      </w:tr>
      <w:tr>
        <w:trPr>
          <w:trHeight w:val="153"/>
        </w:trPr>
        <w:tc>
          <w:tcPr>
            <w:tcW w:w="33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4680" w:type="dxa"/>
            <w:vAlign w:val="bottom"/>
          </w:tcPr>
          <w:p>
            <w:pPr>
              <w:spacing w:after="0"/>
              <w:rPr>
                <w:sz w:val="20"/>
                <w:szCs w:val="20"/>
                <w:color w:val="auto"/>
              </w:rPr>
            </w:pPr>
            <w:r>
              <w:rPr>
                <w:rFonts w:ascii="Arial" w:cs="Arial" w:eastAsia="Arial" w:hAnsi="Arial"/>
                <w:sz w:val="12"/>
                <w:szCs w:val="12"/>
                <w:i w:val="1"/>
                <w:iCs w:val="1"/>
                <w:color w:val="auto"/>
              </w:rPr>
              <w:t>(Principal Financial Officer)</w:t>
            </w:r>
          </w:p>
        </w:tc>
      </w:tr>
      <w:tr>
        <w:trPr>
          <w:trHeight w:val="549"/>
        </w:trPr>
        <w:tc>
          <w:tcPr>
            <w:tcW w:w="33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6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DAVID CALLEN</w:t>
            </w:r>
          </w:p>
        </w:tc>
      </w:tr>
      <w:tr>
        <w:trPr>
          <w:trHeight w:val="160"/>
        </w:trPr>
        <w:tc>
          <w:tcPr>
            <w:tcW w:w="33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4680" w:type="dxa"/>
            <w:vAlign w:val="bottom"/>
          </w:tcPr>
          <w:p>
            <w:pPr>
              <w:spacing w:after="0"/>
              <w:rPr>
                <w:sz w:val="20"/>
                <w:szCs w:val="20"/>
                <w:color w:val="auto"/>
              </w:rPr>
            </w:pPr>
            <w:r>
              <w:rPr>
                <w:rFonts w:ascii="Arial" w:cs="Arial" w:eastAsia="Arial" w:hAnsi="Arial"/>
                <w:sz w:val="12"/>
                <w:szCs w:val="12"/>
                <w:color w:val="auto"/>
              </w:rPr>
              <w:t>David Callen</w:t>
            </w:r>
          </w:p>
        </w:tc>
      </w:tr>
      <w:tr>
        <w:trPr>
          <w:trHeight w:val="171"/>
        </w:trPr>
        <w:tc>
          <w:tcPr>
            <w:tcW w:w="33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4680" w:type="dxa"/>
            <w:vAlign w:val="bottom"/>
          </w:tcPr>
          <w:p>
            <w:pPr>
              <w:spacing w:after="0"/>
              <w:rPr>
                <w:sz w:val="20"/>
                <w:szCs w:val="20"/>
                <w:color w:val="auto"/>
              </w:rPr>
            </w:pPr>
            <w:r>
              <w:rPr>
                <w:rFonts w:ascii="Arial" w:cs="Arial" w:eastAsia="Arial" w:hAnsi="Arial"/>
                <w:sz w:val="12"/>
                <w:szCs w:val="12"/>
                <w:i w:val="1"/>
                <w:iCs w:val="1"/>
                <w:color w:val="auto"/>
              </w:rPr>
              <w:t>Chief Accounting Officer</w:t>
            </w:r>
          </w:p>
        </w:tc>
      </w:tr>
      <w:tr>
        <w:trPr>
          <w:trHeight w:val="153"/>
        </w:trPr>
        <w:tc>
          <w:tcPr>
            <w:tcW w:w="3320" w:type="dxa"/>
            <w:vAlign w:val="bottom"/>
          </w:tcPr>
          <w:p>
            <w:pPr>
              <w:spacing w:after="0"/>
              <w:rPr>
                <w:sz w:val="20"/>
                <w:szCs w:val="20"/>
                <w:color w:val="auto"/>
              </w:rPr>
            </w:pPr>
            <w:r>
              <w:rPr>
                <w:rFonts w:ascii="Arial" w:cs="Arial" w:eastAsia="Arial" w:hAnsi="Arial"/>
                <w:sz w:val="12"/>
                <w:szCs w:val="12"/>
                <w:color w:val="auto"/>
              </w:rPr>
              <w:t>Date: August 2, 2018</w:t>
            </w:r>
          </w:p>
        </w:tc>
        <w:tc>
          <w:tcPr>
            <w:tcW w:w="3420" w:type="dxa"/>
            <w:vAlign w:val="bottom"/>
          </w:tcPr>
          <w:p>
            <w:pPr>
              <w:spacing w:after="0"/>
              <w:rPr>
                <w:sz w:val="13"/>
                <w:szCs w:val="13"/>
                <w:color w:val="auto"/>
              </w:rPr>
            </w:pPr>
          </w:p>
        </w:tc>
        <w:tc>
          <w:tcPr>
            <w:tcW w:w="4680" w:type="dxa"/>
            <w:vAlign w:val="bottom"/>
          </w:tcPr>
          <w:p>
            <w:pPr>
              <w:spacing w:after="0"/>
              <w:rPr>
                <w:sz w:val="20"/>
                <w:szCs w:val="20"/>
                <w:color w:val="auto"/>
              </w:rPr>
            </w:pPr>
            <w:r>
              <w:rPr>
                <w:rFonts w:ascii="Arial" w:cs="Arial" w:eastAsia="Arial" w:hAnsi="Arial"/>
                <w:sz w:val="12"/>
                <w:szCs w:val="12"/>
                <w:i w:val="1"/>
                <w:iCs w:val="1"/>
                <w:color w:val="auto"/>
              </w:rPr>
              <w:t>(Principal Accounting Officer)</w:t>
            </w:r>
          </w:p>
        </w:tc>
      </w:tr>
      <w:tr>
        <w:trPr>
          <w:trHeight w:val="649"/>
        </w:trPr>
        <w:tc>
          <w:tcPr>
            <w:tcW w:w="3320" w:type="dxa"/>
            <w:vAlign w:val="bottom"/>
          </w:tcPr>
          <w:p>
            <w:pPr>
              <w:spacing w:after="0"/>
              <w:rPr>
                <w:sz w:val="24"/>
                <w:szCs w:val="24"/>
                <w:color w:val="auto"/>
              </w:rPr>
            </w:pPr>
          </w:p>
        </w:tc>
        <w:tc>
          <w:tcPr>
            <w:tcW w:w="3420" w:type="dxa"/>
            <w:vAlign w:val="bottom"/>
          </w:tcPr>
          <w:p>
            <w:pPr>
              <w:jc w:val="right"/>
              <w:ind w:right="920"/>
              <w:spacing w:after="0"/>
              <w:rPr>
                <w:sz w:val="20"/>
                <w:szCs w:val="20"/>
                <w:color w:val="auto"/>
              </w:rPr>
            </w:pPr>
            <w:r>
              <w:rPr>
                <w:rFonts w:ascii="Arial" w:cs="Arial" w:eastAsia="Arial" w:hAnsi="Arial"/>
                <w:sz w:val="12"/>
                <w:szCs w:val="12"/>
                <w:color w:val="auto"/>
              </w:rPr>
              <w:t>55</w:t>
            </w:r>
          </w:p>
        </w:tc>
        <w:tc>
          <w:tcPr>
            <w:tcW w:w="4680" w:type="dxa"/>
            <w:vAlign w:val="bottom"/>
          </w:tcPr>
          <w:p>
            <w:pPr>
              <w:spacing w:after="0"/>
              <w:rPr>
                <w:sz w:val="24"/>
                <w:szCs w:val="24"/>
                <w:color w:val="auto"/>
              </w:rPr>
            </w:pPr>
          </w:p>
        </w:tc>
      </w:tr>
    </w:tbl>
    <w:p>
      <w:pPr>
        <w:sectPr>
          <w:pgSz w:w="11900" w:h="16838" w:orient="portrait"/>
          <w:cols w:equalWidth="0" w:num="1">
            <w:col w:w="11420"/>
          </w:cols>
          <w:pgMar w:left="260" w:top="505" w:right="219" w:bottom="1440" w:gutter="0" w:footer="0" w:header="0"/>
        </w:sectPr>
      </w:pPr>
    </w:p>
    <w:bookmarkStart w:id="55" w:name="page56"/>
    <w:bookmarkEnd w:id="55"/>
    <w:p>
      <w:pPr>
        <w:jc w:val="right"/>
        <w:spacing w:after="0"/>
        <w:rPr>
          <w:sz w:val="20"/>
          <w:szCs w:val="20"/>
          <w:color w:val="auto"/>
        </w:rPr>
      </w:pPr>
      <w:r>
        <w:rPr>
          <w:rFonts w:ascii="Arial" w:cs="Arial" w:eastAsia="Arial" w:hAnsi="Arial"/>
          <w:sz w:val="12"/>
          <w:szCs w:val="12"/>
          <w:b w:val="1"/>
          <w:bCs w:val="1"/>
          <w:color w:val="auto"/>
        </w:rPr>
        <w:t>Exhibit 4.3</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2"/>
          <w:szCs w:val="12"/>
          <w:b w:val="1"/>
          <w:bCs w:val="1"/>
          <w:i w:val="1"/>
          <w:iCs w:val="1"/>
          <w:color w:val="auto"/>
        </w:rPr>
        <w:t>Execution Version</w:t>
      </w:r>
    </w:p>
    <w:p>
      <w:pPr>
        <w:spacing w:after="0" w:line="159"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SEVENTH SUPPLEMENTAL INDENTURE</w:t>
      </w:r>
    </w:p>
    <w:p>
      <w:pPr>
        <w:spacing w:after="0" w:line="150" w:lineRule="exact"/>
        <w:rPr>
          <w:sz w:val="20"/>
          <w:szCs w:val="20"/>
          <w:color w:val="auto"/>
        </w:rPr>
      </w:pPr>
    </w:p>
    <w:p>
      <w:pPr>
        <w:jc w:val="both"/>
        <w:ind w:firstLine="865"/>
        <w:spacing w:after="0" w:line="263" w:lineRule="auto"/>
        <w:rPr>
          <w:sz w:val="20"/>
          <w:szCs w:val="20"/>
          <w:color w:val="auto"/>
        </w:rPr>
      </w:pPr>
      <w:r>
        <w:rPr>
          <w:rFonts w:ascii="Arial" w:cs="Arial" w:eastAsia="Arial" w:hAnsi="Arial"/>
          <w:sz w:val="12"/>
          <w:szCs w:val="12"/>
          <w:color w:val="auto"/>
        </w:rPr>
        <w:t>SEVENTH SUPPLEMENTAL INDENTURE (this “</w:t>
      </w:r>
      <w:r>
        <w:rPr>
          <w:rFonts w:ascii="Arial" w:cs="Arial" w:eastAsia="Arial" w:hAnsi="Arial"/>
          <w:sz w:val="12"/>
          <w:szCs w:val="12"/>
          <w:i w:val="1"/>
          <w:iCs w:val="1"/>
          <w:color w:val="auto"/>
        </w:rPr>
        <w:t>Supplemental Indenture</w:t>
      </w:r>
      <w:r>
        <w:rPr>
          <w:rFonts w:ascii="Arial" w:cs="Arial" w:eastAsia="Arial" w:hAnsi="Arial"/>
          <w:sz w:val="12"/>
          <w:szCs w:val="12"/>
          <w:color w:val="auto"/>
        </w:rPr>
        <w:t>”), dated as of July 17, 2018, among Thermal Canada Infrastructure Holdings LLC (the “</w:t>
      </w:r>
      <w:r>
        <w:rPr>
          <w:rFonts w:ascii="Arial" w:cs="Arial" w:eastAsia="Arial" w:hAnsi="Arial"/>
          <w:sz w:val="12"/>
          <w:szCs w:val="12"/>
          <w:i w:val="1"/>
          <w:iCs w:val="1"/>
          <w:color w:val="auto"/>
        </w:rPr>
        <w:t>Guaranteeing Subsidiary</w:t>
      </w:r>
      <w:r>
        <w:rPr>
          <w:rFonts w:ascii="Arial" w:cs="Arial" w:eastAsia="Arial" w:hAnsi="Arial"/>
          <w:sz w:val="12"/>
          <w:szCs w:val="12"/>
          <w:color w:val="auto"/>
        </w:rPr>
        <w:t>”), a subsidiary of NRG Yield Operating LLC (or its permitted successor), a Delaware limited liability company (the “</w:t>
      </w:r>
      <w:r>
        <w:rPr>
          <w:rFonts w:ascii="Arial" w:cs="Arial" w:eastAsia="Arial" w:hAnsi="Arial"/>
          <w:sz w:val="12"/>
          <w:szCs w:val="12"/>
          <w:i w:val="1"/>
          <w:iCs w:val="1"/>
          <w:color w:val="auto"/>
        </w:rPr>
        <w:t>Company</w:t>
      </w:r>
      <w:r>
        <w:rPr>
          <w:rFonts w:ascii="Arial" w:cs="Arial" w:eastAsia="Arial" w:hAnsi="Arial"/>
          <w:sz w:val="12"/>
          <w:szCs w:val="12"/>
          <w:color w:val="auto"/>
        </w:rPr>
        <w:t>”), the Company, the other Guarantors (as defined in the Indenture referred to herein) and Delaware Trust Company (as successor in interest to Law Debenture Trust Company of New York), as trustee under the Indenture referred to below (the “</w:t>
      </w:r>
      <w:r>
        <w:rPr>
          <w:rFonts w:ascii="Arial" w:cs="Arial" w:eastAsia="Arial" w:hAnsi="Arial"/>
          <w:sz w:val="12"/>
          <w:szCs w:val="12"/>
          <w:i w:val="1"/>
          <w:iCs w:val="1"/>
          <w:color w:val="auto"/>
        </w:rPr>
        <w:t>Trustee</w:t>
      </w:r>
      <w:r>
        <w:rPr>
          <w:rFonts w:ascii="Arial" w:cs="Arial" w:eastAsia="Arial" w:hAnsi="Arial"/>
          <w:sz w:val="12"/>
          <w:szCs w:val="12"/>
          <w:color w:val="auto"/>
        </w:rPr>
        <w: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W I T N E S S E T H</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1"/>
          <w:szCs w:val="11"/>
          <w:color w:val="auto"/>
        </w:rPr>
        <w:t>WHEREAS, the Company has heretofore executed and delivered to the Trustee an indenture (the “</w:t>
      </w:r>
      <w:r>
        <w:rPr>
          <w:rFonts w:ascii="Arial" w:cs="Arial" w:eastAsia="Arial" w:hAnsi="Arial"/>
          <w:sz w:val="11"/>
          <w:szCs w:val="11"/>
          <w:i w:val="1"/>
          <w:iCs w:val="1"/>
          <w:color w:val="auto"/>
        </w:rPr>
        <w:t>Indenture</w:t>
      </w:r>
      <w:r>
        <w:rPr>
          <w:rFonts w:ascii="Arial" w:cs="Arial" w:eastAsia="Arial" w:hAnsi="Arial"/>
          <w:sz w:val="11"/>
          <w:szCs w:val="11"/>
          <w:color w:val="auto"/>
        </w:rPr>
        <w:t>”), dated as of August 5, 2014 providing for the issuance of 5.375% Senior Notes due 2024 (the “</w:t>
      </w:r>
      <w:r>
        <w:rPr>
          <w:rFonts w:ascii="Arial" w:cs="Arial" w:eastAsia="Arial" w:hAnsi="Arial"/>
          <w:sz w:val="11"/>
          <w:szCs w:val="11"/>
          <w:i w:val="1"/>
          <w:iCs w:val="1"/>
          <w:color w:val="auto"/>
        </w:rPr>
        <w:t>Notes</w:t>
      </w:r>
      <w:r>
        <w:rPr>
          <w:rFonts w:ascii="Arial" w:cs="Arial" w:eastAsia="Arial" w:hAnsi="Arial"/>
          <w:sz w:val="11"/>
          <w:szCs w:val="11"/>
          <w:color w:val="auto"/>
        </w:rPr>
        <w:t>”);</w:t>
      </w:r>
    </w:p>
    <w:p>
      <w:pPr>
        <w:spacing w:after="0" w:line="162" w:lineRule="exact"/>
        <w:rPr>
          <w:sz w:val="20"/>
          <w:szCs w:val="20"/>
          <w:color w:val="auto"/>
        </w:rPr>
      </w:pPr>
    </w:p>
    <w:p>
      <w:pPr>
        <w:jc w:val="both"/>
        <w:ind w:firstLine="865"/>
        <w:spacing w:after="0" w:line="276" w:lineRule="auto"/>
        <w:rPr>
          <w:sz w:val="20"/>
          <w:szCs w:val="20"/>
          <w:color w:val="auto"/>
        </w:rPr>
      </w:pPr>
      <w:r>
        <w:rPr>
          <w:rFonts w:ascii="Arial" w:cs="Arial" w:eastAsia="Arial" w:hAnsi="Arial"/>
          <w:sz w:val="12"/>
          <w:szCs w:val="12"/>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Arial" w:cs="Arial" w:eastAsia="Arial" w:hAnsi="Arial"/>
          <w:sz w:val="12"/>
          <w:szCs w:val="12"/>
          <w:i w:val="1"/>
          <w:iCs w:val="1"/>
          <w:color w:val="auto"/>
        </w:rPr>
        <w:t>Subsidiary Guarantee</w:t>
      </w:r>
      <w:r>
        <w:rPr>
          <w:rFonts w:ascii="Arial" w:cs="Arial" w:eastAsia="Arial" w:hAnsi="Arial"/>
          <w:sz w:val="12"/>
          <w:szCs w:val="12"/>
          <w:color w:val="auto"/>
        </w:rPr>
        <w:t>”); and</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WHEREAS, pursuant to Sections 4.10 and 9.01 of the Indenture, the Trustee, the Company and the other Guarantors are authorized to execute and deliver this Supplemental Indenture.</w:t>
      </w:r>
    </w:p>
    <w:p>
      <w:pPr>
        <w:spacing w:after="0" w:line="150" w:lineRule="exact"/>
        <w:rPr>
          <w:sz w:val="20"/>
          <w:szCs w:val="20"/>
          <w:color w:val="auto"/>
        </w:rPr>
      </w:pPr>
    </w:p>
    <w:p>
      <w:pPr>
        <w:jc w:val="both"/>
        <w:ind w:right="20" w:firstLine="865"/>
        <w:spacing w:after="0" w:line="276" w:lineRule="auto"/>
        <w:rPr>
          <w:sz w:val="20"/>
          <w:szCs w:val="20"/>
          <w:color w:val="auto"/>
        </w:rPr>
      </w:pPr>
      <w:r>
        <w:rPr>
          <w:rFonts w:ascii="Arial" w:cs="Arial" w:eastAsia="Arial" w:hAnsi="Arial"/>
          <w:sz w:val="12"/>
          <w:szCs w:val="12"/>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33" w:lineRule="exact"/>
        <w:rPr>
          <w:sz w:val="20"/>
          <w:szCs w:val="20"/>
          <w:color w:val="auto"/>
        </w:rPr>
      </w:pPr>
    </w:p>
    <w:p>
      <w:pPr>
        <w:ind w:left="940" w:hanging="516"/>
        <w:spacing w:after="0"/>
        <w:tabs>
          <w:tab w:leader="none" w:pos="940" w:val="left"/>
        </w:tabs>
        <w:numPr>
          <w:ilvl w:val="0"/>
          <w:numId w:val="28"/>
        </w:numPr>
        <w:rPr>
          <w:rFonts w:ascii="Arial" w:cs="Arial" w:eastAsia="Arial" w:hAnsi="Arial"/>
          <w:sz w:val="12"/>
          <w:szCs w:val="12"/>
          <w:color w:val="010000"/>
        </w:rPr>
      </w:pPr>
      <w:r>
        <w:rPr>
          <w:rFonts w:ascii="Arial" w:cs="Arial" w:eastAsia="Arial" w:hAnsi="Arial"/>
          <w:sz w:val="12"/>
          <w:szCs w:val="12"/>
          <w:color w:val="auto"/>
        </w:rPr>
        <w:t>CAPITALIZED TERMS. Capitalized terms used herein without definition shall have the meanings assigned to them in the Indenture.</w:t>
      </w:r>
    </w:p>
    <w:p>
      <w:pPr>
        <w:spacing w:after="0" w:line="159" w:lineRule="exact"/>
        <w:rPr>
          <w:rFonts w:ascii="Arial" w:cs="Arial" w:eastAsia="Arial" w:hAnsi="Arial"/>
          <w:sz w:val="12"/>
          <w:szCs w:val="12"/>
          <w:color w:val="010000"/>
        </w:rPr>
      </w:pPr>
    </w:p>
    <w:p>
      <w:pPr>
        <w:jc w:val="both"/>
        <w:ind w:firstLine="424"/>
        <w:spacing w:after="0" w:line="263" w:lineRule="auto"/>
        <w:tabs>
          <w:tab w:leader="none" w:pos="653" w:val="left"/>
        </w:tabs>
        <w:numPr>
          <w:ilvl w:val="0"/>
          <w:numId w:val="28"/>
        </w:numPr>
        <w:rPr>
          <w:rFonts w:ascii="Arial" w:cs="Arial" w:eastAsia="Arial" w:hAnsi="Arial"/>
          <w:sz w:val="12"/>
          <w:szCs w:val="12"/>
          <w:color w:val="010000"/>
        </w:rPr>
      </w:pPr>
      <w:r>
        <w:rPr>
          <w:rFonts w:ascii="Arial" w:cs="Arial" w:eastAsia="Arial" w:hAnsi="Arial"/>
          <w:sz w:val="12"/>
          <w:szCs w:val="12"/>
          <w:color w:val="auto"/>
        </w:rPr>
        <w:t>AGREEMENT TO GUARANTEE. The Guaranteeing Subsidiary hereby becomes party to the Indenture as a Guarantor and as such will have all the rights and be subject to all the Obligations and agreements of Guarantors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22" w:lineRule="exact"/>
        <w:rPr>
          <w:rFonts w:ascii="Arial" w:cs="Arial" w:eastAsia="Arial" w:hAnsi="Arial"/>
          <w:sz w:val="12"/>
          <w:szCs w:val="12"/>
          <w:color w:val="010000"/>
        </w:rPr>
      </w:pPr>
    </w:p>
    <w:p>
      <w:pPr>
        <w:jc w:val="both"/>
        <w:ind w:firstLine="424"/>
        <w:spacing w:after="0" w:line="263" w:lineRule="auto"/>
        <w:tabs>
          <w:tab w:leader="none" w:pos="676" w:val="left"/>
        </w:tabs>
        <w:numPr>
          <w:ilvl w:val="0"/>
          <w:numId w:val="28"/>
        </w:numPr>
        <w:rPr>
          <w:rFonts w:ascii="Arial" w:cs="Arial" w:eastAsia="Arial" w:hAnsi="Arial"/>
          <w:sz w:val="12"/>
          <w:szCs w:val="12"/>
          <w:color w:val="010000"/>
        </w:rPr>
      </w:pPr>
      <w:r>
        <w:rPr>
          <w:rFonts w:ascii="Arial" w:cs="Arial" w:eastAsia="Arial" w:hAnsi="Arial"/>
          <w:sz w:val="12"/>
          <w:szCs w:val="12"/>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22" w:lineRule="exact"/>
        <w:rPr>
          <w:rFonts w:ascii="Arial" w:cs="Arial" w:eastAsia="Arial" w:hAnsi="Arial"/>
          <w:sz w:val="12"/>
          <w:szCs w:val="12"/>
          <w:color w:val="010000"/>
        </w:rPr>
      </w:pPr>
    </w:p>
    <w:p>
      <w:pPr>
        <w:ind w:firstLine="424"/>
        <w:spacing w:after="0" w:line="276" w:lineRule="auto"/>
        <w:tabs>
          <w:tab w:leader="none" w:pos="642" w:val="left"/>
        </w:tabs>
        <w:numPr>
          <w:ilvl w:val="0"/>
          <w:numId w:val="28"/>
        </w:numPr>
        <w:rPr>
          <w:rFonts w:ascii="Arial" w:cs="Arial" w:eastAsia="Arial" w:hAnsi="Arial"/>
          <w:sz w:val="12"/>
          <w:szCs w:val="12"/>
          <w:color w:val="010000"/>
        </w:rPr>
      </w:pPr>
      <w:r>
        <w:rPr>
          <w:rFonts w:ascii="Arial" w:cs="Arial" w:eastAsia="Arial" w:hAnsi="Arial"/>
          <w:sz w:val="12"/>
          <w:szCs w:val="12"/>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14" w:lineRule="exact"/>
        <w:rPr>
          <w:rFonts w:ascii="Arial" w:cs="Arial" w:eastAsia="Arial" w:hAnsi="Arial"/>
          <w:sz w:val="12"/>
          <w:szCs w:val="12"/>
          <w:color w:val="010000"/>
        </w:rPr>
      </w:pPr>
    </w:p>
    <w:p>
      <w:pPr>
        <w:ind w:left="640" w:hanging="216"/>
        <w:spacing w:after="0"/>
        <w:tabs>
          <w:tab w:leader="none" w:pos="640" w:val="left"/>
        </w:tabs>
        <w:numPr>
          <w:ilvl w:val="0"/>
          <w:numId w:val="28"/>
        </w:numPr>
        <w:rPr>
          <w:rFonts w:ascii="Arial" w:cs="Arial" w:eastAsia="Arial" w:hAnsi="Arial"/>
          <w:sz w:val="12"/>
          <w:szCs w:val="12"/>
          <w:color w:val="010000"/>
        </w:rPr>
      </w:pPr>
      <w:r>
        <w:rPr>
          <w:rFonts w:ascii="Arial" w:cs="Arial" w:eastAsia="Arial" w:hAnsi="Arial"/>
          <w:sz w:val="12"/>
          <w:szCs w:val="12"/>
          <w:color w:val="auto"/>
        </w:rPr>
        <w:t>COUNTERPARTS. The parties may sign any number of copies of this Supplemental Indenture. Each signed copy shall be an original, but all of them together represent the same agreement.</w:t>
      </w:r>
    </w:p>
    <w:p>
      <w:pPr>
        <w:spacing w:after="0" w:line="150" w:lineRule="exact"/>
        <w:rPr>
          <w:rFonts w:ascii="Arial" w:cs="Arial" w:eastAsia="Arial" w:hAnsi="Arial"/>
          <w:sz w:val="12"/>
          <w:szCs w:val="12"/>
          <w:color w:val="010000"/>
        </w:rPr>
      </w:pPr>
    </w:p>
    <w:p>
      <w:pPr>
        <w:ind w:left="640" w:hanging="216"/>
        <w:spacing w:after="0"/>
        <w:tabs>
          <w:tab w:leader="none" w:pos="640" w:val="left"/>
        </w:tabs>
        <w:numPr>
          <w:ilvl w:val="0"/>
          <w:numId w:val="28"/>
        </w:numPr>
        <w:rPr>
          <w:rFonts w:ascii="Arial" w:cs="Arial" w:eastAsia="Arial" w:hAnsi="Arial"/>
          <w:sz w:val="12"/>
          <w:szCs w:val="12"/>
          <w:color w:val="010000"/>
        </w:rPr>
      </w:pPr>
      <w:r>
        <w:rPr>
          <w:rFonts w:ascii="Arial" w:cs="Arial" w:eastAsia="Arial" w:hAnsi="Arial"/>
          <w:sz w:val="12"/>
          <w:szCs w:val="12"/>
          <w:color w:val="auto"/>
        </w:rPr>
        <w:t>EFFECT OF HEADINGS. The Section headings herein are for convenience only and shall not affect the construction hereof.</w:t>
      </w:r>
    </w:p>
    <w:p>
      <w:pPr>
        <w:spacing w:after="0" w:line="309" w:lineRule="exact"/>
        <w:rPr>
          <w:sz w:val="20"/>
          <w:szCs w:val="20"/>
          <w:color w:val="auto"/>
        </w:rPr>
      </w:pPr>
    </w:p>
    <w:p>
      <w:pPr>
        <w:spacing w:after="0"/>
        <w:rPr>
          <w:sz w:val="20"/>
          <w:szCs w:val="20"/>
          <w:color w:val="auto"/>
        </w:rPr>
      </w:pPr>
      <w:r>
        <w:rPr>
          <w:rFonts w:ascii="Arial" w:cs="Arial" w:eastAsia="Arial" w:hAnsi="Arial"/>
          <w:sz w:val="10"/>
          <w:szCs w:val="10"/>
          <w:color w:val="auto"/>
        </w:rPr>
        <w:t>38282982</w:t>
      </w:r>
    </w:p>
    <w:p>
      <w:pPr>
        <w:sectPr>
          <w:pgSz w:w="11900" w:h="16838" w:orient="portrait"/>
          <w:cols w:equalWidth="0" w:num="1">
            <w:col w:w="11480"/>
          </w:cols>
          <w:pgMar w:left="220" w:top="127" w:right="199" w:bottom="1440" w:gutter="0" w:footer="0" w:header="0"/>
        </w:sectPr>
      </w:pPr>
    </w:p>
    <w:bookmarkStart w:id="56" w:name="page57"/>
    <w:bookmarkEnd w:id="56"/>
    <w:p>
      <w:pPr>
        <w:ind w:left="-424" w:firstLine="424"/>
        <w:spacing w:after="0" w:line="276" w:lineRule="auto"/>
        <w:tabs>
          <w:tab w:leader="none" w:pos="235" w:val="left"/>
        </w:tabs>
        <w:numPr>
          <w:ilvl w:val="0"/>
          <w:numId w:val="29"/>
        </w:numPr>
        <w:rPr>
          <w:rFonts w:ascii="Arial" w:cs="Arial" w:eastAsia="Arial" w:hAnsi="Arial"/>
          <w:sz w:val="12"/>
          <w:szCs w:val="12"/>
          <w:color w:val="010000"/>
        </w:rPr>
      </w:pPr>
      <w:r>
        <w:rPr>
          <w:rFonts w:ascii="Arial" w:cs="Arial" w:eastAsia="Arial" w:hAnsi="Arial"/>
          <w:sz w:val="12"/>
          <w:szCs w:val="12"/>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14" w:lineRule="exact"/>
        <w:rPr>
          <w:rFonts w:ascii="Arial" w:cs="Arial" w:eastAsia="Arial" w:hAnsi="Arial"/>
          <w:sz w:val="12"/>
          <w:szCs w:val="12"/>
          <w:color w:val="010000"/>
        </w:rPr>
      </w:pPr>
    </w:p>
    <w:p>
      <w:pPr>
        <w:jc w:val="both"/>
        <w:ind w:left="-424" w:firstLine="424"/>
        <w:spacing w:after="0" w:line="263" w:lineRule="auto"/>
        <w:tabs>
          <w:tab w:leader="none" w:pos="282" w:val="left"/>
        </w:tabs>
        <w:numPr>
          <w:ilvl w:val="0"/>
          <w:numId w:val="29"/>
        </w:numPr>
        <w:rPr>
          <w:rFonts w:ascii="Arial" w:cs="Arial" w:eastAsia="Arial" w:hAnsi="Arial"/>
          <w:sz w:val="12"/>
          <w:szCs w:val="12"/>
          <w:color w:val="010000"/>
        </w:rPr>
      </w:pPr>
      <w:r>
        <w:rPr>
          <w:rFonts w:ascii="Arial" w:cs="Arial" w:eastAsia="Arial" w:hAnsi="Arial"/>
          <w:sz w:val="12"/>
          <w:szCs w:val="12"/>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376"/>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056"/>
          </w:cols>
          <w:pgMar w:left="644" w:top="464" w:right="199" w:bottom="1440" w:gutter="0" w:footer="0" w:header="0"/>
        </w:sectPr>
      </w:pPr>
    </w:p>
    <w:bookmarkStart w:id="57" w:name="page58"/>
    <w:bookmarkEnd w:id="57"/>
    <w:p>
      <w:pPr>
        <w:spacing w:after="0"/>
        <w:rPr>
          <w:sz w:val="20"/>
          <w:szCs w:val="20"/>
          <w:color w:val="auto"/>
        </w:rPr>
      </w:pPr>
      <w:r>
        <w:rPr>
          <w:rFonts w:ascii="Arial" w:cs="Arial" w:eastAsia="Arial" w:hAnsi="Arial"/>
          <w:sz w:val="10"/>
          <w:szCs w:val="10"/>
          <w:color w:val="auto"/>
        </w:rPr>
        <w:t>IN WITNESS WHEREOF, the parties hereto have caused this Supplemental Indenture to be duly executed and attested, all as of the date first above written.</w:t>
      </w:r>
    </w:p>
    <w:p>
      <w:pPr>
        <w:sectPr>
          <w:pgSz w:w="11900" w:h="16838" w:orient="portrait"/>
          <w:cols w:equalWidth="0" w:num="1">
            <w:col w:w="9379"/>
          </w:cols>
          <w:pgMar w:left="1080" w:top="464" w:right="1440" w:bottom="1440" w:gutter="0" w:footer="0" w:header="0"/>
        </w:sectPr>
      </w:pPr>
    </w:p>
    <w:p>
      <w:pPr>
        <w:spacing w:after="0" w:line="200" w:lineRule="exact"/>
        <w:rPr>
          <w:sz w:val="20"/>
          <w:szCs w:val="20"/>
          <w:color w:val="auto"/>
        </w:rPr>
      </w:pPr>
    </w:p>
    <w:p>
      <w:pPr>
        <w:spacing w:after="0" w:line="225" w:lineRule="exact"/>
        <w:rPr>
          <w:sz w:val="20"/>
          <w:szCs w:val="20"/>
          <w:color w:val="auto"/>
        </w:rPr>
      </w:pPr>
    </w:p>
    <w:p>
      <w:pPr>
        <w:ind w:left="1460"/>
        <w:spacing w:after="0"/>
        <w:rPr>
          <w:sz w:val="20"/>
          <w:szCs w:val="20"/>
          <w:color w:val="auto"/>
        </w:rPr>
      </w:pPr>
      <w:r>
        <w:rPr>
          <w:rFonts w:ascii="Arial" w:cs="Arial" w:eastAsia="Arial" w:hAnsi="Arial"/>
          <w:sz w:val="11"/>
          <w:szCs w:val="11"/>
          <w:color w:val="auto"/>
        </w:rPr>
        <w:t>THERMAL CANADA INFRASTRUCTURE HOLDINGS LLC</w:t>
      </w:r>
    </w:p>
    <w:p>
      <w:pPr>
        <w:spacing w:after="0" w:line="198"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 xml:space="preserve">By: </w:t>
      </w:r>
      <w:r>
        <w:rPr>
          <w:rFonts w:ascii="Arial" w:cs="Arial" w:eastAsia="Arial" w:hAnsi="Arial"/>
          <w:sz w:val="12"/>
          <w:szCs w:val="12"/>
          <w:u w:val="single" w:color="auto"/>
          <w:color w:val="auto"/>
        </w:rPr>
        <w:t>/s/ Chad Plotkin</w:t>
      </w:r>
    </w:p>
    <w:p>
      <w:pPr>
        <w:spacing w:after="0" w:line="15"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Name: Chad Plotkin</w:t>
      </w:r>
    </w:p>
    <w:p>
      <w:pPr>
        <w:spacing w:after="0" w:line="6"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Title: Vice President &amp; Treasurer</w:t>
      </w:r>
    </w:p>
    <w:p>
      <w:pPr>
        <w:spacing w:after="0" w:line="200" w:lineRule="exact"/>
        <w:rPr>
          <w:sz w:val="20"/>
          <w:szCs w:val="20"/>
          <w:color w:val="auto"/>
        </w:rPr>
      </w:pPr>
    </w:p>
    <w:p>
      <w:pPr>
        <w:spacing w:after="0" w:line="284" w:lineRule="exact"/>
        <w:rPr>
          <w:sz w:val="20"/>
          <w:szCs w:val="20"/>
          <w:color w:val="auto"/>
        </w:rPr>
      </w:pPr>
    </w:p>
    <w:p>
      <w:pPr>
        <w:ind w:left="194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Signature Page to Seventh Supplemental Indenture</w:t>
      </w:r>
      <w:r>
        <w:rPr>
          <w:rFonts w:ascii="Arial" w:cs="Arial" w:eastAsia="Arial" w:hAnsi="Arial"/>
          <w:sz w:val="11"/>
          <w:szCs w:val="11"/>
          <w:color w:val="auto"/>
        </w:rPr>
        <w:t>]</w:t>
      </w:r>
    </w:p>
    <w:p>
      <w:pPr>
        <w:sectPr>
          <w:pgSz w:w="11900" w:h="16838" w:orient="portrait"/>
          <w:cols w:equalWidth="0" w:num="1">
            <w:col w:w="9379"/>
          </w:cols>
          <w:pgMar w:left="1080" w:top="464" w:right="1440" w:bottom="1440" w:gutter="0" w:footer="0" w:header="0"/>
          <w:type w:val="continuous"/>
        </w:sectPr>
      </w:pPr>
    </w:p>
    <w:bookmarkStart w:id="58" w:name="page59"/>
    <w:bookmarkEnd w:id="58"/>
    <w:p>
      <w:pPr>
        <w:ind w:left="1120"/>
        <w:spacing w:after="0"/>
        <w:rPr>
          <w:sz w:val="20"/>
          <w:szCs w:val="20"/>
          <w:color w:val="auto"/>
        </w:rPr>
      </w:pPr>
      <w:r>
        <w:rPr>
          <w:rFonts w:ascii="Arial" w:cs="Arial" w:eastAsia="Arial" w:hAnsi="Arial"/>
          <w:sz w:val="12"/>
          <w:szCs w:val="12"/>
          <w:color w:val="auto"/>
        </w:rPr>
        <w:t>NRG YIELD OPERATING LLC</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NRG YIELD LLC</w:t>
      </w:r>
    </w:p>
    <w:p>
      <w:pPr>
        <w:spacing w:after="0" w:line="6"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NRG YIELD DGPV HOLDING LLC</w:t>
      </w:r>
    </w:p>
    <w:p>
      <w:pPr>
        <w:spacing w:after="0" w:line="141"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By: </w:t>
      </w:r>
      <w:r>
        <w:rPr>
          <w:rFonts w:ascii="Arial" w:cs="Arial" w:eastAsia="Arial" w:hAnsi="Arial"/>
          <w:sz w:val="12"/>
          <w:szCs w:val="12"/>
          <w:u w:val="single" w:color="auto"/>
          <w:color w:val="auto"/>
        </w:rPr>
        <w:t>/s/ Chad Plotkin</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Name: Chad Plotkin</w:t>
      </w:r>
    </w:p>
    <w:p>
      <w:pPr>
        <w:spacing w:after="0" w:line="6" w:lineRule="exact"/>
        <w:rPr>
          <w:sz w:val="20"/>
          <w:szCs w:val="20"/>
          <w:color w:val="auto"/>
        </w:rPr>
      </w:pPr>
    </w:p>
    <w:p>
      <w:pPr>
        <w:ind w:left="1100"/>
        <w:spacing w:after="0"/>
        <w:rPr>
          <w:sz w:val="20"/>
          <w:szCs w:val="20"/>
          <w:color w:val="auto"/>
        </w:rPr>
      </w:pPr>
      <w:r>
        <w:rPr>
          <w:rFonts w:ascii="Arial" w:cs="Arial" w:eastAsia="Arial" w:hAnsi="Arial"/>
          <w:sz w:val="12"/>
          <w:szCs w:val="12"/>
          <w:color w:val="auto"/>
        </w:rPr>
        <w:t>Title: Senior Vice President, Chief Financial Officer &amp; Treasurer</w:t>
      </w:r>
    </w:p>
    <w:p>
      <w:pPr>
        <w:spacing w:after="0" w:line="141"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ALTA WIND 1-5 HOLDING COMPANY, LLC</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ALTA WIND COMPANY, LLC</w:t>
      </w:r>
    </w:p>
    <w:p>
      <w:pPr>
        <w:spacing w:after="0" w:line="6"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CENTRAL CA FUEL CELL 1, LLC</w:t>
      </w:r>
    </w:p>
    <w:p>
      <w:pPr>
        <w:spacing w:after="0" w:line="6"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NRG SOLAR IGUANA LLC</w:t>
      </w:r>
    </w:p>
    <w:p>
      <w:pPr>
        <w:spacing w:after="0" w:line="6"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NRG SOLAR LAS VEGAS MB 1 LLC</w:t>
      </w:r>
    </w:p>
    <w:p>
      <w:pPr>
        <w:spacing w:after="0" w:line="6"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NRG SOLAR STAR LLC</w:t>
      </w:r>
    </w:p>
    <w:p>
      <w:pPr>
        <w:spacing w:after="0" w:line="6"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NRG SOLAR TABERNACLE LLC</w:t>
      </w:r>
    </w:p>
    <w:p>
      <w:pPr>
        <w:spacing w:after="0" w:line="6"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NRG SOUTH TRENT HOLDINGS LLC</w:t>
      </w:r>
    </w:p>
    <w:p>
      <w:pPr>
        <w:spacing w:after="0" w:line="6"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NRG YIELD RPV HOLDING LLC</w:t>
      </w:r>
    </w:p>
    <w:p>
      <w:pPr>
        <w:spacing w:after="0" w:line="6"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NYLD FUEL CELL HOLDINGS LLC</w:t>
      </w:r>
    </w:p>
    <w:p>
      <w:pPr>
        <w:spacing w:after="0" w:line="6"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PORTFOLIO SOLAR I, LLC</w:t>
      </w:r>
    </w:p>
    <w:p>
      <w:pPr>
        <w:spacing w:after="0" w:line="6"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SOLAR FLAGSTAFF ONE LLC</w:t>
      </w:r>
    </w:p>
    <w:p>
      <w:pPr>
        <w:spacing w:after="0" w:line="6"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SPP ASSET HOLDINGS, LLC</w:t>
      </w:r>
    </w:p>
    <w:p>
      <w:pPr>
        <w:spacing w:after="0" w:line="6"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SPP FUND II HOLDINGS, LLC</w:t>
      </w:r>
    </w:p>
    <w:p>
      <w:pPr>
        <w:spacing w:after="0" w:line="6"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SPP FUND II, LLC</w:t>
      </w:r>
    </w:p>
    <w:p>
      <w:pPr>
        <w:spacing w:after="0" w:line="6"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SPP FUND II-B, LLC</w:t>
      </w:r>
    </w:p>
    <w:p>
      <w:pPr>
        <w:spacing w:after="0" w:line="6"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SPP FUND III, LLC</w:t>
      </w:r>
    </w:p>
    <w:p>
      <w:pPr>
        <w:spacing w:after="0" w:line="6" w:lineRule="exact"/>
        <w:rPr>
          <w:sz w:val="20"/>
          <w:szCs w:val="20"/>
          <w:color w:val="auto"/>
        </w:rPr>
      </w:pPr>
    </w:p>
    <w:p>
      <w:pPr>
        <w:ind w:left="1100"/>
        <w:spacing w:after="0"/>
        <w:rPr>
          <w:sz w:val="20"/>
          <w:szCs w:val="20"/>
          <w:color w:val="auto"/>
        </w:rPr>
      </w:pPr>
      <w:r>
        <w:rPr>
          <w:rFonts w:ascii="Arial" w:cs="Arial" w:eastAsia="Arial" w:hAnsi="Arial"/>
          <w:sz w:val="11"/>
          <w:szCs w:val="11"/>
          <w:color w:val="auto"/>
        </w:rPr>
        <w:t>THERMAL INFRASTRUCTURE DEVELOPMENT HOLDINGS LLC</w:t>
      </w:r>
    </w:p>
    <w:p>
      <w:pPr>
        <w:spacing w:after="0" w:line="18"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UB FUEL CELL, LLC</w:t>
      </w:r>
    </w:p>
    <w:p>
      <w:pPr>
        <w:spacing w:after="0" w:line="28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By: </w:t>
      </w:r>
      <w:r>
        <w:rPr>
          <w:rFonts w:ascii="Arial" w:cs="Arial" w:eastAsia="Arial" w:hAnsi="Arial"/>
          <w:sz w:val="12"/>
          <w:szCs w:val="12"/>
          <w:u w:val="single" w:color="auto"/>
          <w:color w:val="auto"/>
        </w:rPr>
        <w:t>/s/ Chad Plotkin</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Name: Chad Plotkin</w:t>
      </w:r>
    </w:p>
    <w:p>
      <w:pPr>
        <w:spacing w:after="0" w:line="6"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Title: Vice President &amp; Treasurer</w:t>
      </w:r>
    </w:p>
    <w:p>
      <w:pPr>
        <w:spacing w:after="0" w:line="28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DELAWARE TRUST COMPANY</w:t>
      </w:r>
    </w:p>
    <w:p>
      <w:pPr>
        <w:spacing w:after="0" w:line="200" w:lineRule="exact"/>
        <w:rPr>
          <w:sz w:val="20"/>
          <w:szCs w:val="20"/>
          <w:color w:val="auto"/>
        </w:rPr>
      </w:pPr>
    </w:p>
    <w:p>
      <w:pPr>
        <w:spacing w:after="0" w:line="238"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By: </w:t>
      </w:r>
      <w:r>
        <w:rPr>
          <w:rFonts w:ascii="Arial" w:cs="Arial" w:eastAsia="Arial" w:hAnsi="Arial"/>
          <w:sz w:val="12"/>
          <w:szCs w:val="12"/>
          <w:u w:val="single" w:color="auto"/>
          <w:color w:val="auto"/>
        </w:rPr>
        <w:t>/s/ Thomas Musarra</w:t>
      </w:r>
    </w:p>
    <w:p>
      <w:pPr>
        <w:spacing w:after="0" w:line="294"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5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Page to Seventh Supplemental Indenture</w:t>
      </w:r>
      <w:r>
        <w:rPr>
          <w:rFonts w:ascii="Arial" w:cs="Arial" w:eastAsia="Arial" w:hAnsi="Arial"/>
          <w:sz w:val="12"/>
          <w:szCs w:val="12"/>
          <w:color w:val="auto"/>
        </w:rPr>
        <w:t>]</w:t>
      </w:r>
    </w:p>
    <w:p>
      <w:pPr>
        <w:sectPr>
          <w:pgSz w:w="11900" w:h="16838" w:orient="portrait"/>
          <w:cols w:equalWidth="0" w:num="1">
            <w:col w:w="9019"/>
          </w:cols>
          <w:pgMar w:left="1440" w:top="572" w:right="1440" w:bottom="1440" w:gutter="0" w:footer="0" w:header="0"/>
        </w:sectPr>
      </w:pPr>
    </w:p>
    <w:bookmarkStart w:id="59" w:name="page60"/>
    <w:bookmarkEnd w:id="59"/>
    <w:p>
      <w:pPr>
        <w:jc w:val="right"/>
        <w:spacing w:after="0"/>
        <w:rPr>
          <w:sz w:val="20"/>
          <w:szCs w:val="20"/>
          <w:color w:val="auto"/>
        </w:rPr>
      </w:pPr>
      <w:r>
        <w:rPr>
          <w:rFonts w:ascii="Arial" w:cs="Arial" w:eastAsia="Arial" w:hAnsi="Arial"/>
          <w:sz w:val="12"/>
          <w:szCs w:val="12"/>
          <w:b w:val="1"/>
          <w:bCs w:val="1"/>
          <w:color w:val="auto"/>
        </w:rPr>
        <w:t>Exhibit 4.4</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2"/>
          <w:szCs w:val="12"/>
          <w:b w:val="1"/>
          <w:bCs w:val="1"/>
          <w:i w:val="1"/>
          <w:iCs w:val="1"/>
          <w:color w:val="auto"/>
        </w:rPr>
        <w:t>Execution Version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THIRD SUPPLEMENTAL INDENTURE</w:t>
      </w:r>
    </w:p>
    <w:p>
      <w:pPr>
        <w:spacing w:after="0" w:line="150" w:lineRule="exact"/>
        <w:rPr>
          <w:sz w:val="20"/>
          <w:szCs w:val="20"/>
          <w:color w:val="auto"/>
        </w:rPr>
      </w:pPr>
    </w:p>
    <w:p>
      <w:pPr>
        <w:jc w:val="both"/>
        <w:ind w:firstLine="865"/>
        <w:spacing w:after="0" w:line="263" w:lineRule="auto"/>
        <w:rPr>
          <w:sz w:val="20"/>
          <w:szCs w:val="20"/>
          <w:color w:val="auto"/>
        </w:rPr>
      </w:pPr>
      <w:r>
        <w:rPr>
          <w:rFonts w:ascii="Arial" w:cs="Arial" w:eastAsia="Arial" w:hAnsi="Arial"/>
          <w:sz w:val="12"/>
          <w:szCs w:val="12"/>
          <w:color w:val="auto"/>
        </w:rPr>
        <w:t>THIRD SUPPLEMENTAL INDENTURE (this “</w:t>
      </w:r>
      <w:r>
        <w:rPr>
          <w:rFonts w:ascii="Arial" w:cs="Arial" w:eastAsia="Arial" w:hAnsi="Arial"/>
          <w:sz w:val="12"/>
          <w:szCs w:val="12"/>
          <w:i w:val="1"/>
          <w:iCs w:val="1"/>
          <w:color w:val="auto"/>
        </w:rPr>
        <w:t>Supplemental Indenture</w:t>
      </w:r>
      <w:r>
        <w:rPr>
          <w:rFonts w:ascii="Arial" w:cs="Arial" w:eastAsia="Arial" w:hAnsi="Arial"/>
          <w:sz w:val="12"/>
          <w:szCs w:val="12"/>
          <w:color w:val="auto"/>
        </w:rPr>
        <w:t>”), dated as of July 17, 2018, among Thermal Canada Infrastructure Holdings LLC (the “</w:t>
      </w:r>
      <w:r>
        <w:rPr>
          <w:rFonts w:ascii="Arial" w:cs="Arial" w:eastAsia="Arial" w:hAnsi="Arial"/>
          <w:sz w:val="12"/>
          <w:szCs w:val="12"/>
          <w:i w:val="1"/>
          <w:iCs w:val="1"/>
          <w:color w:val="auto"/>
        </w:rPr>
        <w:t>Guaranteeing Subsidiary</w:t>
      </w:r>
      <w:r>
        <w:rPr>
          <w:rFonts w:ascii="Arial" w:cs="Arial" w:eastAsia="Arial" w:hAnsi="Arial"/>
          <w:sz w:val="12"/>
          <w:szCs w:val="12"/>
          <w:color w:val="auto"/>
        </w:rPr>
        <w:t>”), a subsidiary of NRG Yield Operating LLC (or its permitted successor), a Delaware limited liability company (the “</w:t>
      </w:r>
      <w:r>
        <w:rPr>
          <w:rFonts w:ascii="Arial" w:cs="Arial" w:eastAsia="Arial" w:hAnsi="Arial"/>
          <w:sz w:val="12"/>
          <w:szCs w:val="12"/>
          <w:i w:val="1"/>
          <w:iCs w:val="1"/>
          <w:color w:val="auto"/>
        </w:rPr>
        <w:t>Company</w:t>
      </w:r>
      <w:r>
        <w:rPr>
          <w:rFonts w:ascii="Arial" w:cs="Arial" w:eastAsia="Arial" w:hAnsi="Arial"/>
          <w:sz w:val="12"/>
          <w:szCs w:val="12"/>
          <w:color w:val="auto"/>
        </w:rPr>
        <w:t>”), the Company, the other Guarantors (as defined in the Indenture referred to herein) and Delaware Trust Company (as successor in interest to Law Debenture Trust Company of New York), as trustee under the Indenture referred to below (the “</w:t>
      </w:r>
      <w:r>
        <w:rPr>
          <w:rFonts w:ascii="Arial" w:cs="Arial" w:eastAsia="Arial" w:hAnsi="Arial"/>
          <w:sz w:val="12"/>
          <w:szCs w:val="12"/>
          <w:i w:val="1"/>
          <w:iCs w:val="1"/>
          <w:color w:val="auto"/>
        </w:rPr>
        <w:t>Trustee</w:t>
      </w:r>
      <w:r>
        <w:rPr>
          <w:rFonts w:ascii="Arial" w:cs="Arial" w:eastAsia="Arial" w:hAnsi="Arial"/>
          <w:sz w:val="12"/>
          <w:szCs w:val="12"/>
          <w:color w:val="auto"/>
        </w:rPr>
        <w: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W I T N E S S E T H</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1"/>
          <w:szCs w:val="11"/>
          <w:color w:val="auto"/>
        </w:rPr>
        <w:t>WHEREAS, the Company has heretofore executed and delivered to the Trustee an indenture (the “</w:t>
      </w:r>
      <w:r>
        <w:rPr>
          <w:rFonts w:ascii="Arial" w:cs="Arial" w:eastAsia="Arial" w:hAnsi="Arial"/>
          <w:sz w:val="11"/>
          <w:szCs w:val="11"/>
          <w:i w:val="1"/>
          <w:iCs w:val="1"/>
          <w:color w:val="auto"/>
        </w:rPr>
        <w:t>Indenture</w:t>
      </w:r>
      <w:r>
        <w:rPr>
          <w:rFonts w:ascii="Arial" w:cs="Arial" w:eastAsia="Arial" w:hAnsi="Arial"/>
          <w:sz w:val="11"/>
          <w:szCs w:val="11"/>
          <w:color w:val="auto"/>
        </w:rPr>
        <w:t>”), dated as of August 18, 2016 providing for the issuance of 5.000% Senior Notes due 2026 (the “</w:t>
      </w:r>
      <w:r>
        <w:rPr>
          <w:rFonts w:ascii="Arial" w:cs="Arial" w:eastAsia="Arial" w:hAnsi="Arial"/>
          <w:sz w:val="11"/>
          <w:szCs w:val="11"/>
          <w:i w:val="1"/>
          <w:iCs w:val="1"/>
          <w:color w:val="auto"/>
        </w:rPr>
        <w:t>Notes</w:t>
      </w:r>
      <w:r>
        <w:rPr>
          <w:rFonts w:ascii="Arial" w:cs="Arial" w:eastAsia="Arial" w:hAnsi="Arial"/>
          <w:sz w:val="11"/>
          <w:szCs w:val="11"/>
          <w:color w:val="auto"/>
        </w:rPr>
        <w:t>”);</w:t>
      </w:r>
    </w:p>
    <w:p>
      <w:pPr>
        <w:spacing w:after="0" w:line="162" w:lineRule="exact"/>
        <w:rPr>
          <w:sz w:val="20"/>
          <w:szCs w:val="20"/>
          <w:color w:val="auto"/>
        </w:rPr>
      </w:pPr>
    </w:p>
    <w:p>
      <w:pPr>
        <w:jc w:val="both"/>
        <w:ind w:firstLine="865"/>
        <w:spacing w:after="0" w:line="276" w:lineRule="auto"/>
        <w:rPr>
          <w:sz w:val="20"/>
          <w:szCs w:val="20"/>
          <w:color w:val="auto"/>
        </w:rPr>
      </w:pPr>
      <w:r>
        <w:rPr>
          <w:rFonts w:ascii="Arial" w:cs="Arial" w:eastAsia="Arial" w:hAnsi="Arial"/>
          <w:sz w:val="12"/>
          <w:szCs w:val="12"/>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Arial" w:cs="Arial" w:eastAsia="Arial" w:hAnsi="Arial"/>
          <w:sz w:val="12"/>
          <w:szCs w:val="12"/>
          <w:i w:val="1"/>
          <w:iCs w:val="1"/>
          <w:color w:val="auto"/>
        </w:rPr>
        <w:t>Subsidiary Guarantee</w:t>
      </w:r>
      <w:r>
        <w:rPr>
          <w:rFonts w:ascii="Arial" w:cs="Arial" w:eastAsia="Arial" w:hAnsi="Arial"/>
          <w:sz w:val="12"/>
          <w:szCs w:val="12"/>
          <w:color w:val="auto"/>
        </w:rPr>
        <w:t>”); and</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WHEREAS, pursuant to Sections 4.10 and 9.01 of the Indenture, the Trustee, the Company and the other Guarantors are authorized to execute and deliver this Supplemental Indenture.</w:t>
      </w:r>
    </w:p>
    <w:p>
      <w:pPr>
        <w:spacing w:after="0" w:line="150" w:lineRule="exact"/>
        <w:rPr>
          <w:sz w:val="20"/>
          <w:szCs w:val="20"/>
          <w:color w:val="auto"/>
        </w:rPr>
      </w:pPr>
    </w:p>
    <w:p>
      <w:pPr>
        <w:jc w:val="both"/>
        <w:ind w:right="20" w:firstLine="865"/>
        <w:spacing w:after="0" w:line="276" w:lineRule="auto"/>
        <w:rPr>
          <w:sz w:val="20"/>
          <w:szCs w:val="20"/>
          <w:color w:val="auto"/>
        </w:rPr>
      </w:pPr>
      <w:r>
        <w:rPr>
          <w:rFonts w:ascii="Arial" w:cs="Arial" w:eastAsia="Arial" w:hAnsi="Arial"/>
          <w:sz w:val="12"/>
          <w:szCs w:val="12"/>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33" w:lineRule="exact"/>
        <w:rPr>
          <w:sz w:val="20"/>
          <w:szCs w:val="20"/>
          <w:color w:val="auto"/>
        </w:rPr>
      </w:pPr>
    </w:p>
    <w:p>
      <w:pPr>
        <w:ind w:left="940" w:hanging="516"/>
        <w:spacing w:after="0"/>
        <w:tabs>
          <w:tab w:leader="none" w:pos="940" w:val="left"/>
        </w:tabs>
        <w:numPr>
          <w:ilvl w:val="0"/>
          <w:numId w:val="30"/>
        </w:numPr>
        <w:rPr>
          <w:rFonts w:ascii="Arial" w:cs="Arial" w:eastAsia="Arial" w:hAnsi="Arial"/>
          <w:sz w:val="12"/>
          <w:szCs w:val="12"/>
          <w:color w:val="010000"/>
        </w:rPr>
      </w:pPr>
      <w:r>
        <w:rPr>
          <w:rFonts w:ascii="Arial" w:cs="Arial" w:eastAsia="Arial" w:hAnsi="Arial"/>
          <w:sz w:val="12"/>
          <w:szCs w:val="12"/>
          <w:color w:val="auto"/>
        </w:rPr>
        <w:t>CAPITALIZED TERMS. Capitalized terms used herein without definition shall have the meanings assigned to them in the Indenture.</w:t>
      </w:r>
    </w:p>
    <w:p>
      <w:pPr>
        <w:spacing w:after="0" w:line="159" w:lineRule="exact"/>
        <w:rPr>
          <w:rFonts w:ascii="Arial" w:cs="Arial" w:eastAsia="Arial" w:hAnsi="Arial"/>
          <w:sz w:val="12"/>
          <w:szCs w:val="12"/>
          <w:color w:val="010000"/>
        </w:rPr>
      </w:pPr>
    </w:p>
    <w:p>
      <w:pPr>
        <w:jc w:val="both"/>
        <w:ind w:firstLine="424"/>
        <w:spacing w:after="0" w:line="263" w:lineRule="auto"/>
        <w:tabs>
          <w:tab w:leader="none" w:pos="653" w:val="left"/>
        </w:tabs>
        <w:numPr>
          <w:ilvl w:val="0"/>
          <w:numId w:val="30"/>
        </w:numPr>
        <w:rPr>
          <w:rFonts w:ascii="Arial" w:cs="Arial" w:eastAsia="Arial" w:hAnsi="Arial"/>
          <w:sz w:val="12"/>
          <w:szCs w:val="12"/>
          <w:color w:val="010000"/>
        </w:rPr>
      </w:pPr>
      <w:r>
        <w:rPr>
          <w:rFonts w:ascii="Arial" w:cs="Arial" w:eastAsia="Arial" w:hAnsi="Arial"/>
          <w:sz w:val="12"/>
          <w:szCs w:val="12"/>
          <w:color w:val="auto"/>
        </w:rPr>
        <w:t>AGREEMENT TO GUARANTEE. The Guaranteeing Subsidiary hereby becomes party to the Indenture as a Guarantor and as such will have all the rights and be subject to all the Obligations and agreements of Guarantors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22" w:lineRule="exact"/>
        <w:rPr>
          <w:rFonts w:ascii="Arial" w:cs="Arial" w:eastAsia="Arial" w:hAnsi="Arial"/>
          <w:sz w:val="12"/>
          <w:szCs w:val="12"/>
          <w:color w:val="010000"/>
        </w:rPr>
      </w:pPr>
    </w:p>
    <w:p>
      <w:pPr>
        <w:jc w:val="both"/>
        <w:ind w:firstLine="424"/>
        <w:spacing w:after="0" w:line="263" w:lineRule="auto"/>
        <w:tabs>
          <w:tab w:leader="none" w:pos="676" w:val="left"/>
        </w:tabs>
        <w:numPr>
          <w:ilvl w:val="0"/>
          <w:numId w:val="30"/>
        </w:numPr>
        <w:rPr>
          <w:rFonts w:ascii="Arial" w:cs="Arial" w:eastAsia="Arial" w:hAnsi="Arial"/>
          <w:sz w:val="12"/>
          <w:szCs w:val="12"/>
          <w:color w:val="010000"/>
        </w:rPr>
      </w:pPr>
      <w:r>
        <w:rPr>
          <w:rFonts w:ascii="Arial" w:cs="Arial" w:eastAsia="Arial" w:hAnsi="Arial"/>
          <w:sz w:val="12"/>
          <w:szCs w:val="12"/>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22" w:lineRule="exact"/>
        <w:rPr>
          <w:rFonts w:ascii="Arial" w:cs="Arial" w:eastAsia="Arial" w:hAnsi="Arial"/>
          <w:sz w:val="12"/>
          <w:szCs w:val="12"/>
          <w:color w:val="010000"/>
        </w:rPr>
      </w:pPr>
    </w:p>
    <w:p>
      <w:pPr>
        <w:ind w:firstLine="424"/>
        <w:spacing w:after="0" w:line="276" w:lineRule="auto"/>
        <w:tabs>
          <w:tab w:leader="none" w:pos="642" w:val="left"/>
        </w:tabs>
        <w:numPr>
          <w:ilvl w:val="0"/>
          <w:numId w:val="30"/>
        </w:numPr>
        <w:rPr>
          <w:rFonts w:ascii="Arial" w:cs="Arial" w:eastAsia="Arial" w:hAnsi="Arial"/>
          <w:sz w:val="12"/>
          <w:szCs w:val="12"/>
          <w:color w:val="010000"/>
        </w:rPr>
      </w:pPr>
      <w:r>
        <w:rPr>
          <w:rFonts w:ascii="Arial" w:cs="Arial" w:eastAsia="Arial" w:hAnsi="Arial"/>
          <w:sz w:val="12"/>
          <w:szCs w:val="12"/>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14" w:lineRule="exact"/>
        <w:rPr>
          <w:rFonts w:ascii="Arial" w:cs="Arial" w:eastAsia="Arial" w:hAnsi="Arial"/>
          <w:sz w:val="12"/>
          <w:szCs w:val="12"/>
          <w:color w:val="010000"/>
        </w:rPr>
      </w:pPr>
    </w:p>
    <w:p>
      <w:pPr>
        <w:ind w:left="640" w:hanging="216"/>
        <w:spacing w:after="0"/>
        <w:tabs>
          <w:tab w:leader="none" w:pos="640" w:val="left"/>
        </w:tabs>
        <w:numPr>
          <w:ilvl w:val="0"/>
          <w:numId w:val="30"/>
        </w:numPr>
        <w:rPr>
          <w:rFonts w:ascii="Arial" w:cs="Arial" w:eastAsia="Arial" w:hAnsi="Arial"/>
          <w:sz w:val="12"/>
          <w:szCs w:val="12"/>
          <w:color w:val="010000"/>
        </w:rPr>
      </w:pPr>
      <w:r>
        <w:rPr>
          <w:rFonts w:ascii="Arial" w:cs="Arial" w:eastAsia="Arial" w:hAnsi="Arial"/>
          <w:sz w:val="12"/>
          <w:szCs w:val="12"/>
          <w:color w:val="auto"/>
        </w:rPr>
        <w:t>COUNTERPARTS. The parties may sign any number of copies of this Supplemental Indenture. Each signed copy shall be an original, but all of them together represent the same agreement.</w:t>
      </w:r>
    </w:p>
    <w:p>
      <w:pPr>
        <w:spacing w:after="0" w:line="150" w:lineRule="exact"/>
        <w:rPr>
          <w:rFonts w:ascii="Arial" w:cs="Arial" w:eastAsia="Arial" w:hAnsi="Arial"/>
          <w:sz w:val="12"/>
          <w:szCs w:val="12"/>
          <w:color w:val="010000"/>
        </w:rPr>
      </w:pPr>
    </w:p>
    <w:p>
      <w:pPr>
        <w:ind w:left="640" w:hanging="216"/>
        <w:spacing w:after="0"/>
        <w:tabs>
          <w:tab w:leader="none" w:pos="640" w:val="left"/>
        </w:tabs>
        <w:numPr>
          <w:ilvl w:val="0"/>
          <w:numId w:val="30"/>
        </w:numPr>
        <w:rPr>
          <w:rFonts w:ascii="Arial" w:cs="Arial" w:eastAsia="Arial" w:hAnsi="Arial"/>
          <w:sz w:val="12"/>
          <w:szCs w:val="12"/>
          <w:color w:val="010000"/>
        </w:rPr>
      </w:pPr>
      <w:r>
        <w:rPr>
          <w:rFonts w:ascii="Arial" w:cs="Arial" w:eastAsia="Arial" w:hAnsi="Arial"/>
          <w:sz w:val="12"/>
          <w:szCs w:val="12"/>
          <w:color w:val="auto"/>
        </w:rPr>
        <w:t>EFFECT OF HEADINGS. The Section headings herein are for convenience only and shall not affect the construction hereof.</w:t>
      </w:r>
    </w:p>
    <w:p>
      <w:pPr>
        <w:spacing w:after="0" w:line="309" w:lineRule="exact"/>
        <w:rPr>
          <w:sz w:val="20"/>
          <w:szCs w:val="20"/>
          <w:color w:val="auto"/>
        </w:rPr>
      </w:pPr>
    </w:p>
    <w:p>
      <w:pPr>
        <w:spacing w:after="0"/>
        <w:rPr>
          <w:sz w:val="20"/>
          <w:szCs w:val="20"/>
          <w:color w:val="auto"/>
        </w:rPr>
      </w:pPr>
      <w:r>
        <w:rPr>
          <w:rFonts w:ascii="Arial" w:cs="Arial" w:eastAsia="Arial" w:hAnsi="Arial"/>
          <w:sz w:val="10"/>
          <w:szCs w:val="10"/>
          <w:color w:val="auto"/>
        </w:rPr>
        <w:t>38282987</w:t>
      </w:r>
    </w:p>
    <w:p>
      <w:pPr>
        <w:sectPr>
          <w:pgSz w:w="11900" w:h="16838" w:orient="portrait"/>
          <w:cols w:equalWidth="0" w:num="1">
            <w:col w:w="11480"/>
          </w:cols>
          <w:pgMar w:left="220" w:top="127" w:right="199" w:bottom="1440" w:gutter="0" w:footer="0" w:header="0"/>
        </w:sectPr>
      </w:pPr>
    </w:p>
    <w:bookmarkStart w:id="60" w:name="page61"/>
    <w:bookmarkEnd w:id="60"/>
    <w:p>
      <w:pPr>
        <w:ind w:left="-424" w:firstLine="424"/>
        <w:spacing w:after="0" w:line="276" w:lineRule="auto"/>
        <w:tabs>
          <w:tab w:leader="none" w:pos="235" w:val="left"/>
        </w:tabs>
        <w:numPr>
          <w:ilvl w:val="0"/>
          <w:numId w:val="31"/>
        </w:numPr>
        <w:rPr>
          <w:rFonts w:ascii="Arial" w:cs="Arial" w:eastAsia="Arial" w:hAnsi="Arial"/>
          <w:sz w:val="12"/>
          <w:szCs w:val="12"/>
          <w:color w:val="010000"/>
        </w:rPr>
      </w:pPr>
      <w:r>
        <w:rPr>
          <w:rFonts w:ascii="Arial" w:cs="Arial" w:eastAsia="Arial" w:hAnsi="Arial"/>
          <w:sz w:val="12"/>
          <w:szCs w:val="12"/>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14" w:lineRule="exact"/>
        <w:rPr>
          <w:rFonts w:ascii="Arial" w:cs="Arial" w:eastAsia="Arial" w:hAnsi="Arial"/>
          <w:sz w:val="12"/>
          <w:szCs w:val="12"/>
          <w:color w:val="010000"/>
        </w:rPr>
      </w:pPr>
    </w:p>
    <w:p>
      <w:pPr>
        <w:jc w:val="both"/>
        <w:ind w:left="-424" w:firstLine="424"/>
        <w:spacing w:after="0" w:line="263" w:lineRule="auto"/>
        <w:tabs>
          <w:tab w:leader="none" w:pos="282" w:val="left"/>
        </w:tabs>
        <w:numPr>
          <w:ilvl w:val="0"/>
          <w:numId w:val="31"/>
        </w:numPr>
        <w:rPr>
          <w:rFonts w:ascii="Arial" w:cs="Arial" w:eastAsia="Arial" w:hAnsi="Arial"/>
          <w:sz w:val="12"/>
          <w:szCs w:val="12"/>
          <w:color w:val="010000"/>
        </w:rPr>
      </w:pPr>
      <w:r>
        <w:rPr>
          <w:rFonts w:ascii="Arial" w:cs="Arial" w:eastAsia="Arial" w:hAnsi="Arial"/>
          <w:sz w:val="12"/>
          <w:szCs w:val="12"/>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376"/>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056"/>
          </w:cols>
          <w:pgMar w:left="644" w:top="464" w:right="199" w:bottom="1440" w:gutter="0" w:footer="0" w:header="0"/>
        </w:sectPr>
      </w:pPr>
    </w:p>
    <w:bookmarkStart w:id="61" w:name="page62"/>
    <w:bookmarkEnd w:id="61"/>
    <w:p>
      <w:pPr>
        <w:spacing w:after="0"/>
        <w:rPr>
          <w:sz w:val="20"/>
          <w:szCs w:val="20"/>
          <w:color w:val="auto"/>
        </w:rPr>
      </w:pPr>
      <w:r>
        <w:rPr>
          <w:rFonts w:ascii="Arial" w:cs="Arial" w:eastAsia="Arial" w:hAnsi="Arial"/>
          <w:sz w:val="10"/>
          <w:szCs w:val="10"/>
          <w:color w:val="auto"/>
        </w:rPr>
        <w:t>IN WITNESS WHEREOF, the parties hereto have caused this Supplemental Indenture to be duly executed and attested, all as of the date first above written.</w:t>
      </w:r>
    </w:p>
    <w:p>
      <w:pPr>
        <w:sectPr>
          <w:pgSz w:w="11900" w:h="16838" w:orient="portrait"/>
          <w:cols w:equalWidth="0" w:num="1">
            <w:col w:w="9379"/>
          </w:cols>
          <w:pgMar w:left="1080" w:top="464" w:right="1440" w:bottom="1440" w:gutter="0" w:footer="0" w:header="0"/>
        </w:sectPr>
      </w:pPr>
    </w:p>
    <w:p>
      <w:pPr>
        <w:spacing w:after="0" w:line="200" w:lineRule="exact"/>
        <w:rPr>
          <w:sz w:val="20"/>
          <w:szCs w:val="20"/>
          <w:color w:val="auto"/>
        </w:rPr>
      </w:pPr>
    </w:p>
    <w:p>
      <w:pPr>
        <w:spacing w:after="0" w:line="225" w:lineRule="exact"/>
        <w:rPr>
          <w:sz w:val="20"/>
          <w:szCs w:val="20"/>
          <w:color w:val="auto"/>
        </w:rPr>
      </w:pPr>
    </w:p>
    <w:p>
      <w:pPr>
        <w:ind w:left="1460"/>
        <w:spacing w:after="0"/>
        <w:rPr>
          <w:sz w:val="20"/>
          <w:szCs w:val="20"/>
          <w:color w:val="auto"/>
        </w:rPr>
      </w:pPr>
      <w:r>
        <w:rPr>
          <w:rFonts w:ascii="Arial" w:cs="Arial" w:eastAsia="Arial" w:hAnsi="Arial"/>
          <w:sz w:val="12"/>
          <w:szCs w:val="12"/>
          <w:color w:val="auto"/>
        </w:rPr>
        <w:t>THERMAL CANADA INFRASTRUCTURE HOLDINGS LLC</w:t>
      </w:r>
    </w:p>
    <w:p>
      <w:pPr>
        <w:spacing w:after="0" w:line="330"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 xml:space="preserve">By: </w:t>
      </w:r>
      <w:r>
        <w:rPr>
          <w:rFonts w:ascii="Arial" w:cs="Arial" w:eastAsia="Arial" w:hAnsi="Arial"/>
          <w:sz w:val="12"/>
          <w:szCs w:val="12"/>
          <w:u w:val="single" w:color="auto"/>
          <w:color w:val="auto"/>
        </w:rPr>
        <w:t>/s/ Chad Plotkin</w:t>
      </w:r>
    </w:p>
    <w:p>
      <w:pPr>
        <w:spacing w:after="0" w:line="15"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Name: Chad Plotkin</w:t>
      </w:r>
    </w:p>
    <w:p>
      <w:pPr>
        <w:spacing w:after="0" w:line="6"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Title: Vice President &amp; Treasurer</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NRG YIELD OPERATING LLC</w:t>
      </w:r>
    </w:p>
    <w:p>
      <w:pPr>
        <w:spacing w:after="0" w:line="15"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NRG YIELD LLC</w:t>
      </w:r>
    </w:p>
    <w:p>
      <w:pPr>
        <w:spacing w:after="0" w:line="6"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NRG YIELD DGPV HOLDING LLC</w:t>
      </w:r>
    </w:p>
    <w:p>
      <w:pPr>
        <w:spacing w:after="0" w:line="285"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 xml:space="preserve">By: </w:t>
      </w:r>
      <w:r>
        <w:rPr>
          <w:rFonts w:ascii="Arial" w:cs="Arial" w:eastAsia="Arial" w:hAnsi="Arial"/>
          <w:sz w:val="12"/>
          <w:szCs w:val="12"/>
          <w:u w:val="single" w:color="auto"/>
          <w:color w:val="auto"/>
        </w:rPr>
        <w:t>/s/ Chad Plotkin</w:t>
      </w:r>
    </w:p>
    <w:p>
      <w:pPr>
        <w:spacing w:after="0" w:line="15"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Name: Chad Plotkin</w:t>
      </w:r>
    </w:p>
    <w:p>
      <w:pPr>
        <w:spacing w:after="0" w:line="6" w:lineRule="exact"/>
        <w:rPr>
          <w:sz w:val="20"/>
          <w:szCs w:val="20"/>
          <w:color w:val="auto"/>
        </w:rPr>
      </w:pPr>
    </w:p>
    <w:p>
      <w:pPr>
        <w:ind w:left="1460"/>
        <w:spacing w:after="0"/>
        <w:rPr>
          <w:sz w:val="20"/>
          <w:szCs w:val="20"/>
          <w:color w:val="auto"/>
        </w:rPr>
      </w:pPr>
      <w:r>
        <w:rPr>
          <w:rFonts w:ascii="Arial" w:cs="Arial" w:eastAsia="Arial" w:hAnsi="Arial"/>
          <w:sz w:val="12"/>
          <w:szCs w:val="12"/>
          <w:color w:val="auto"/>
        </w:rPr>
        <w:t>Title: Senior Vice President, Chief Financial Officer &amp; Treasurer</w:t>
      </w:r>
    </w:p>
    <w:p>
      <w:pPr>
        <w:spacing w:after="0" w:line="141"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ALTA WIND 1-5 HOLDING COMPANY, LLC</w:t>
      </w:r>
    </w:p>
    <w:p>
      <w:pPr>
        <w:spacing w:after="0" w:line="15"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ALTA WIND COMPANY, LLC</w:t>
      </w:r>
    </w:p>
    <w:p>
      <w:pPr>
        <w:spacing w:after="0" w:line="6"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CENTRAL CA FUEL CELL 1, LLC</w:t>
      </w:r>
    </w:p>
    <w:p>
      <w:pPr>
        <w:spacing w:after="0" w:line="6"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NRG SOLAR IGUANA LLC</w:t>
      </w:r>
    </w:p>
    <w:p>
      <w:pPr>
        <w:spacing w:after="0" w:line="6"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NRG SOLAR LAS VEGAS MB 1 LLC</w:t>
      </w:r>
    </w:p>
    <w:p>
      <w:pPr>
        <w:spacing w:after="0" w:line="6"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NRG SOLAR STAR LLC</w:t>
      </w:r>
    </w:p>
    <w:p>
      <w:pPr>
        <w:spacing w:after="0" w:line="6"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NRG SOLAR TABERNACLE LLC</w:t>
      </w:r>
    </w:p>
    <w:p>
      <w:pPr>
        <w:spacing w:after="0" w:line="6"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NRG SOUTH TRENT HOLDINGS LLC</w:t>
      </w:r>
    </w:p>
    <w:p>
      <w:pPr>
        <w:spacing w:after="0" w:line="6"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NRG YIELD RPV HOLDING LLC</w:t>
      </w:r>
    </w:p>
    <w:p>
      <w:pPr>
        <w:spacing w:after="0" w:line="6"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NYLD FUEL CELL HOLDINGS LLC</w:t>
      </w:r>
    </w:p>
    <w:p>
      <w:pPr>
        <w:spacing w:after="0" w:line="6"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PORTFOLIO SOLAR I, LLC</w:t>
      </w:r>
    </w:p>
    <w:p>
      <w:pPr>
        <w:spacing w:after="0" w:line="6"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SOLAR FLAGSTAFF ONE LLC</w:t>
      </w:r>
    </w:p>
    <w:p>
      <w:pPr>
        <w:spacing w:after="0" w:line="6"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SPP ASSET HOLDINGS, LLC</w:t>
      </w:r>
    </w:p>
    <w:p>
      <w:pPr>
        <w:spacing w:after="0" w:line="6"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SPP FUND II HOLDINGS, LLC</w:t>
      </w:r>
    </w:p>
    <w:p>
      <w:pPr>
        <w:spacing w:after="0" w:line="6"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SPP FUND II, LLC</w:t>
      </w:r>
    </w:p>
    <w:p>
      <w:pPr>
        <w:spacing w:after="0" w:line="6"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SPP FUND II-B, LLC</w:t>
      </w:r>
    </w:p>
    <w:p>
      <w:pPr>
        <w:spacing w:after="0" w:line="6"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SPP FUND III, LLC</w:t>
      </w:r>
    </w:p>
    <w:p>
      <w:pPr>
        <w:spacing w:after="0" w:line="6" w:lineRule="exact"/>
        <w:rPr>
          <w:sz w:val="20"/>
          <w:szCs w:val="20"/>
          <w:color w:val="auto"/>
        </w:rPr>
      </w:pPr>
    </w:p>
    <w:p>
      <w:pPr>
        <w:ind w:left="1480"/>
        <w:spacing w:after="0"/>
        <w:rPr>
          <w:sz w:val="20"/>
          <w:szCs w:val="20"/>
          <w:color w:val="auto"/>
        </w:rPr>
      </w:pPr>
      <w:r>
        <w:rPr>
          <w:rFonts w:ascii="Arial" w:cs="Arial" w:eastAsia="Arial" w:hAnsi="Arial"/>
          <w:sz w:val="11"/>
          <w:szCs w:val="11"/>
          <w:color w:val="auto"/>
        </w:rPr>
        <w:t>THERMAL INFRASTRUCTURE DEVELOPMENT HOLDINGS LLC</w:t>
      </w:r>
    </w:p>
    <w:p>
      <w:pPr>
        <w:spacing w:after="0" w:line="18"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UB FUEL CELL, LLC</w:t>
      </w:r>
    </w:p>
    <w:p>
      <w:pPr>
        <w:spacing w:after="0" w:line="285"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 xml:space="preserve">By: </w:t>
      </w:r>
      <w:r>
        <w:rPr>
          <w:rFonts w:ascii="Arial" w:cs="Arial" w:eastAsia="Arial" w:hAnsi="Arial"/>
          <w:sz w:val="12"/>
          <w:szCs w:val="12"/>
          <w:u w:val="single" w:color="auto"/>
          <w:color w:val="auto"/>
        </w:rPr>
        <w:t>/s/ Chad Plotkin</w:t>
      </w:r>
    </w:p>
    <w:p>
      <w:pPr>
        <w:spacing w:after="0" w:line="15"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Name: Chad Plotkin</w:t>
      </w:r>
    </w:p>
    <w:p>
      <w:pPr>
        <w:spacing w:after="0" w:line="6"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Title: Vice President &amp; Treasurer</w:t>
      </w:r>
    </w:p>
    <w:p>
      <w:pPr>
        <w:spacing w:after="0" w:line="6"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DELAWARE TRUST COMPANY</w:t>
      </w:r>
    </w:p>
    <w:p>
      <w:pPr>
        <w:spacing w:after="0" w:line="200" w:lineRule="exact"/>
        <w:rPr>
          <w:sz w:val="20"/>
          <w:szCs w:val="20"/>
          <w:color w:val="auto"/>
        </w:rPr>
      </w:pPr>
    </w:p>
    <w:p>
      <w:pPr>
        <w:spacing w:after="0" w:line="230"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 xml:space="preserve">By: </w:t>
      </w:r>
      <w:r>
        <w:rPr>
          <w:rFonts w:ascii="Arial" w:cs="Arial" w:eastAsia="Arial" w:hAnsi="Arial"/>
          <w:sz w:val="12"/>
          <w:szCs w:val="12"/>
          <w:u w:val="single" w:color="auto"/>
          <w:color w:val="auto"/>
        </w:rPr>
        <w:t>/s/ Thomas Musarra</w:t>
      </w:r>
    </w:p>
    <w:p>
      <w:pPr>
        <w:spacing w:after="0" w:line="15"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9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Page to Third Supplemental Indenture</w:t>
      </w:r>
      <w:r>
        <w:rPr>
          <w:rFonts w:ascii="Arial" w:cs="Arial" w:eastAsia="Arial" w:hAnsi="Arial"/>
          <w:sz w:val="12"/>
          <w:szCs w:val="12"/>
          <w:color w:val="auto"/>
        </w:rPr>
        <w:t>]</w:t>
      </w:r>
    </w:p>
    <w:p>
      <w:pPr>
        <w:sectPr>
          <w:pgSz w:w="11900" w:h="16838" w:orient="portrait"/>
          <w:cols w:equalWidth="0" w:num="1">
            <w:col w:w="9379"/>
          </w:cols>
          <w:pgMar w:left="1080" w:top="464" w:right="1440" w:bottom="1440" w:gutter="0" w:footer="0" w:header="0"/>
          <w:type w:val="continuous"/>
        </w:sectPr>
      </w:pPr>
    </w:p>
    <w:bookmarkStart w:id="62" w:name="page63"/>
    <w:bookmarkEnd w:id="62"/>
    <w:p>
      <w:pPr>
        <w:jc w:val="right"/>
        <w:spacing w:after="0"/>
        <w:rPr>
          <w:sz w:val="20"/>
          <w:szCs w:val="20"/>
          <w:color w:val="auto"/>
        </w:rPr>
      </w:pPr>
      <w:r>
        <w:rPr>
          <w:rFonts w:ascii="Arial" w:cs="Arial" w:eastAsia="Arial" w:hAnsi="Arial"/>
          <w:sz w:val="12"/>
          <w:szCs w:val="12"/>
          <w:b w:val="1"/>
          <w:bCs w:val="1"/>
          <w:color w:val="auto"/>
        </w:rPr>
        <w:t>EXHIBIT 31.1</w:t>
      </w:r>
    </w:p>
    <w:p>
      <w:pPr>
        <w:spacing w:after="0" w:line="11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w:t>
      </w:r>
    </w:p>
    <w:p>
      <w:pPr>
        <w:spacing w:after="0" w:line="118" w:lineRule="exact"/>
        <w:rPr>
          <w:sz w:val="20"/>
          <w:szCs w:val="20"/>
          <w:color w:val="auto"/>
        </w:rPr>
      </w:pPr>
    </w:p>
    <w:p>
      <w:pPr>
        <w:ind w:left="8"/>
        <w:spacing w:after="0"/>
        <w:rPr>
          <w:sz w:val="20"/>
          <w:szCs w:val="20"/>
          <w:color w:val="auto"/>
        </w:rPr>
      </w:pPr>
      <w:r>
        <w:rPr>
          <w:rFonts w:ascii="Arial" w:cs="Arial" w:eastAsia="Arial" w:hAnsi="Arial"/>
          <w:sz w:val="12"/>
          <w:szCs w:val="12"/>
          <w:color w:val="auto"/>
        </w:rPr>
        <w:t>I, Christopher S. Sotos, certify that:</w:t>
      </w:r>
    </w:p>
    <w:p>
      <w:pPr>
        <w:spacing w:after="0" w:line="204" w:lineRule="exact"/>
        <w:rPr>
          <w:sz w:val="20"/>
          <w:szCs w:val="20"/>
          <w:color w:val="auto"/>
        </w:rPr>
      </w:pPr>
    </w:p>
    <w:p>
      <w:pPr>
        <w:ind w:left="428" w:hanging="428"/>
        <w:spacing w:after="0"/>
        <w:tabs>
          <w:tab w:leader="none" w:pos="428" w:val="left"/>
        </w:tabs>
        <w:numPr>
          <w:ilvl w:val="0"/>
          <w:numId w:val="32"/>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NRG Yield, Inc.;</w:t>
      </w:r>
    </w:p>
    <w:p>
      <w:pPr>
        <w:spacing w:after="0" w:line="150"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32"/>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32"/>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Arial" w:cs="Arial" w:eastAsia="Arial" w:hAnsi="Arial"/>
          <w:sz w:val="12"/>
          <w:szCs w:val="12"/>
          <w:color w:val="auto"/>
        </w:rPr>
      </w:pPr>
    </w:p>
    <w:p>
      <w:pPr>
        <w:ind w:left="868" w:hanging="436"/>
        <w:spacing w:after="0" w:line="276" w:lineRule="auto"/>
        <w:tabs>
          <w:tab w:leader="none" w:pos="868" w:val="left"/>
        </w:tabs>
        <w:numPr>
          <w:ilvl w:val="1"/>
          <w:numId w:val="32"/>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4" w:lineRule="exact"/>
        <w:rPr>
          <w:rFonts w:ascii="Arial" w:cs="Arial" w:eastAsia="Arial" w:hAnsi="Arial"/>
          <w:sz w:val="12"/>
          <w:szCs w:val="12"/>
          <w:color w:val="auto"/>
        </w:rPr>
      </w:pPr>
    </w:p>
    <w:p>
      <w:pPr>
        <w:ind w:left="868" w:hanging="436"/>
        <w:spacing w:after="0" w:line="276" w:lineRule="auto"/>
        <w:tabs>
          <w:tab w:leader="none" w:pos="868" w:val="left"/>
        </w:tabs>
        <w:numPr>
          <w:ilvl w:val="1"/>
          <w:numId w:val="32"/>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2"/>
          <w:szCs w:val="12"/>
          <w:color w:val="auto"/>
        </w:rPr>
      </w:pPr>
    </w:p>
    <w:p>
      <w:pPr>
        <w:ind w:left="868" w:hanging="436"/>
        <w:spacing w:after="0" w:line="276" w:lineRule="auto"/>
        <w:tabs>
          <w:tab w:leader="none" w:pos="868" w:val="left"/>
        </w:tabs>
        <w:numPr>
          <w:ilvl w:val="1"/>
          <w:numId w:val="32"/>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2"/>
          <w:szCs w:val="12"/>
          <w:color w:val="auto"/>
        </w:rPr>
      </w:pPr>
    </w:p>
    <w:p>
      <w:pPr>
        <w:ind w:left="868" w:hanging="436"/>
        <w:spacing w:after="0" w:line="276" w:lineRule="auto"/>
        <w:tabs>
          <w:tab w:leader="none" w:pos="868" w:val="left"/>
        </w:tabs>
        <w:numPr>
          <w:ilvl w:val="1"/>
          <w:numId w:val="32"/>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rFonts w:ascii="Arial" w:cs="Arial" w:eastAsia="Arial" w:hAnsi="Arial"/>
          <w:sz w:val="12"/>
          <w:szCs w:val="12"/>
          <w:color w:val="auto"/>
        </w:rPr>
      </w:pPr>
    </w:p>
    <w:p>
      <w:pPr>
        <w:ind w:left="428" w:right="20" w:hanging="428"/>
        <w:spacing w:after="0" w:line="276" w:lineRule="auto"/>
        <w:tabs>
          <w:tab w:leader="none" w:pos="428"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2"/>
          <w:szCs w:val="12"/>
          <w:color w:val="auto"/>
        </w:rPr>
      </w:pPr>
    </w:p>
    <w:p>
      <w:pPr>
        <w:ind w:left="868" w:hanging="436"/>
        <w:spacing w:after="0" w:line="276" w:lineRule="auto"/>
        <w:tabs>
          <w:tab w:leader="none" w:pos="868" w:val="left"/>
        </w:tabs>
        <w:numPr>
          <w:ilvl w:val="1"/>
          <w:numId w:val="32"/>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Arial" w:cs="Arial" w:eastAsia="Arial" w:hAnsi="Arial"/>
          <w:sz w:val="12"/>
          <w:szCs w:val="12"/>
          <w:color w:val="auto"/>
        </w:rPr>
      </w:pPr>
    </w:p>
    <w:p>
      <w:pPr>
        <w:ind w:left="868" w:hanging="436"/>
        <w:spacing w:after="0"/>
        <w:tabs>
          <w:tab w:leader="none" w:pos="868" w:val="left"/>
        </w:tabs>
        <w:numPr>
          <w:ilvl w:val="1"/>
          <w:numId w:val="32"/>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58" w:lineRule="exact"/>
        <w:rPr>
          <w:sz w:val="20"/>
          <w:szCs w:val="20"/>
          <w:color w:val="auto"/>
        </w:rPr>
      </w:pPr>
    </w:p>
    <w:p>
      <w:pPr>
        <w:ind w:left="7088"/>
        <w:spacing w:after="0"/>
        <w:rPr>
          <w:sz w:val="20"/>
          <w:szCs w:val="20"/>
          <w:color w:val="auto"/>
        </w:rPr>
      </w:pPr>
      <w:r>
        <w:rPr>
          <w:rFonts w:ascii="Arial" w:cs="Arial" w:eastAsia="Arial" w:hAnsi="Arial"/>
          <w:sz w:val="12"/>
          <w:szCs w:val="12"/>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20955</wp:posOffset>
            </wp:positionV>
            <wp:extent cx="1961515"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spacing w:after="0" w:line="31" w:lineRule="exact"/>
        <w:rPr>
          <w:sz w:val="20"/>
          <w:szCs w:val="20"/>
          <w:color w:val="auto"/>
        </w:rPr>
      </w:pPr>
    </w:p>
    <w:p>
      <w:pPr>
        <w:ind w:left="7088"/>
        <w:spacing w:after="0"/>
        <w:rPr>
          <w:sz w:val="20"/>
          <w:szCs w:val="20"/>
          <w:color w:val="auto"/>
        </w:rPr>
      </w:pPr>
      <w:r>
        <w:rPr>
          <w:rFonts w:ascii="Arial" w:cs="Arial" w:eastAsia="Arial" w:hAnsi="Arial"/>
          <w:sz w:val="12"/>
          <w:szCs w:val="12"/>
          <w:color w:val="auto"/>
        </w:rPr>
        <w:t>Christopher S. Sotos</w:t>
      </w:r>
    </w:p>
    <w:p>
      <w:pPr>
        <w:spacing w:after="0" w:line="15" w:lineRule="exact"/>
        <w:rPr>
          <w:sz w:val="20"/>
          <w:szCs w:val="20"/>
          <w:color w:val="auto"/>
        </w:rPr>
      </w:pPr>
    </w:p>
    <w:p>
      <w:pPr>
        <w:ind w:left="7088"/>
        <w:spacing w:after="0"/>
        <w:rPr>
          <w:sz w:val="20"/>
          <w:szCs w:val="20"/>
          <w:color w:val="auto"/>
        </w:rPr>
      </w:pPr>
      <w:r>
        <w:rPr>
          <w:rFonts w:ascii="Arial" w:cs="Arial" w:eastAsia="Arial" w:hAnsi="Arial"/>
          <w:sz w:val="12"/>
          <w:szCs w:val="12"/>
          <w:i w:val="1"/>
          <w:iCs w:val="1"/>
          <w:color w:val="auto"/>
        </w:rPr>
        <w:t>Chief Executive Officer</w:t>
      </w:r>
    </w:p>
    <w:p>
      <w:pPr>
        <w:spacing w:after="0" w:line="6" w:lineRule="exact"/>
        <w:rPr>
          <w:sz w:val="20"/>
          <w:szCs w:val="20"/>
          <w:color w:val="auto"/>
        </w:rPr>
      </w:pPr>
    </w:p>
    <w:p>
      <w:pPr>
        <w:ind w:left="7088"/>
        <w:spacing w:after="0"/>
        <w:rPr>
          <w:sz w:val="20"/>
          <w:szCs w:val="20"/>
          <w:color w:val="auto"/>
        </w:rPr>
      </w:pPr>
      <w:r>
        <w:rPr>
          <w:rFonts w:ascii="Arial" w:cs="Arial" w:eastAsia="Arial" w:hAnsi="Arial"/>
          <w:sz w:val="12"/>
          <w:szCs w:val="12"/>
          <w:i w:val="1"/>
          <w:iCs w:val="1"/>
          <w:color w:val="auto"/>
        </w:rPr>
        <w:t>(Principal Executive Officer)</w:t>
      </w:r>
    </w:p>
    <w:p>
      <w:pPr>
        <w:spacing w:after="0" w:line="69" w:lineRule="exact"/>
        <w:rPr>
          <w:sz w:val="20"/>
          <w:szCs w:val="20"/>
          <w:color w:val="auto"/>
        </w:rPr>
      </w:pPr>
    </w:p>
    <w:p>
      <w:pPr>
        <w:ind w:left="8"/>
        <w:spacing w:after="0"/>
        <w:rPr>
          <w:sz w:val="20"/>
          <w:szCs w:val="20"/>
          <w:color w:val="auto"/>
        </w:rPr>
      </w:pPr>
      <w:r>
        <w:rPr>
          <w:rFonts w:ascii="Arial" w:cs="Arial" w:eastAsia="Arial" w:hAnsi="Arial"/>
          <w:sz w:val="12"/>
          <w:szCs w:val="12"/>
          <w:color w:val="auto"/>
        </w:rPr>
        <w:t>Date: August 2, 2018</w:t>
      </w:r>
    </w:p>
    <w:p>
      <w:pPr>
        <w:sectPr>
          <w:pgSz w:w="11900" w:h="16838" w:orient="portrait"/>
          <w:cols w:equalWidth="0" w:num="1">
            <w:col w:w="11488"/>
          </w:cols>
          <w:pgMar w:left="212" w:top="487" w:right="199" w:bottom="1440" w:gutter="0" w:footer="0" w:header="0"/>
        </w:sectPr>
      </w:pPr>
    </w:p>
    <w:bookmarkStart w:id="63" w:name="page64"/>
    <w:bookmarkEnd w:id="63"/>
    <w:p>
      <w:pPr>
        <w:jc w:val="right"/>
        <w:spacing w:after="0"/>
        <w:rPr>
          <w:sz w:val="20"/>
          <w:szCs w:val="20"/>
          <w:color w:val="auto"/>
        </w:rPr>
      </w:pPr>
      <w:r>
        <w:rPr>
          <w:rFonts w:ascii="Arial" w:cs="Arial" w:eastAsia="Arial" w:hAnsi="Arial"/>
          <w:sz w:val="12"/>
          <w:szCs w:val="12"/>
          <w:b w:val="1"/>
          <w:bCs w:val="1"/>
          <w:color w:val="auto"/>
        </w:rPr>
        <w:t>EXHIBIT 31.2</w:t>
      </w:r>
    </w:p>
    <w:p>
      <w:pPr>
        <w:spacing w:after="0" w:line="11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w:t>
      </w:r>
    </w:p>
    <w:p>
      <w:pPr>
        <w:spacing w:after="0" w:line="118" w:lineRule="exact"/>
        <w:rPr>
          <w:sz w:val="20"/>
          <w:szCs w:val="20"/>
          <w:color w:val="auto"/>
        </w:rPr>
      </w:pPr>
    </w:p>
    <w:p>
      <w:pPr>
        <w:ind w:left="8"/>
        <w:spacing w:after="0"/>
        <w:rPr>
          <w:sz w:val="20"/>
          <w:szCs w:val="20"/>
          <w:color w:val="auto"/>
        </w:rPr>
      </w:pPr>
      <w:r>
        <w:rPr>
          <w:rFonts w:ascii="Arial" w:cs="Arial" w:eastAsia="Arial" w:hAnsi="Arial"/>
          <w:sz w:val="12"/>
          <w:szCs w:val="12"/>
          <w:color w:val="auto"/>
        </w:rPr>
        <w:t>I, Chad Plotkin, certify that:</w:t>
      </w:r>
    </w:p>
    <w:p>
      <w:pPr>
        <w:spacing w:after="0" w:line="204" w:lineRule="exact"/>
        <w:rPr>
          <w:sz w:val="20"/>
          <w:szCs w:val="20"/>
          <w:color w:val="auto"/>
        </w:rPr>
      </w:pPr>
    </w:p>
    <w:p>
      <w:pPr>
        <w:ind w:left="428" w:hanging="428"/>
        <w:spacing w:after="0"/>
        <w:tabs>
          <w:tab w:leader="none" w:pos="428" w:val="left"/>
        </w:tabs>
        <w:numPr>
          <w:ilvl w:val="0"/>
          <w:numId w:val="33"/>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NRG Yield, Inc.;</w:t>
      </w:r>
    </w:p>
    <w:p>
      <w:pPr>
        <w:spacing w:after="0" w:line="150"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33"/>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33"/>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Arial" w:cs="Arial" w:eastAsia="Arial" w:hAnsi="Arial"/>
          <w:sz w:val="12"/>
          <w:szCs w:val="12"/>
          <w:color w:val="auto"/>
        </w:rPr>
      </w:pPr>
    </w:p>
    <w:p>
      <w:pPr>
        <w:ind w:left="868" w:hanging="436"/>
        <w:spacing w:after="0" w:line="276" w:lineRule="auto"/>
        <w:tabs>
          <w:tab w:leader="none" w:pos="868" w:val="left"/>
        </w:tabs>
        <w:numPr>
          <w:ilvl w:val="1"/>
          <w:numId w:val="33"/>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4" w:lineRule="exact"/>
        <w:rPr>
          <w:rFonts w:ascii="Arial" w:cs="Arial" w:eastAsia="Arial" w:hAnsi="Arial"/>
          <w:sz w:val="12"/>
          <w:szCs w:val="12"/>
          <w:color w:val="auto"/>
        </w:rPr>
      </w:pPr>
    </w:p>
    <w:p>
      <w:pPr>
        <w:ind w:left="868" w:hanging="436"/>
        <w:spacing w:after="0" w:line="276" w:lineRule="auto"/>
        <w:tabs>
          <w:tab w:leader="none" w:pos="868" w:val="left"/>
        </w:tabs>
        <w:numPr>
          <w:ilvl w:val="1"/>
          <w:numId w:val="33"/>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2"/>
          <w:szCs w:val="12"/>
          <w:color w:val="auto"/>
        </w:rPr>
      </w:pPr>
    </w:p>
    <w:p>
      <w:pPr>
        <w:ind w:left="868" w:hanging="436"/>
        <w:spacing w:after="0" w:line="276" w:lineRule="auto"/>
        <w:tabs>
          <w:tab w:leader="none" w:pos="868" w:val="left"/>
        </w:tabs>
        <w:numPr>
          <w:ilvl w:val="1"/>
          <w:numId w:val="33"/>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2"/>
          <w:szCs w:val="12"/>
          <w:color w:val="auto"/>
        </w:rPr>
      </w:pPr>
    </w:p>
    <w:p>
      <w:pPr>
        <w:ind w:left="868" w:hanging="436"/>
        <w:spacing w:after="0" w:line="276" w:lineRule="auto"/>
        <w:tabs>
          <w:tab w:leader="none" w:pos="868" w:val="left"/>
        </w:tabs>
        <w:numPr>
          <w:ilvl w:val="1"/>
          <w:numId w:val="33"/>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rFonts w:ascii="Arial" w:cs="Arial" w:eastAsia="Arial" w:hAnsi="Arial"/>
          <w:sz w:val="12"/>
          <w:szCs w:val="12"/>
          <w:color w:val="auto"/>
        </w:rPr>
      </w:pPr>
    </w:p>
    <w:p>
      <w:pPr>
        <w:ind w:left="428" w:right="20" w:hanging="428"/>
        <w:spacing w:after="0" w:line="276" w:lineRule="auto"/>
        <w:tabs>
          <w:tab w:leader="none" w:pos="428"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2"/>
          <w:szCs w:val="12"/>
          <w:color w:val="auto"/>
        </w:rPr>
      </w:pPr>
    </w:p>
    <w:p>
      <w:pPr>
        <w:ind w:left="868" w:hanging="436"/>
        <w:spacing w:after="0" w:line="276" w:lineRule="auto"/>
        <w:tabs>
          <w:tab w:leader="none" w:pos="868" w:val="left"/>
        </w:tabs>
        <w:numPr>
          <w:ilvl w:val="1"/>
          <w:numId w:val="33"/>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Arial" w:cs="Arial" w:eastAsia="Arial" w:hAnsi="Arial"/>
          <w:sz w:val="12"/>
          <w:szCs w:val="12"/>
          <w:color w:val="auto"/>
        </w:rPr>
      </w:pPr>
    </w:p>
    <w:p>
      <w:pPr>
        <w:ind w:left="868" w:hanging="436"/>
        <w:spacing w:after="0"/>
        <w:tabs>
          <w:tab w:leader="none" w:pos="868" w:val="left"/>
        </w:tabs>
        <w:numPr>
          <w:ilvl w:val="1"/>
          <w:numId w:val="33"/>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58" w:lineRule="exact"/>
        <w:rPr>
          <w:sz w:val="20"/>
          <w:szCs w:val="20"/>
          <w:color w:val="auto"/>
        </w:rPr>
      </w:pPr>
    </w:p>
    <w:p>
      <w:pPr>
        <w:ind w:left="9088"/>
        <w:spacing w:after="0"/>
        <w:rPr>
          <w:sz w:val="20"/>
          <w:szCs w:val="20"/>
          <w:color w:val="auto"/>
        </w:rPr>
      </w:pPr>
      <w:r>
        <w:rPr>
          <w:rFonts w:ascii="Arial" w:cs="Arial" w:eastAsia="Arial" w:hAnsi="Arial"/>
          <w:sz w:val="12"/>
          <w:szCs w:val="12"/>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5759450</wp:posOffset>
            </wp:positionH>
            <wp:positionV relativeFrom="paragraph">
              <wp:posOffset>20955</wp:posOffset>
            </wp:positionV>
            <wp:extent cx="108077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1080770" cy="5715"/>
                    </a:xfrm>
                    <a:prstGeom prst="rect">
                      <a:avLst/>
                    </a:prstGeom>
                    <a:noFill/>
                  </pic:spPr>
                </pic:pic>
              </a:graphicData>
            </a:graphic>
          </wp:anchor>
        </w:drawing>
      </w:r>
    </w:p>
    <w:p>
      <w:pPr>
        <w:spacing w:after="0" w:line="31" w:lineRule="exact"/>
        <w:rPr>
          <w:sz w:val="20"/>
          <w:szCs w:val="20"/>
          <w:color w:val="auto"/>
        </w:rPr>
      </w:pPr>
    </w:p>
    <w:p>
      <w:pPr>
        <w:ind w:left="9088"/>
        <w:spacing w:after="0"/>
        <w:rPr>
          <w:sz w:val="20"/>
          <w:szCs w:val="20"/>
          <w:color w:val="auto"/>
        </w:rPr>
      </w:pPr>
      <w:r>
        <w:rPr>
          <w:rFonts w:ascii="Arial" w:cs="Arial" w:eastAsia="Arial" w:hAnsi="Arial"/>
          <w:sz w:val="12"/>
          <w:szCs w:val="12"/>
          <w:color w:val="auto"/>
        </w:rPr>
        <w:t>Chad Plotkin</w:t>
      </w:r>
    </w:p>
    <w:p>
      <w:pPr>
        <w:spacing w:after="0" w:line="15" w:lineRule="exact"/>
        <w:rPr>
          <w:sz w:val="20"/>
          <w:szCs w:val="20"/>
          <w:color w:val="auto"/>
        </w:rPr>
      </w:pPr>
    </w:p>
    <w:p>
      <w:pPr>
        <w:ind w:left="9088"/>
        <w:spacing w:after="0"/>
        <w:rPr>
          <w:sz w:val="20"/>
          <w:szCs w:val="20"/>
          <w:color w:val="auto"/>
        </w:rPr>
      </w:pPr>
      <w:r>
        <w:rPr>
          <w:rFonts w:ascii="Arial" w:cs="Arial" w:eastAsia="Arial" w:hAnsi="Arial"/>
          <w:sz w:val="12"/>
          <w:szCs w:val="12"/>
          <w:i w:val="1"/>
          <w:iCs w:val="1"/>
          <w:color w:val="auto"/>
        </w:rPr>
        <w:t>Chief Financial Officer</w:t>
      </w:r>
    </w:p>
    <w:p>
      <w:pPr>
        <w:spacing w:after="0" w:line="6" w:lineRule="exact"/>
        <w:rPr>
          <w:sz w:val="20"/>
          <w:szCs w:val="20"/>
          <w:color w:val="auto"/>
        </w:rPr>
      </w:pPr>
    </w:p>
    <w:p>
      <w:pPr>
        <w:ind w:left="9088"/>
        <w:spacing w:after="0"/>
        <w:rPr>
          <w:sz w:val="20"/>
          <w:szCs w:val="20"/>
          <w:color w:val="auto"/>
        </w:rPr>
      </w:pPr>
      <w:r>
        <w:rPr>
          <w:rFonts w:ascii="Arial" w:cs="Arial" w:eastAsia="Arial" w:hAnsi="Arial"/>
          <w:sz w:val="12"/>
          <w:szCs w:val="12"/>
          <w:i w:val="1"/>
          <w:iCs w:val="1"/>
          <w:color w:val="auto"/>
        </w:rPr>
        <w:t>(Principal Financial Officer)</w:t>
      </w:r>
    </w:p>
    <w:p>
      <w:pPr>
        <w:spacing w:after="0" w:line="69" w:lineRule="exact"/>
        <w:rPr>
          <w:sz w:val="20"/>
          <w:szCs w:val="20"/>
          <w:color w:val="auto"/>
        </w:rPr>
      </w:pPr>
    </w:p>
    <w:p>
      <w:pPr>
        <w:ind w:left="8"/>
        <w:spacing w:after="0"/>
        <w:rPr>
          <w:sz w:val="20"/>
          <w:szCs w:val="20"/>
          <w:color w:val="auto"/>
        </w:rPr>
      </w:pPr>
      <w:r>
        <w:rPr>
          <w:rFonts w:ascii="Arial" w:cs="Arial" w:eastAsia="Arial" w:hAnsi="Arial"/>
          <w:sz w:val="12"/>
          <w:szCs w:val="12"/>
          <w:color w:val="auto"/>
        </w:rPr>
        <w:t>Date: August 2, 2018</w:t>
      </w:r>
    </w:p>
    <w:p>
      <w:pPr>
        <w:sectPr>
          <w:pgSz w:w="11900" w:h="16838" w:orient="portrait"/>
          <w:cols w:equalWidth="0" w:num="1">
            <w:col w:w="11488"/>
          </w:cols>
          <w:pgMar w:left="212" w:top="487" w:right="199" w:bottom="1440" w:gutter="0" w:footer="0" w:header="0"/>
        </w:sectPr>
      </w:pPr>
    </w:p>
    <w:bookmarkStart w:id="64" w:name="page65"/>
    <w:bookmarkEnd w:id="64"/>
    <w:p>
      <w:pPr>
        <w:jc w:val="right"/>
        <w:spacing w:after="0"/>
        <w:rPr>
          <w:sz w:val="20"/>
          <w:szCs w:val="20"/>
          <w:color w:val="auto"/>
        </w:rPr>
      </w:pPr>
      <w:r>
        <w:rPr>
          <w:rFonts w:ascii="Arial" w:cs="Arial" w:eastAsia="Arial" w:hAnsi="Arial"/>
          <w:sz w:val="12"/>
          <w:szCs w:val="12"/>
          <w:b w:val="1"/>
          <w:bCs w:val="1"/>
          <w:color w:val="auto"/>
        </w:rPr>
        <w:t>EXHIBIT 31.3</w:t>
      </w:r>
    </w:p>
    <w:p>
      <w:pPr>
        <w:spacing w:after="0" w:line="6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w:t>
      </w:r>
    </w:p>
    <w:p>
      <w:pPr>
        <w:spacing w:after="0" w:line="64" w:lineRule="exact"/>
        <w:rPr>
          <w:sz w:val="20"/>
          <w:szCs w:val="20"/>
          <w:color w:val="auto"/>
        </w:rPr>
      </w:pPr>
    </w:p>
    <w:p>
      <w:pPr>
        <w:ind w:left="8"/>
        <w:spacing w:after="0"/>
        <w:rPr>
          <w:sz w:val="20"/>
          <w:szCs w:val="20"/>
          <w:color w:val="auto"/>
        </w:rPr>
      </w:pPr>
      <w:r>
        <w:rPr>
          <w:rFonts w:ascii="Arial" w:cs="Arial" w:eastAsia="Arial" w:hAnsi="Arial"/>
          <w:sz w:val="12"/>
          <w:szCs w:val="12"/>
          <w:color w:val="auto"/>
        </w:rPr>
        <w:t>I, David Callen, certify that:</w:t>
      </w:r>
    </w:p>
    <w:p>
      <w:pPr>
        <w:spacing w:after="0" w:line="204" w:lineRule="exact"/>
        <w:rPr>
          <w:sz w:val="20"/>
          <w:szCs w:val="20"/>
          <w:color w:val="auto"/>
        </w:rPr>
      </w:pPr>
    </w:p>
    <w:p>
      <w:pPr>
        <w:ind w:left="428" w:hanging="428"/>
        <w:spacing w:after="0"/>
        <w:tabs>
          <w:tab w:leader="none" w:pos="428" w:val="left"/>
        </w:tabs>
        <w:numPr>
          <w:ilvl w:val="0"/>
          <w:numId w:val="34"/>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NRG Yield, Inc.;</w:t>
      </w:r>
    </w:p>
    <w:p>
      <w:pPr>
        <w:spacing w:after="0" w:line="150"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34"/>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34"/>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Arial" w:cs="Arial" w:eastAsia="Arial" w:hAnsi="Arial"/>
          <w:sz w:val="12"/>
          <w:szCs w:val="12"/>
          <w:color w:val="auto"/>
        </w:rPr>
      </w:pPr>
    </w:p>
    <w:p>
      <w:pPr>
        <w:ind w:left="868" w:hanging="436"/>
        <w:spacing w:after="0" w:line="276" w:lineRule="auto"/>
        <w:tabs>
          <w:tab w:leader="none" w:pos="868" w:val="left"/>
        </w:tabs>
        <w:numPr>
          <w:ilvl w:val="1"/>
          <w:numId w:val="34"/>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4" w:lineRule="exact"/>
        <w:rPr>
          <w:rFonts w:ascii="Arial" w:cs="Arial" w:eastAsia="Arial" w:hAnsi="Arial"/>
          <w:sz w:val="12"/>
          <w:szCs w:val="12"/>
          <w:color w:val="auto"/>
        </w:rPr>
      </w:pPr>
    </w:p>
    <w:p>
      <w:pPr>
        <w:ind w:left="868" w:hanging="436"/>
        <w:spacing w:after="0" w:line="276" w:lineRule="auto"/>
        <w:tabs>
          <w:tab w:leader="none" w:pos="868" w:val="left"/>
        </w:tabs>
        <w:numPr>
          <w:ilvl w:val="1"/>
          <w:numId w:val="34"/>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2"/>
          <w:szCs w:val="12"/>
          <w:color w:val="auto"/>
        </w:rPr>
      </w:pPr>
    </w:p>
    <w:p>
      <w:pPr>
        <w:ind w:left="868" w:hanging="436"/>
        <w:spacing w:after="0" w:line="276" w:lineRule="auto"/>
        <w:tabs>
          <w:tab w:leader="none" w:pos="868" w:val="left"/>
        </w:tabs>
        <w:numPr>
          <w:ilvl w:val="1"/>
          <w:numId w:val="34"/>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2"/>
          <w:szCs w:val="12"/>
          <w:color w:val="auto"/>
        </w:rPr>
      </w:pPr>
    </w:p>
    <w:p>
      <w:pPr>
        <w:ind w:left="868" w:hanging="436"/>
        <w:spacing w:after="0" w:line="276" w:lineRule="auto"/>
        <w:tabs>
          <w:tab w:leader="none" w:pos="868" w:val="left"/>
        </w:tabs>
        <w:numPr>
          <w:ilvl w:val="1"/>
          <w:numId w:val="34"/>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rFonts w:ascii="Arial" w:cs="Arial" w:eastAsia="Arial" w:hAnsi="Arial"/>
          <w:sz w:val="12"/>
          <w:szCs w:val="12"/>
          <w:color w:val="auto"/>
        </w:rPr>
      </w:pPr>
    </w:p>
    <w:p>
      <w:pPr>
        <w:ind w:left="428" w:right="20" w:hanging="428"/>
        <w:spacing w:after="0" w:line="276" w:lineRule="auto"/>
        <w:tabs>
          <w:tab w:leader="none" w:pos="428"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2"/>
          <w:szCs w:val="12"/>
          <w:color w:val="auto"/>
        </w:rPr>
      </w:pPr>
    </w:p>
    <w:p>
      <w:pPr>
        <w:ind w:left="868" w:hanging="436"/>
        <w:spacing w:after="0" w:line="276" w:lineRule="auto"/>
        <w:tabs>
          <w:tab w:leader="none" w:pos="868" w:val="left"/>
        </w:tabs>
        <w:numPr>
          <w:ilvl w:val="1"/>
          <w:numId w:val="34"/>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Arial" w:cs="Arial" w:eastAsia="Arial" w:hAnsi="Arial"/>
          <w:sz w:val="12"/>
          <w:szCs w:val="12"/>
          <w:color w:val="auto"/>
        </w:rPr>
      </w:pPr>
    </w:p>
    <w:p>
      <w:pPr>
        <w:ind w:left="868" w:hanging="436"/>
        <w:spacing w:after="0"/>
        <w:tabs>
          <w:tab w:leader="none" w:pos="868" w:val="left"/>
        </w:tabs>
        <w:numPr>
          <w:ilvl w:val="1"/>
          <w:numId w:val="34"/>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58" w:lineRule="exact"/>
        <w:rPr>
          <w:sz w:val="20"/>
          <w:szCs w:val="20"/>
          <w:color w:val="auto"/>
        </w:rPr>
      </w:pPr>
    </w:p>
    <w:p>
      <w:pPr>
        <w:ind w:left="7448"/>
        <w:spacing w:after="0"/>
        <w:rPr>
          <w:sz w:val="20"/>
          <w:szCs w:val="20"/>
          <w:color w:val="auto"/>
        </w:rPr>
      </w:pPr>
      <w:r>
        <w:rPr>
          <w:rFonts w:ascii="Arial" w:cs="Arial" w:eastAsia="Arial" w:hAnsi="Arial"/>
          <w:sz w:val="12"/>
          <w:szCs w:val="12"/>
          <w:color w:val="auto"/>
        </w:rPr>
        <w:t>/s/ DAVID CALLEN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4718685</wp:posOffset>
            </wp:positionH>
            <wp:positionV relativeFrom="paragraph">
              <wp:posOffset>20955</wp:posOffset>
            </wp:positionV>
            <wp:extent cx="185293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1852930" cy="5715"/>
                    </a:xfrm>
                    <a:prstGeom prst="rect">
                      <a:avLst/>
                    </a:prstGeom>
                    <a:noFill/>
                  </pic:spPr>
                </pic:pic>
              </a:graphicData>
            </a:graphic>
          </wp:anchor>
        </w:drawing>
      </w:r>
    </w:p>
    <w:p>
      <w:pPr>
        <w:spacing w:after="0" w:line="31" w:lineRule="exact"/>
        <w:rPr>
          <w:sz w:val="20"/>
          <w:szCs w:val="20"/>
          <w:color w:val="auto"/>
        </w:rPr>
      </w:pPr>
    </w:p>
    <w:p>
      <w:pPr>
        <w:ind w:left="7448"/>
        <w:spacing w:after="0"/>
        <w:rPr>
          <w:sz w:val="20"/>
          <w:szCs w:val="20"/>
          <w:color w:val="auto"/>
        </w:rPr>
      </w:pPr>
      <w:r>
        <w:rPr>
          <w:rFonts w:ascii="Arial" w:cs="Arial" w:eastAsia="Arial" w:hAnsi="Arial"/>
          <w:sz w:val="12"/>
          <w:szCs w:val="12"/>
          <w:color w:val="auto"/>
        </w:rPr>
        <w:t>David Callen</w:t>
      </w:r>
    </w:p>
    <w:p>
      <w:pPr>
        <w:spacing w:after="0" w:line="15" w:lineRule="exact"/>
        <w:rPr>
          <w:sz w:val="20"/>
          <w:szCs w:val="20"/>
          <w:color w:val="auto"/>
        </w:rPr>
      </w:pPr>
    </w:p>
    <w:p>
      <w:pPr>
        <w:ind w:left="7448"/>
        <w:spacing w:after="0"/>
        <w:rPr>
          <w:sz w:val="20"/>
          <w:szCs w:val="20"/>
          <w:color w:val="auto"/>
        </w:rPr>
      </w:pPr>
      <w:r>
        <w:rPr>
          <w:rFonts w:ascii="Arial" w:cs="Arial" w:eastAsia="Arial" w:hAnsi="Arial"/>
          <w:sz w:val="12"/>
          <w:szCs w:val="12"/>
          <w:i w:val="1"/>
          <w:iCs w:val="1"/>
          <w:color w:val="auto"/>
        </w:rPr>
        <w:t>Chief Accounting Officer</w:t>
      </w:r>
    </w:p>
    <w:p>
      <w:pPr>
        <w:spacing w:after="0" w:line="6" w:lineRule="exact"/>
        <w:rPr>
          <w:sz w:val="20"/>
          <w:szCs w:val="20"/>
          <w:color w:val="auto"/>
        </w:rPr>
      </w:pPr>
    </w:p>
    <w:p>
      <w:pPr>
        <w:ind w:left="7448"/>
        <w:spacing w:after="0"/>
        <w:rPr>
          <w:sz w:val="20"/>
          <w:szCs w:val="20"/>
          <w:color w:val="auto"/>
        </w:rPr>
      </w:pPr>
      <w:r>
        <w:rPr>
          <w:rFonts w:ascii="Arial" w:cs="Arial" w:eastAsia="Arial" w:hAnsi="Arial"/>
          <w:sz w:val="12"/>
          <w:szCs w:val="12"/>
          <w:i w:val="1"/>
          <w:iCs w:val="1"/>
          <w:color w:val="auto"/>
        </w:rPr>
        <w:t>(Principal Accounting Officer)</w:t>
      </w:r>
    </w:p>
    <w:p>
      <w:pPr>
        <w:spacing w:after="0" w:line="69" w:lineRule="exact"/>
        <w:rPr>
          <w:sz w:val="20"/>
          <w:szCs w:val="20"/>
          <w:color w:val="auto"/>
        </w:rPr>
      </w:pPr>
    </w:p>
    <w:p>
      <w:pPr>
        <w:ind w:left="8"/>
        <w:spacing w:after="0"/>
        <w:rPr>
          <w:sz w:val="20"/>
          <w:szCs w:val="20"/>
          <w:color w:val="auto"/>
        </w:rPr>
      </w:pPr>
      <w:r>
        <w:rPr>
          <w:rFonts w:ascii="Arial" w:cs="Arial" w:eastAsia="Arial" w:hAnsi="Arial"/>
          <w:sz w:val="12"/>
          <w:szCs w:val="12"/>
          <w:color w:val="auto"/>
        </w:rPr>
        <w:t>Date: August 2, 2018</w:t>
      </w:r>
    </w:p>
    <w:p>
      <w:pPr>
        <w:sectPr>
          <w:pgSz w:w="11900" w:h="16838" w:orient="portrait"/>
          <w:cols w:equalWidth="0" w:num="1">
            <w:col w:w="11488"/>
          </w:cols>
          <w:pgMar w:left="212" w:top="433" w:right="199" w:bottom="1440" w:gutter="0" w:footer="0" w:header="0"/>
        </w:sectPr>
      </w:pPr>
    </w:p>
    <w:bookmarkStart w:id="65" w:name="page66"/>
    <w:bookmarkEnd w:id="65"/>
    <w:p>
      <w:pPr>
        <w:jc w:val="right"/>
        <w:spacing w:after="0"/>
        <w:rPr>
          <w:sz w:val="20"/>
          <w:szCs w:val="20"/>
          <w:color w:val="auto"/>
        </w:rPr>
      </w:pPr>
      <w:r>
        <w:rPr>
          <w:rFonts w:ascii="Arial" w:cs="Arial" w:eastAsia="Arial" w:hAnsi="Arial"/>
          <w:sz w:val="12"/>
          <w:szCs w:val="12"/>
          <w:b w:val="1"/>
          <w:bCs w:val="1"/>
          <w:color w:val="auto"/>
        </w:rPr>
        <w:t>EXHIBIT 32</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41"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In connection with the Quarterly Report of NRG Yield, Inc. on Form 10-Q for the quarter ended June 30, 2018, as filed with the Securities and Exchange Commission on the date hereof (the “Form 10-Q”), each of the undersigned officers of the Company certifies, pursuant to 18 U.S.C. Section 1350, as adopted pursuant to Section 906 of the Sarbanes-Oxley Act of 2002, that, to such officer's knowledge:</w:t>
      </w:r>
    </w:p>
    <w:p>
      <w:pPr>
        <w:spacing w:after="0" w:line="7" w:lineRule="exact"/>
        <w:rPr>
          <w:sz w:val="20"/>
          <w:szCs w:val="20"/>
          <w:color w:val="auto"/>
        </w:rPr>
      </w:pPr>
    </w:p>
    <w:p>
      <w:pPr>
        <w:ind w:left="420" w:hanging="212"/>
        <w:spacing w:after="0"/>
        <w:tabs>
          <w:tab w:leader="none" w:pos="4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Form 10-Q fully complies with the requirements of Section 13(a) or 15(d) of the Securities Exchange Act of 1934; and</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35"/>
        </w:numPr>
        <w:rPr>
          <w:rFonts w:ascii="Arial" w:cs="Arial" w:eastAsia="Arial" w:hAnsi="Arial"/>
          <w:sz w:val="11"/>
          <w:szCs w:val="11"/>
          <w:color w:val="auto"/>
        </w:rPr>
      </w:pPr>
      <w:r>
        <w:rPr>
          <w:rFonts w:ascii="Arial" w:cs="Arial" w:eastAsia="Arial" w:hAnsi="Arial"/>
          <w:sz w:val="11"/>
          <w:szCs w:val="11"/>
          <w:color w:val="auto"/>
        </w:rPr>
        <w:t>The information contained in the Form 10-Q fairly presents, in all material respects, the financial condition and results of operations of the Company as of the dates and for the periods expressed in the Form 10-Q.</w:t>
      </w:r>
    </w:p>
    <w:p>
      <w:pPr>
        <w:spacing w:after="0" w:line="234" w:lineRule="exact"/>
        <w:rPr>
          <w:sz w:val="20"/>
          <w:szCs w:val="20"/>
          <w:color w:val="auto"/>
        </w:rPr>
      </w:pPr>
    </w:p>
    <w:p>
      <w:pPr>
        <w:spacing w:after="0"/>
        <w:rPr>
          <w:sz w:val="20"/>
          <w:szCs w:val="20"/>
          <w:color w:val="auto"/>
        </w:rPr>
      </w:pPr>
      <w:r>
        <w:rPr>
          <w:rFonts w:ascii="Arial" w:cs="Arial" w:eastAsia="Arial" w:hAnsi="Arial"/>
          <w:sz w:val="12"/>
          <w:szCs w:val="12"/>
          <w:color w:val="auto"/>
        </w:rPr>
        <w:t>Date: August 2, 2018</w:t>
      </w:r>
    </w:p>
    <w:p>
      <w:pPr>
        <w:spacing w:after="0" w:line="294" w:lineRule="exact"/>
        <w:rPr>
          <w:sz w:val="20"/>
          <w:szCs w:val="20"/>
          <w:color w:val="auto"/>
        </w:rPr>
      </w:pPr>
    </w:p>
    <w:p>
      <w:pPr>
        <w:ind w:left="6000"/>
        <w:spacing w:after="0"/>
        <w:rPr>
          <w:sz w:val="20"/>
          <w:szCs w:val="20"/>
          <w:color w:val="auto"/>
        </w:rPr>
      </w:pPr>
      <w:r>
        <w:rPr>
          <w:rFonts w:ascii="Arial" w:cs="Arial" w:eastAsia="Arial" w:hAnsi="Arial"/>
          <w:sz w:val="12"/>
          <w:szCs w:val="12"/>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3792855</wp:posOffset>
            </wp:positionH>
            <wp:positionV relativeFrom="paragraph">
              <wp:posOffset>20955</wp:posOffset>
            </wp:positionV>
            <wp:extent cx="247650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2476500" cy="5715"/>
                    </a:xfrm>
                    <a:prstGeom prst="rect">
                      <a:avLst/>
                    </a:prstGeom>
                    <a:noFill/>
                  </pic:spPr>
                </pic:pic>
              </a:graphicData>
            </a:graphic>
          </wp:anchor>
        </w:drawing>
      </w:r>
    </w:p>
    <w:p>
      <w:pPr>
        <w:spacing w:after="0" w:line="31" w:lineRule="exact"/>
        <w:rPr>
          <w:sz w:val="20"/>
          <w:szCs w:val="20"/>
          <w:color w:val="auto"/>
        </w:rPr>
      </w:pPr>
    </w:p>
    <w:p>
      <w:pPr>
        <w:ind w:left="6000"/>
        <w:spacing w:after="0"/>
        <w:rPr>
          <w:sz w:val="20"/>
          <w:szCs w:val="20"/>
          <w:color w:val="auto"/>
        </w:rPr>
      </w:pPr>
      <w:r>
        <w:rPr>
          <w:rFonts w:ascii="Arial" w:cs="Arial" w:eastAsia="Arial" w:hAnsi="Arial"/>
          <w:sz w:val="12"/>
          <w:szCs w:val="12"/>
          <w:color w:val="auto"/>
        </w:rPr>
        <w:t>Christopher S. Sotos</w:t>
      </w:r>
    </w:p>
    <w:p>
      <w:pPr>
        <w:spacing w:after="0" w:line="42" w:lineRule="exact"/>
        <w:rPr>
          <w:sz w:val="20"/>
          <w:szCs w:val="20"/>
          <w:color w:val="auto"/>
        </w:rPr>
      </w:pPr>
    </w:p>
    <w:p>
      <w:pPr>
        <w:ind w:left="6000"/>
        <w:spacing w:after="0"/>
        <w:rPr>
          <w:sz w:val="20"/>
          <w:szCs w:val="20"/>
          <w:color w:val="auto"/>
        </w:rPr>
      </w:pPr>
      <w:r>
        <w:rPr>
          <w:rFonts w:ascii="Arial" w:cs="Arial" w:eastAsia="Arial" w:hAnsi="Arial"/>
          <w:sz w:val="12"/>
          <w:szCs w:val="12"/>
          <w:i w:val="1"/>
          <w:iCs w:val="1"/>
          <w:color w:val="auto"/>
        </w:rPr>
        <w:t>Chief Executive Officer</w:t>
      </w:r>
    </w:p>
    <w:p>
      <w:pPr>
        <w:spacing w:after="0" w:line="15" w:lineRule="exact"/>
        <w:rPr>
          <w:sz w:val="20"/>
          <w:szCs w:val="20"/>
          <w:color w:val="auto"/>
        </w:rPr>
      </w:pPr>
    </w:p>
    <w:p>
      <w:pPr>
        <w:ind w:left="6000"/>
        <w:spacing w:after="0"/>
        <w:rPr>
          <w:sz w:val="20"/>
          <w:szCs w:val="20"/>
          <w:color w:val="auto"/>
        </w:rPr>
      </w:pPr>
      <w:r>
        <w:rPr>
          <w:rFonts w:ascii="Arial" w:cs="Arial" w:eastAsia="Arial" w:hAnsi="Arial"/>
          <w:sz w:val="12"/>
          <w:szCs w:val="12"/>
          <w:i w:val="1"/>
          <w:iCs w:val="1"/>
          <w:color w:val="auto"/>
        </w:rPr>
        <w:t>(Principal Executive Officer)</w:t>
      </w:r>
    </w:p>
    <w:p>
      <w:pPr>
        <w:spacing w:after="0" w:line="394" w:lineRule="exact"/>
        <w:rPr>
          <w:sz w:val="20"/>
          <w:szCs w:val="20"/>
          <w:color w:val="auto"/>
        </w:rPr>
      </w:pPr>
    </w:p>
    <w:p>
      <w:pPr>
        <w:ind w:left="6000"/>
        <w:spacing w:after="0"/>
        <w:rPr>
          <w:sz w:val="20"/>
          <w:szCs w:val="20"/>
          <w:color w:val="auto"/>
        </w:rPr>
      </w:pPr>
      <w:r>
        <w:rPr>
          <w:rFonts w:ascii="Arial" w:cs="Arial" w:eastAsia="Arial" w:hAnsi="Arial"/>
          <w:sz w:val="12"/>
          <w:szCs w:val="12"/>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3792855</wp:posOffset>
            </wp:positionH>
            <wp:positionV relativeFrom="paragraph">
              <wp:posOffset>20955</wp:posOffset>
            </wp:positionV>
            <wp:extent cx="247650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2476500" cy="5715"/>
                    </a:xfrm>
                    <a:prstGeom prst="rect">
                      <a:avLst/>
                    </a:prstGeom>
                    <a:noFill/>
                  </pic:spPr>
                </pic:pic>
              </a:graphicData>
            </a:graphic>
          </wp:anchor>
        </w:drawing>
      </w:r>
    </w:p>
    <w:p>
      <w:pPr>
        <w:spacing w:after="0" w:line="31" w:lineRule="exact"/>
        <w:rPr>
          <w:sz w:val="20"/>
          <w:szCs w:val="20"/>
          <w:color w:val="auto"/>
        </w:rPr>
      </w:pPr>
    </w:p>
    <w:p>
      <w:pPr>
        <w:ind w:left="6000"/>
        <w:spacing w:after="0"/>
        <w:rPr>
          <w:sz w:val="20"/>
          <w:szCs w:val="20"/>
          <w:color w:val="auto"/>
        </w:rPr>
      </w:pPr>
      <w:r>
        <w:rPr>
          <w:rFonts w:ascii="Arial" w:cs="Arial" w:eastAsia="Arial" w:hAnsi="Arial"/>
          <w:sz w:val="12"/>
          <w:szCs w:val="12"/>
          <w:color w:val="auto"/>
        </w:rPr>
        <w:t>Chad Plotkin</w:t>
      </w:r>
    </w:p>
    <w:p>
      <w:pPr>
        <w:spacing w:after="0" w:line="42" w:lineRule="exact"/>
        <w:rPr>
          <w:sz w:val="20"/>
          <w:szCs w:val="20"/>
          <w:color w:val="auto"/>
        </w:rPr>
      </w:pPr>
    </w:p>
    <w:p>
      <w:pPr>
        <w:ind w:left="6000"/>
        <w:spacing w:after="0"/>
        <w:rPr>
          <w:sz w:val="20"/>
          <w:szCs w:val="20"/>
          <w:color w:val="auto"/>
        </w:rPr>
      </w:pPr>
      <w:r>
        <w:rPr>
          <w:rFonts w:ascii="Arial" w:cs="Arial" w:eastAsia="Arial" w:hAnsi="Arial"/>
          <w:sz w:val="12"/>
          <w:szCs w:val="12"/>
          <w:i w:val="1"/>
          <w:iCs w:val="1"/>
          <w:color w:val="auto"/>
        </w:rPr>
        <w:t>Chief Financial Officer</w:t>
      </w:r>
    </w:p>
    <w:p>
      <w:pPr>
        <w:spacing w:after="0" w:line="15" w:lineRule="exact"/>
        <w:rPr>
          <w:sz w:val="20"/>
          <w:szCs w:val="20"/>
          <w:color w:val="auto"/>
        </w:rPr>
      </w:pPr>
    </w:p>
    <w:p>
      <w:pPr>
        <w:ind w:left="6000"/>
        <w:spacing w:after="0"/>
        <w:rPr>
          <w:sz w:val="20"/>
          <w:szCs w:val="20"/>
          <w:color w:val="auto"/>
        </w:rPr>
      </w:pPr>
      <w:r>
        <w:rPr>
          <w:rFonts w:ascii="Arial" w:cs="Arial" w:eastAsia="Arial" w:hAnsi="Arial"/>
          <w:sz w:val="12"/>
          <w:szCs w:val="12"/>
          <w:i w:val="1"/>
          <w:iCs w:val="1"/>
          <w:color w:val="auto"/>
        </w:rPr>
        <w:t>(Principal Financial Officer)</w:t>
      </w:r>
    </w:p>
    <w:p>
      <w:pPr>
        <w:spacing w:after="0" w:line="394" w:lineRule="exact"/>
        <w:rPr>
          <w:sz w:val="20"/>
          <w:szCs w:val="20"/>
          <w:color w:val="auto"/>
        </w:rPr>
      </w:pPr>
    </w:p>
    <w:p>
      <w:pPr>
        <w:ind w:left="6000"/>
        <w:spacing w:after="0"/>
        <w:rPr>
          <w:sz w:val="20"/>
          <w:szCs w:val="20"/>
          <w:color w:val="auto"/>
        </w:rPr>
      </w:pPr>
      <w:r>
        <w:rPr>
          <w:rFonts w:ascii="Arial" w:cs="Arial" w:eastAsia="Arial" w:hAnsi="Arial"/>
          <w:sz w:val="12"/>
          <w:szCs w:val="12"/>
          <w:color w:val="auto"/>
        </w:rPr>
        <w:t>/s/ DAVID CALLEN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3792855</wp:posOffset>
            </wp:positionH>
            <wp:positionV relativeFrom="paragraph">
              <wp:posOffset>20955</wp:posOffset>
            </wp:positionV>
            <wp:extent cx="247650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2476500" cy="5715"/>
                    </a:xfrm>
                    <a:prstGeom prst="rect">
                      <a:avLst/>
                    </a:prstGeom>
                    <a:noFill/>
                  </pic:spPr>
                </pic:pic>
              </a:graphicData>
            </a:graphic>
          </wp:anchor>
        </w:drawing>
      </w:r>
    </w:p>
    <w:p>
      <w:pPr>
        <w:spacing w:after="0" w:line="31" w:lineRule="exact"/>
        <w:rPr>
          <w:sz w:val="20"/>
          <w:szCs w:val="20"/>
          <w:color w:val="auto"/>
        </w:rPr>
      </w:pPr>
    </w:p>
    <w:p>
      <w:pPr>
        <w:ind w:left="6000"/>
        <w:spacing w:after="0"/>
        <w:rPr>
          <w:sz w:val="20"/>
          <w:szCs w:val="20"/>
          <w:color w:val="auto"/>
        </w:rPr>
      </w:pPr>
      <w:r>
        <w:rPr>
          <w:rFonts w:ascii="Arial" w:cs="Arial" w:eastAsia="Arial" w:hAnsi="Arial"/>
          <w:sz w:val="12"/>
          <w:szCs w:val="12"/>
          <w:color w:val="auto"/>
        </w:rPr>
        <w:t>David Callen</w:t>
      </w:r>
    </w:p>
    <w:p>
      <w:pPr>
        <w:spacing w:after="0" w:line="42" w:lineRule="exact"/>
        <w:rPr>
          <w:sz w:val="20"/>
          <w:szCs w:val="20"/>
          <w:color w:val="auto"/>
        </w:rPr>
      </w:pPr>
    </w:p>
    <w:p>
      <w:pPr>
        <w:ind w:left="6000"/>
        <w:spacing w:after="0"/>
        <w:rPr>
          <w:sz w:val="20"/>
          <w:szCs w:val="20"/>
          <w:color w:val="auto"/>
        </w:rPr>
      </w:pPr>
      <w:r>
        <w:rPr>
          <w:rFonts w:ascii="Arial" w:cs="Arial" w:eastAsia="Arial" w:hAnsi="Arial"/>
          <w:sz w:val="12"/>
          <w:szCs w:val="12"/>
          <w:i w:val="1"/>
          <w:iCs w:val="1"/>
          <w:color w:val="auto"/>
        </w:rPr>
        <w:t>Chief Accounting Officer</w:t>
      </w:r>
    </w:p>
    <w:p>
      <w:pPr>
        <w:spacing w:after="0" w:line="15" w:lineRule="exact"/>
        <w:rPr>
          <w:sz w:val="20"/>
          <w:szCs w:val="20"/>
          <w:color w:val="auto"/>
        </w:rPr>
      </w:pPr>
    </w:p>
    <w:p>
      <w:pPr>
        <w:ind w:left="6000"/>
        <w:spacing w:after="0"/>
        <w:rPr>
          <w:sz w:val="20"/>
          <w:szCs w:val="20"/>
          <w:color w:val="auto"/>
        </w:rPr>
      </w:pPr>
      <w:r>
        <w:rPr>
          <w:rFonts w:ascii="Arial" w:cs="Arial" w:eastAsia="Arial" w:hAnsi="Arial"/>
          <w:sz w:val="12"/>
          <w:szCs w:val="12"/>
          <w:i w:val="1"/>
          <w:iCs w:val="1"/>
          <w:color w:val="auto"/>
        </w:rPr>
        <w:t>(Principal Accounting Officer</w:t>
      </w:r>
      <w:r>
        <w:rPr>
          <w:rFonts w:ascii="Arial" w:cs="Arial" w:eastAsia="Arial" w:hAnsi="Arial"/>
          <w:sz w:val="12"/>
          <w:szCs w:val="12"/>
          <w:color w:val="auto"/>
        </w:rPr>
        <w:t>)</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foregoing certification is being furnished solely pursuant to 18 U.S.C. Section 1350 and is not being filed as part of this Form 10-Q or as a separate disclosure document.</w:t>
      </w:r>
    </w:p>
    <w:p>
      <w:pPr>
        <w:spacing w:after="0" w:line="42"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NRG Yield, Inc. and will be retained by NRG Yield, Inc. and furnished to the Securities and Exchange Commission or its staff upon request.</w:t>
      </w:r>
    </w:p>
    <w:sectPr>
      <w:pgSz w:w="11900" w:h="16838" w:orient="portrait"/>
      <w:cols w:equalWidth="0" w:num="1">
        <w:col w:w="11480"/>
      </w:cols>
      <w:pgMar w:left="220" w:top="433"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x"/>
      <w:numFmt w:val="bullet"/>
      <w:start w:val="1"/>
    </w:lvl>
  </w:abstractNum>
  <w:abstractNum w:abstractNumId="1">
    <w:nsid w:val="3F2DBA31"/>
    <w:multiLevelType w:val="hybridMultilevel"/>
    <w:lvl w:ilvl="0">
      <w:lvlJc w:val="left"/>
      <w:lvlText w:val="o"/>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1)"/>
      <w:numFmt w:val="lowerLetter"/>
      <w:start w:val="1"/>
    </w:lvl>
  </w:abstractNum>
  <w:abstractNum w:abstractNumId="4">
    <w:nsid w:val="62BBD95A"/>
    <w:multiLevelType w:val="hybridMultilevel"/>
    <w:lvl w:ilvl="0">
      <w:lvlJc w:val="left"/>
      <w:lvlText w:val="(%1)"/>
      <w:numFmt w:val="lowerLetter"/>
      <w:start w:val="1"/>
    </w:lvl>
  </w:abstractNum>
  <w:abstractNum w:abstractNumId="5">
    <w:nsid w:val="436C6125"/>
    <w:multiLevelType w:val="hybridMultilevel"/>
    <w:lvl w:ilvl="0">
      <w:lvlJc w:val="left"/>
      <w:lvlText w:val="(%1)"/>
      <w:numFmt w:val="lowerLetter"/>
      <w:start w:val="1"/>
    </w:lvl>
  </w:abstractNum>
  <w:abstractNum w:abstractNumId="6">
    <w:nsid w:val="628C895D"/>
    <w:multiLevelType w:val="hybridMultilevel"/>
    <w:lvl w:ilvl="0">
      <w:lvlJc w:val="left"/>
      <w:lvlText w:val="(%1)"/>
      <w:numFmt w:val="lowerLetter"/>
      <w:start w:val="1"/>
    </w:lvl>
  </w:abstractNum>
  <w:abstractNum w:abstractNumId="7">
    <w:nsid w:val="333AB105"/>
    <w:multiLevelType w:val="hybridMultilevel"/>
    <w:lvl w:ilvl="0">
      <w:lvlJc w:val="left"/>
      <w:lvlText w:val="(%1)"/>
      <w:numFmt w:val="lowerLetter"/>
      <w:start w:val="1"/>
    </w:lvl>
  </w:abstractNum>
  <w:abstractNum w:abstractNumId="8">
    <w:nsid w:val="721DA317"/>
    <w:multiLevelType w:val="hybridMultilevel"/>
    <w:lvl w:ilvl="0">
      <w:lvlJc w:val="left"/>
      <w:lvlText w:val="(%1)"/>
      <w:numFmt w:val="lowerLetter"/>
      <w:start w:val="2"/>
    </w:lvl>
  </w:abstractNum>
  <w:abstractNum w:abstractNumId="9">
    <w:nsid w:val="2443A858"/>
    <w:multiLevelType w:val="hybridMultilevel"/>
    <w:lvl w:ilvl="0">
      <w:lvlJc w:val="left"/>
      <w:lvlText w:val="(%1)"/>
      <w:numFmt w:val="lowerLetter"/>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1)"/>
      <w:numFmt w:val="lowerLetter"/>
      <w:start w:val="1"/>
    </w:lvl>
  </w:abstractNum>
  <w:abstractNum w:abstractNumId="12">
    <w:nsid w:val="75A2A8D4"/>
    <w:multiLevelType w:val="hybridMultilevel"/>
    <w:lvl w:ilvl="0">
      <w:lvlJc w:val="left"/>
      <w:lvlText w:val="(%1)"/>
      <w:numFmt w:val="lowerLetter"/>
      <w:start w:val="1"/>
    </w:lvl>
  </w:abstractNum>
  <w:abstractNum w:abstractNumId="13">
    <w:nsid w:val="8EDBDAB"/>
    <w:multiLevelType w:val="hybridMultilevel"/>
    <w:lvl w:ilvl="0">
      <w:lvlJc w:val="left"/>
      <w:lvlText w:val="(%1)"/>
      <w:numFmt w:val="lowerLetter"/>
      <w:start w:val="1"/>
    </w:lvl>
  </w:abstractNum>
  <w:abstractNum w:abstractNumId="14">
    <w:nsid w:val="79838CB2"/>
    <w:multiLevelType w:val="hybridMultilevel"/>
    <w:lvl w:ilvl="0">
      <w:lvlJc w:val="left"/>
      <w:lvlText w:val="(%1)"/>
      <w:numFmt w:val="lowerLetter"/>
      <w:start w:val="1"/>
    </w:lvl>
  </w:abstractNum>
  <w:abstractNum w:abstractNumId="15">
    <w:nsid w:val="4353D0CD"/>
    <w:multiLevelType w:val="hybridMultilevel"/>
    <w:lvl w:ilvl="0">
      <w:lvlJc w:val="left"/>
      <w:lvlText w:val="(%1)"/>
      <w:numFmt w:val="lowerLetter"/>
      <w:start w:val="1"/>
    </w:lvl>
  </w:abstractNum>
  <w:abstractNum w:abstractNumId="16">
    <w:nsid w:val="B03E0C6"/>
    <w:multiLevelType w:val="hybridMultilevel"/>
    <w:lvl w:ilvl="0">
      <w:lvlJc w:val="left"/>
      <w:lvlText w:val="(%1)"/>
      <w:numFmt w:val="lowerLetter"/>
      <w:start w:val="4"/>
    </w:lvl>
  </w:abstractNum>
  <w:abstractNum w:abstractNumId="17">
    <w:nsid w:val="189A769B"/>
    <w:multiLevelType w:val="hybridMultilevel"/>
    <w:lvl w:ilvl="0">
      <w:lvlJc w:val="left"/>
      <w:lvlText w:val="(%1)"/>
      <w:numFmt w:val="lowerLetter"/>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1)"/>
      <w:numFmt w:val="lowerLetter"/>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1."/>
      <w:numFmt w:val="decimal"/>
      <w:start w:val="1"/>
    </w:lvl>
  </w:abstractNum>
  <w:abstractNum w:abstractNumId="28">
    <w:nsid w:val="6CEAF087"/>
    <w:multiLevelType w:val="hybridMultilevel"/>
    <w:lvl w:ilvl="0">
      <w:lvlJc w:val="left"/>
      <w:lvlText w:val="%1."/>
      <w:numFmt w:val="decimal"/>
      <w:start w:val="7"/>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1."/>
      <w:numFmt w:val="decimal"/>
      <w:start w:val="7"/>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43" Type="http://schemas.openxmlformats.org/officeDocument/2006/relationships/hyperlink" Target="http://www.sec.gov/Archives/edgar/data/1567683/000110465918039601/a18-15261_1ex4d1.htm#Exhibit4_1_110220" TargetMode="External"/><Relationship Id="rId44" Type="http://schemas.openxmlformats.org/officeDocument/2006/relationships/hyperlink" Target="http://www.sec.gov/Archives/edgar/data/1567683/000110465918039601/a18-15261_1ex4d2.htm#Exhibit4_2_1116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2019-12-28T20:30:42Z</dcterms:created>
  <dcterms:modified xsi:type="dcterms:W3CDTF">2019-12-28T20:30:42Z</dcterms:modified>
</cp:coreProperties>
</file>