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0"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6"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6" w:lineRule="exact"/>
        <w:rPr>
          <w:sz w:val="24"/>
          <w:szCs w:val="24"/>
          <w:color w:val="auto"/>
        </w:rPr>
      </w:pPr>
    </w:p>
    <w:p>
      <w:pPr>
        <w:ind w:left="360"/>
        <w:spacing w:after="0" w:line="252"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-233045</wp:posOffset>
            </wp:positionV>
            <wp:extent cx="127635" cy="127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635" cy="12763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4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6240" w:type="dxa"/>
            <w:vAlign w:val="bottom"/>
          </w:tcPr>
          <w:p>
            <w:pPr>
              <w:jc w:val="center"/>
              <w:ind w:right="25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58"/>
              <w:spacing w:after="0" w:line="141"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58"/>
              <w:spacing w:after="0" w:line="182"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3"/>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40" w:type="dxa"/>
            <w:vAlign w:val="bottom"/>
            <w:vMerge w:val="restart"/>
          </w:tcPr>
          <w:p>
            <w:pPr>
              <w:jc w:val="center"/>
              <w:ind w:right="23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5231765</wp:posOffset>
            </wp:positionH>
            <wp:positionV relativeFrom="paragraph">
              <wp:posOffset>-610870</wp:posOffset>
            </wp:positionV>
            <wp:extent cx="57150" cy="624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4205"/>
                    </a:xfrm>
                    <a:prstGeom prst="rect">
                      <a:avLst/>
                    </a:prstGeom>
                    <a:noFill/>
                  </pic:spPr>
                </pic:pic>
              </a:graphicData>
            </a:graphic>
          </wp:anchor>
        </w:drawing>
        <w:drawing>
          <wp:anchor simplePos="0" relativeHeight="251657728" behindDoc="1" locked="0" layoutInCell="0" allowOverlap="1">
            <wp:simplePos x="0" y="0"/>
            <wp:positionH relativeFrom="column">
              <wp:posOffset>3945890</wp:posOffset>
            </wp:positionH>
            <wp:positionV relativeFrom="paragraph">
              <wp:posOffset>-610870</wp:posOffset>
            </wp:positionV>
            <wp:extent cx="57150" cy="6242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420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20320</wp:posOffset>
            </wp:positionV>
            <wp:extent cx="7047865" cy="62464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865" cy="6246495"/>
                    </a:xfrm>
                    <a:prstGeom prst="rect">
                      <a:avLst/>
                    </a:prstGeom>
                    <a:noFill/>
                  </pic:spPr>
                </pic:pic>
              </a:graphicData>
            </a:graphic>
          </wp:anchor>
        </w:drawing>
      </w:r>
    </w:p>
    <w:p>
      <w:pPr>
        <w:spacing w:after="0" w:line="91" w:lineRule="exact"/>
        <w:rPr>
          <w:sz w:val="24"/>
          <w:szCs w:val="24"/>
          <w:color w:val="auto"/>
        </w:rPr>
      </w:pPr>
    </w:p>
    <w:p>
      <w:pPr>
        <w:sectPr>
          <w:pgSz w:w="11900" w:h="16928" w:orient="portrait"/>
          <w:cols w:equalWidth="0" w:num="2">
            <w:col w:w="2200" w:space="420"/>
            <w:col w:w="8460"/>
          </w:cols>
          <w:pgMar w:left="460" w:top="215" w:right="359" w:bottom="0"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Rubenstein Sarah</w:t>
        </w:r>
      </w:hyperlink>
    </w:p>
    <w:p>
      <w:pPr>
        <w:spacing w:after="0" w:line="289" w:lineRule="exact"/>
        <w:rPr>
          <w:sz w:val="24"/>
          <w:szCs w:val="24"/>
          <w:color w:val="auto"/>
        </w:rPr>
      </w:pPr>
    </w:p>
    <w:tbl>
      <w:tblPr>
        <w:tblLayout w:type="fixed"/>
        <w:tblInd w:w="80" w:type="dxa"/>
        <w:tblCellMar>
          <w:top w:w="0" w:type="dxa"/>
          <w:left w:w="0" w:type="dxa"/>
          <w:bottom w:w="0" w:type="dxa"/>
          <w:right w:w="0" w:type="dxa"/>
        </w:tblCellMar>
      </w:tblPr>
      <w:tr>
        <w:trPr>
          <w:trHeight w:val="166"/>
        </w:trPr>
        <w:tc>
          <w:tcPr>
            <w:tcW w:w="1100" w:type="dxa"/>
            <w:vAlign w:val="bottom"/>
          </w:tcPr>
          <w:p>
            <w:pPr>
              <w:ind w:left="40"/>
              <w:spacing w:after="0"/>
              <w:rPr>
                <w:sz w:val="20"/>
                <w:szCs w:val="20"/>
                <w:color w:val="auto"/>
              </w:rPr>
            </w:pPr>
            <w:r>
              <w:rPr>
                <w:rFonts w:ascii="Arial" w:cs="Arial" w:eastAsia="Arial" w:hAnsi="Arial"/>
                <w:sz w:val="13"/>
                <w:szCs w:val="13"/>
                <w:color w:val="auto"/>
              </w:rPr>
              <w:t>(Last)</w:t>
            </w:r>
          </w:p>
        </w:tc>
        <w:tc>
          <w:tcPr>
            <w:tcW w:w="1040" w:type="dxa"/>
            <w:vAlign w:val="bottom"/>
          </w:tcPr>
          <w:p>
            <w:pPr>
              <w:ind w:left="160"/>
              <w:spacing w:after="0"/>
              <w:rPr>
                <w:sz w:val="20"/>
                <w:szCs w:val="20"/>
                <w:color w:val="auto"/>
              </w:rPr>
            </w:pPr>
            <w:r>
              <w:rPr>
                <w:rFonts w:ascii="Arial" w:cs="Arial" w:eastAsia="Arial" w:hAnsi="Arial"/>
                <w:sz w:val="13"/>
                <w:szCs w:val="13"/>
                <w:color w:val="auto"/>
              </w:rPr>
              <w:t>(First)</w:t>
            </w:r>
          </w:p>
        </w:tc>
        <w:tc>
          <w:tcPr>
            <w:tcW w:w="780" w:type="dxa"/>
            <w:vAlign w:val="bottom"/>
          </w:tcPr>
          <w:p>
            <w:pPr>
              <w:ind w:left="340"/>
              <w:spacing w:after="0"/>
              <w:rPr>
                <w:sz w:val="20"/>
                <w:szCs w:val="20"/>
                <w:color w:val="auto"/>
              </w:rPr>
            </w:pPr>
            <w:r>
              <w:rPr>
                <w:rFonts w:ascii="Arial" w:cs="Arial" w:eastAsia="Arial" w:hAnsi="Arial"/>
                <w:sz w:val="13"/>
                <w:szCs w:val="13"/>
                <w:color w:val="auto"/>
                <w:w w:val="89"/>
              </w:rPr>
              <w:t>(Middle)</w:t>
            </w:r>
          </w:p>
        </w:tc>
      </w:tr>
      <w:tr>
        <w:trPr>
          <w:trHeight w:val="262"/>
        </w:trPr>
        <w:tc>
          <w:tcPr>
            <w:tcW w:w="21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0000FF"/>
              </w:rPr>
              <w:t>300 CARNEGIE CENTER</w:t>
            </w:r>
          </w:p>
        </w:tc>
        <w:tc>
          <w:tcPr>
            <w:tcW w:w="780" w:type="dxa"/>
            <w:vAlign w:val="bottom"/>
          </w:tcPr>
          <w:p>
            <w:pPr>
              <w:spacing w:after="0"/>
              <w:rPr>
                <w:sz w:val="22"/>
                <w:szCs w:val="22"/>
                <w:color w:val="auto"/>
              </w:rPr>
            </w:pPr>
          </w:p>
        </w:tc>
      </w:tr>
      <w:tr>
        <w:trPr>
          <w:trHeight w:val="252"/>
        </w:trPr>
        <w:tc>
          <w:tcPr>
            <w:tcW w:w="110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SUITE 300</w:t>
            </w:r>
          </w:p>
        </w:tc>
        <w:tc>
          <w:tcPr>
            <w:tcW w:w="104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418"/>
        </w:trPr>
        <w:tc>
          <w:tcPr>
            <w:tcW w:w="1100" w:type="dxa"/>
            <w:vAlign w:val="bottom"/>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24"/>
        </w:trPr>
        <w:tc>
          <w:tcPr>
            <w:tcW w:w="110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PRINCETON</w:t>
            </w:r>
          </w:p>
        </w:tc>
        <w:tc>
          <w:tcPr>
            <w:tcW w:w="1040" w:type="dxa"/>
            <w:vAlign w:val="bottom"/>
          </w:tcPr>
          <w:p>
            <w:pPr>
              <w:ind w:left="160"/>
              <w:spacing w:after="0"/>
              <w:rPr>
                <w:sz w:val="20"/>
                <w:szCs w:val="20"/>
                <w:color w:val="auto"/>
              </w:rPr>
            </w:pPr>
            <w:r>
              <w:rPr>
                <w:rFonts w:ascii="Times New Roman" w:cs="Times New Roman" w:eastAsia="Times New Roman" w:hAnsi="Times New Roman"/>
                <w:sz w:val="16"/>
                <w:szCs w:val="16"/>
                <w:color w:val="0000FF"/>
              </w:rPr>
              <w:t>NJ</w:t>
            </w:r>
          </w:p>
        </w:tc>
        <w:tc>
          <w:tcPr>
            <w:tcW w:w="780" w:type="dxa"/>
            <w:vAlign w:val="bottom"/>
          </w:tcPr>
          <w:p>
            <w:pPr>
              <w:ind w:left="340"/>
              <w:spacing w:after="0"/>
              <w:rPr>
                <w:sz w:val="20"/>
                <w:szCs w:val="20"/>
                <w:color w:val="auto"/>
              </w:rPr>
            </w:pPr>
            <w:r>
              <w:rPr>
                <w:rFonts w:ascii="Times New Roman" w:cs="Times New Roman" w:eastAsia="Times New Roman" w:hAnsi="Times New Roman"/>
                <w:sz w:val="16"/>
                <w:szCs w:val="16"/>
                <w:color w:val="0000FF"/>
              </w:rPr>
              <w:t>08540</w:t>
            </w:r>
          </w:p>
        </w:tc>
      </w:tr>
      <w:tr>
        <w:trPr>
          <w:trHeight w:val="455"/>
        </w:trPr>
        <w:tc>
          <w:tcPr>
            <w:tcW w:w="1100" w:type="dxa"/>
            <w:vAlign w:val="bottom"/>
          </w:tcPr>
          <w:p>
            <w:pPr>
              <w:ind w:left="40"/>
              <w:spacing w:after="0"/>
              <w:rPr>
                <w:sz w:val="20"/>
                <w:szCs w:val="20"/>
                <w:color w:val="auto"/>
              </w:rPr>
            </w:pPr>
            <w:r>
              <w:rPr>
                <w:rFonts w:ascii="Arial" w:cs="Arial" w:eastAsia="Arial" w:hAnsi="Arial"/>
                <w:sz w:val="13"/>
                <w:szCs w:val="13"/>
                <w:color w:val="auto"/>
              </w:rPr>
              <w:t>(City)</w:t>
            </w:r>
          </w:p>
        </w:tc>
        <w:tc>
          <w:tcPr>
            <w:tcW w:w="1040" w:type="dxa"/>
            <w:vAlign w:val="bottom"/>
          </w:tcPr>
          <w:p>
            <w:pPr>
              <w:ind w:left="160"/>
              <w:spacing w:after="0"/>
              <w:rPr>
                <w:sz w:val="20"/>
                <w:szCs w:val="20"/>
                <w:color w:val="auto"/>
              </w:rPr>
            </w:pPr>
            <w:r>
              <w:rPr>
                <w:rFonts w:ascii="Arial" w:cs="Arial" w:eastAsia="Arial" w:hAnsi="Arial"/>
                <w:sz w:val="13"/>
                <w:szCs w:val="13"/>
                <w:color w:val="auto"/>
              </w:rPr>
              <w:t>(State)</w:t>
            </w:r>
          </w:p>
        </w:tc>
        <w:tc>
          <w:tcPr>
            <w:tcW w:w="780" w:type="dxa"/>
            <w:vAlign w:val="bottom"/>
          </w:tcPr>
          <w:p>
            <w:pPr>
              <w:ind w:left="3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06"/>
        </w:trPr>
        <w:tc>
          <w:tcPr>
            <w:tcW w:w="60" w:type="dxa"/>
            <w:vAlign w:val="bottom"/>
          </w:tcPr>
          <w:p>
            <w:pPr>
              <w:spacing w:after="0"/>
              <w:rPr>
                <w:sz w:val="17"/>
                <w:szCs w:val="17"/>
                <w:color w:val="auto"/>
              </w:rPr>
            </w:pPr>
          </w:p>
        </w:tc>
        <w:tc>
          <w:tcPr>
            <w:tcW w:w="3760" w:type="dxa"/>
            <w:vAlign w:val="bottom"/>
            <w:gridSpan w:val="3"/>
          </w:tcPr>
          <w:p>
            <w:pPr>
              <w:spacing w:after="0" w:line="201"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 xml:space="preserve">Clearway Energy,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CWEN</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182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1"/>
        </w:trPr>
        <w:tc>
          <w:tcPr>
            <w:tcW w:w="6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1680" w:type="dxa"/>
            <w:vAlign w:val="bottom"/>
            <w:tcBorders>
              <w:top w:val="single" w:sz="8" w:color="0000EE"/>
            </w:tcBorders>
          </w:tcPr>
          <w:p>
            <w:pPr>
              <w:spacing w:after="0"/>
              <w:rPr>
                <w:sz w:val="12"/>
                <w:szCs w:val="12"/>
                <w:color w:val="auto"/>
              </w:rPr>
            </w:pPr>
          </w:p>
        </w:tc>
        <w:tc>
          <w:tcPr>
            <w:tcW w:w="1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tcPr>
          <w:p>
            <w:pPr>
              <w:ind w:left="120"/>
              <w:spacing w:after="0" w:line="141" w:lineRule="exact"/>
              <w:rPr>
                <w:sz w:val="20"/>
                <w:szCs w:val="20"/>
                <w:color w:val="auto"/>
              </w:rPr>
            </w:pPr>
            <w:r>
              <w:rPr>
                <w:rFonts w:ascii="Arial" w:cs="Arial" w:eastAsia="Arial" w:hAnsi="Arial"/>
                <w:sz w:val="13"/>
                <w:szCs w:val="13"/>
                <w:color w:val="auto"/>
              </w:rPr>
              <w:t>Director</w:t>
            </w:r>
          </w:p>
        </w:tc>
        <w:tc>
          <w:tcPr>
            <w:tcW w:w="1480" w:type="dxa"/>
            <w:vAlign w:val="bottom"/>
          </w:tcPr>
          <w:p>
            <w:pPr>
              <w:ind w:left="340"/>
              <w:spacing w:after="0" w:line="141"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3"/>
        </w:trPr>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X</w:t>
            </w:r>
          </w:p>
        </w:tc>
        <w:tc>
          <w:tcPr>
            <w:tcW w:w="134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48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5"/>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40" w:type="dxa"/>
            <w:vAlign w:val="bottom"/>
            <w:vMerge w:val="continue"/>
          </w:tcPr>
          <w:p>
            <w:pPr>
              <w:spacing w:after="0"/>
              <w:rPr>
                <w:sz w:val="6"/>
                <w:szCs w:val="6"/>
                <w:color w:val="auto"/>
              </w:rPr>
            </w:pPr>
          </w:p>
        </w:tc>
        <w:tc>
          <w:tcPr>
            <w:tcW w:w="14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18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40" w:type="dxa"/>
            <w:vAlign w:val="bottom"/>
          </w:tcPr>
          <w:p>
            <w:pPr>
              <w:ind w:left="120"/>
              <w:spacing w:after="0" w:line="119" w:lineRule="exact"/>
              <w:rPr>
                <w:sz w:val="20"/>
                <w:szCs w:val="20"/>
                <w:color w:val="auto"/>
              </w:rPr>
            </w:pPr>
            <w:r>
              <w:rPr>
                <w:rFonts w:ascii="Arial" w:cs="Arial" w:eastAsia="Arial" w:hAnsi="Arial"/>
                <w:sz w:val="13"/>
                <w:szCs w:val="13"/>
                <w:color w:val="auto"/>
              </w:rPr>
              <w:t>below)</w:t>
            </w:r>
          </w:p>
        </w:tc>
        <w:tc>
          <w:tcPr>
            <w:tcW w:w="1480" w:type="dxa"/>
            <w:vAlign w:val="bottom"/>
          </w:tcPr>
          <w:p>
            <w:pPr>
              <w:ind w:left="340"/>
              <w:spacing w:after="0" w:line="11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4"/>
        </w:trPr>
        <w:tc>
          <w:tcPr>
            <w:tcW w:w="186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04/15/2023</w:t>
            </w:r>
          </w:p>
        </w:tc>
        <w:tc>
          <w:tcPr>
            <w:tcW w:w="1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20" w:type="dxa"/>
            <w:vAlign w:val="bottom"/>
            <w:gridSpan w:val="2"/>
            <w:vMerge w:val="restart"/>
          </w:tcPr>
          <w:p>
            <w:pPr>
              <w:ind w:left="640"/>
              <w:spacing w:after="0"/>
              <w:rPr>
                <w:sz w:val="20"/>
                <w:szCs w:val="20"/>
                <w:color w:val="auto"/>
              </w:rPr>
            </w:pPr>
            <w:r>
              <w:rPr>
                <w:rFonts w:ascii="Times New Roman" w:cs="Times New Roman" w:eastAsia="Times New Roman" w:hAnsi="Times New Roman"/>
                <w:sz w:val="16"/>
                <w:szCs w:val="16"/>
                <w:color w:val="0000FF"/>
              </w:rPr>
              <w:t>EVP AND CFO</w:t>
            </w:r>
          </w:p>
        </w:tc>
        <w:tc>
          <w:tcPr>
            <w:tcW w:w="0" w:type="dxa"/>
            <w:vAlign w:val="bottom"/>
          </w:tcPr>
          <w:p>
            <w:pPr>
              <w:spacing w:after="0"/>
              <w:rPr>
                <w:sz w:val="1"/>
                <w:szCs w:val="1"/>
                <w:color w:val="auto"/>
              </w:rPr>
            </w:pPr>
          </w:p>
        </w:tc>
      </w:tr>
      <w:tr>
        <w:trPr>
          <w:trHeight w:val="70"/>
        </w:trPr>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80" w:type="dxa"/>
            <w:vAlign w:val="bottom"/>
          </w:tcPr>
          <w:p>
            <w:pPr>
              <w:spacing w:after="0"/>
              <w:rPr>
                <w:sz w:val="6"/>
                <w:szCs w:val="6"/>
                <w:color w:val="auto"/>
              </w:rPr>
            </w:pPr>
          </w:p>
        </w:tc>
        <w:tc>
          <w:tcPr>
            <w:tcW w:w="196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680" w:type="dxa"/>
            <w:vAlign w:val="bottom"/>
            <w:tcBorders>
              <w:bottom w:val="single" w:sz="8" w:color="2C2C2C"/>
            </w:tcBorders>
          </w:tcPr>
          <w:p>
            <w:pPr>
              <w:spacing w:after="0"/>
              <w:rPr>
                <w:sz w:val="8"/>
                <w:szCs w:val="8"/>
                <w:color w:val="auto"/>
              </w:rPr>
            </w:pPr>
          </w:p>
        </w:tc>
        <w:tc>
          <w:tcPr>
            <w:tcW w:w="196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2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5" w:lineRule="auto"/>
        <w:tabs>
          <w:tab w:leader="none" w:pos="4400" w:val="left"/>
        </w:tabs>
        <w:rPr>
          <w:sz w:val="20"/>
          <w:szCs w:val="20"/>
          <w:color w:val="auto"/>
        </w:rPr>
      </w:pPr>
      <w:r>
        <w:rPr>
          <w:rFonts w:ascii="Times New Roman" w:cs="Times New Roman" w:eastAsia="Times New Roman" w:hAnsi="Times New Roman"/>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8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27"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2" w:lineRule="exact"/>
        <w:rPr>
          <w:sz w:val="24"/>
          <w:szCs w:val="24"/>
          <w:color w:val="auto"/>
        </w:rPr>
      </w:pPr>
    </w:p>
    <w:p>
      <w:pPr>
        <w:ind w:left="320" w:right="460"/>
        <w:spacing w:after="0" w:line="280"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69" w:lineRule="exact"/>
        <w:rPr>
          <w:sz w:val="24"/>
          <w:szCs w:val="24"/>
          <w:color w:val="auto"/>
        </w:rPr>
      </w:pPr>
    </w:p>
    <w:p>
      <w:pPr>
        <w:sectPr>
          <w:pgSz w:w="11900" w:h="16928" w:orient="portrait"/>
          <w:cols w:equalWidth="0" w:num="2">
            <w:col w:w="3120" w:space="720"/>
            <w:col w:w="7240"/>
          </w:cols>
          <w:pgMar w:left="460" w:top="215"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60" w:type="dxa"/>
            <w:vAlign w:val="bottom"/>
          </w:tcPr>
          <w:p>
            <w:pPr>
              <w:spacing w:after="0"/>
              <w:rPr>
                <w:sz w:val="13"/>
                <w:szCs w:val="13"/>
                <w:color w:val="auto"/>
              </w:rPr>
            </w:pPr>
          </w:p>
        </w:tc>
        <w:tc>
          <w:tcPr>
            <w:tcW w:w="1280" w:type="dxa"/>
            <w:vAlign w:val="bottom"/>
            <w:gridSpan w:val="2"/>
          </w:tcPr>
          <w:p>
            <w:pPr>
              <w:ind w:left="260"/>
              <w:spacing w:after="0"/>
              <w:rPr>
                <w:sz w:val="20"/>
                <w:szCs w:val="20"/>
                <w:color w:val="auto"/>
              </w:rPr>
            </w:pPr>
            <w:r>
              <w:rPr>
                <w:rFonts w:ascii="Arial" w:cs="Arial" w:eastAsia="Arial" w:hAnsi="Arial"/>
                <w:sz w:val="11"/>
                <w:szCs w:val="11"/>
                <w:b w:val="1"/>
                <w:bCs w:val="1"/>
                <w:color w:val="auto"/>
              </w:rPr>
              <w:t>2. Transaction</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2A. Deemed</w:t>
            </w:r>
          </w:p>
        </w:tc>
        <w:tc>
          <w:tcPr>
            <w:tcW w:w="30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86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8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40" w:type="dxa"/>
            <w:vAlign w:val="bottom"/>
          </w:tcPr>
          <w:p>
            <w:pPr>
              <w:ind w:left="26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spacing w:after="0"/>
              <w:rPr>
                <w:sz w:val="10"/>
                <w:szCs w:val="10"/>
                <w:color w:val="auto"/>
              </w:rPr>
            </w:pPr>
          </w:p>
        </w:tc>
        <w:tc>
          <w:tcPr>
            <w:tcW w:w="1020" w:type="dxa"/>
            <w:vAlign w:val="bottom"/>
            <w:gridSpan w:val="2"/>
          </w:tcPr>
          <w:p>
            <w:pPr>
              <w:ind w:left="2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86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8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80" w:type="dxa"/>
            <w:vAlign w:val="bottom"/>
            <w:gridSpan w:val="2"/>
          </w:tcPr>
          <w:p>
            <w:pPr>
              <w:jc w:val="center"/>
              <w:ind w:left="88"/>
              <w:spacing w:after="0"/>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if any</w:t>
            </w:r>
          </w:p>
        </w:tc>
        <w:tc>
          <w:tcPr>
            <w:tcW w:w="30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gridSpan w:val="2"/>
          </w:tcPr>
          <w:p>
            <w:pPr>
              <w:ind w:left="2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560" w:type="dxa"/>
            <w:vAlign w:val="bottom"/>
          </w:tcPr>
          <w:p>
            <w:pPr>
              <w:spacing w:after="0"/>
              <w:rPr>
                <w:sz w:val="5"/>
                <w:szCs w:val="5"/>
                <w:color w:val="auto"/>
              </w:rPr>
            </w:pPr>
          </w:p>
        </w:tc>
        <w:tc>
          <w:tcPr>
            <w:tcW w:w="5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30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5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0"/>
                <w:szCs w:val="10"/>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560" w:type="dxa"/>
            <w:vAlign w:val="bottom"/>
          </w:tcPr>
          <w:p>
            <w:pPr>
              <w:spacing w:after="0"/>
              <w:rPr>
                <w:sz w:val="7"/>
                <w:szCs w:val="7"/>
                <w:color w:val="auto"/>
              </w:rPr>
            </w:pPr>
          </w:p>
        </w:tc>
        <w:tc>
          <w:tcPr>
            <w:tcW w:w="5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30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4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5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560" w:type="dxa"/>
            <w:vAlign w:val="bottom"/>
          </w:tcPr>
          <w:p>
            <w:pPr>
              <w:spacing w:after="0"/>
              <w:rPr>
                <w:sz w:val="5"/>
                <w:szCs w:val="5"/>
                <w:color w:val="auto"/>
              </w:rPr>
            </w:pPr>
          </w:p>
        </w:tc>
        <w:tc>
          <w:tcPr>
            <w:tcW w:w="5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3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3100" w:type="dxa"/>
            <w:vAlign w:val="bottom"/>
            <w:tcBorders>
              <w:bottom w:val="single" w:sz="8" w:color="2C2C2C"/>
            </w:tcBorders>
            <w:gridSpan w:val="4"/>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310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Class C Common Stock, par value $.01 per</w:t>
            </w:r>
          </w:p>
        </w:tc>
        <w:tc>
          <w:tcPr>
            <w:tcW w:w="1280" w:type="dxa"/>
            <w:vAlign w:val="bottom"/>
            <w:gridSpan w:val="2"/>
            <w:vMerge w:val="restart"/>
          </w:tcPr>
          <w:p>
            <w:pPr>
              <w:jc w:val="center"/>
              <w:ind w:left="68"/>
              <w:spacing w:after="0"/>
              <w:rPr>
                <w:sz w:val="20"/>
                <w:szCs w:val="20"/>
                <w:color w:val="auto"/>
              </w:rPr>
            </w:pPr>
            <w:r>
              <w:rPr>
                <w:rFonts w:ascii="Times New Roman" w:cs="Times New Roman" w:eastAsia="Times New Roman" w:hAnsi="Times New Roman"/>
                <w:sz w:val="16"/>
                <w:szCs w:val="16"/>
                <w:color w:val="0000FF"/>
              </w:rPr>
              <w:t>04/15/2023</w:t>
            </w: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00" w:type="dxa"/>
            <w:vAlign w:val="bottom"/>
            <w:vMerge w:val="restart"/>
          </w:tcPr>
          <w:p>
            <w:pPr>
              <w:jc w:val="center"/>
              <w:ind w:left="53"/>
              <w:spacing w:after="0"/>
              <w:rPr>
                <w:sz w:val="20"/>
                <w:szCs w:val="20"/>
                <w:color w:val="auto"/>
              </w:rPr>
            </w:pPr>
            <w:r>
              <w:rPr>
                <w:rFonts w:ascii="Times New Roman" w:cs="Times New Roman" w:eastAsia="Times New Roman" w:hAnsi="Times New Roman"/>
                <w:sz w:val="16"/>
                <w:szCs w:val="16"/>
                <w:color w:val="0000FF"/>
              </w:rPr>
              <w:t>710</w:t>
            </w: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6"/>
                <w:szCs w:val="16"/>
                <w:color w:val="0000FF"/>
              </w:rPr>
              <w:t>D</w:t>
            </w:r>
          </w:p>
        </w:tc>
        <w:tc>
          <w:tcPr>
            <w:tcW w:w="520" w:type="dxa"/>
            <w:vAlign w:val="bottom"/>
            <w:vMerge w:val="restart"/>
          </w:tcPr>
          <w:p>
            <w:pPr>
              <w:ind w:left="240"/>
              <w:spacing w:after="0"/>
              <w:rPr>
                <w:sz w:val="20"/>
                <w:szCs w:val="20"/>
                <w:color w:val="auto"/>
              </w:rPr>
            </w:pPr>
            <w:r>
              <w:rPr>
                <w:rFonts w:ascii="Times New Roman" w:cs="Times New Roman" w:eastAsia="Times New Roman" w:hAnsi="Times New Roman"/>
                <w:sz w:val="10"/>
                <w:szCs w:val="10"/>
                <w:color w:val="008000"/>
              </w:rPr>
              <w:t>(1)</w:t>
            </w:r>
          </w:p>
        </w:tc>
        <w:tc>
          <w:tcPr>
            <w:tcW w:w="1300" w:type="dxa"/>
            <w:vAlign w:val="bottom"/>
            <w:gridSpan w:val="3"/>
            <w:vMerge w:val="restart"/>
          </w:tcPr>
          <w:p>
            <w:pPr>
              <w:jc w:val="right"/>
              <w:ind w:right="303"/>
              <w:spacing w:after="0"/>
              <w:rPr>
                <w:sz w:val="20"/>
                <w:szCs w:val="20"/>
                <w:color w:val="auto"/>
              </w:rPr>
            </w:pPr>
            <w:r>
              <w:rPr>
                <w:rFonts w:ascii="Times New Roman" w:cs="Times New Roman" w:eastAsia="Times New Roman" w:hAnsi="Times New Roman"/>
                <w:sz w:val="16"/>
                <w:szCs w:val="16"/>
                <w:color w:val="0000FF"/>
              </w:rPr>
              <w:t>25,539</w:t>
            </w:r>
            <w:r>
              <w:rPr>
                <w:rFonts w:ascii="Times New Roman" w:cs="Times New Roman" w:eastAsia="Times New Roman" w:hAnsi="Times New Roman"/>
                <w:sz w:val="20"/>
                <w:szCs w:val="20"/>
                <w:color w:val="008000"/>
                <w:vertAlign w:val="superscript"/>
              </w:rPr>
              <w:t>(2)</w:t>
            </w:r>
          </w:p>
        </w:tc>
        <w:tc>
          <w:tcPr>
            <w:tcW w:w="280" w:type="dxa"/>
            <w:vAlign w:val="bottom"/>
          </w:tcPr>
          <w:p>
            <w:pPr>
              <w:spacing w:after="0"/>
              <w:rPr>
                <w:sz w:val="20"/>
                <w:szCs w:val="20"/>
                <w:color w:val="auto"/>
              </w:rPr>
            </w:pPr>
          </w:p>
        </w:tc>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share</w:t>
            </w:r>
          </w:p>
        </w:tc>
        <w:tc>
          <w:tcPr>
            <w:tcW w:w="7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560" w:type="dxa"/>
            <w:vAlign w:val="bottom"/>
          </w:tcPr>
          <w:p>
            <w:pPr>
              <w:spacing w:after="0"/>
              <w:rPr>
                <w:sz w:val="4"/>
                <w:szCs w:val="4"/>
                <w:color w:val="auto"/>
              </w:rPr>
            </w:pPr>
          </w:p>
        </w:tc>
        <w:tc>
          <w:tcPr>
            <w:tcW w:w="5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3100" w:type="dxa"/>
            <w:vAlign w:val="bottom"/>
            <w:tcBorders>
              <w:bottom w:val="single" w:sz="8" w:color="2C2C2C"/>
            </w:tcBorders>
            <w:gridSpan w:val="4"/>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310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Class C Common Stock, par value $.01 per</w:t>
            </w:r>
          </w:p>
        </w:tc>
        <w:tc>
          <w:tcPr>
            <w:tcW w:w="1280" w:type="dxa"/>
            <w:vAlign w:val="bottom"/>
            <w:gridSpan w:val="2"/>
            <w:vMerge w:val="restart"/>
          </w:tcPr>
          <w:p>
            <w:pPr>
              <w:jc w:val="center"/>
              <w:ind w:left="68"/>
              <w:spacing w:after="0"/>
              <w:rPr>
                <w:sz w:val="20"/>
                <w:szCs w:val="20"/>
                <w:color w:val="auto"/>
              </w:rPr>
            </w:pPr>
            <w:r>
              <w:rPr>
                <w:rFonts w:ascii="Times New Roman" w:cs="Times New Roman" w:eastAsia="Times New Roman" w:hAnsi="Times New Roman"/>
                <w:sz w:val="16"/>
                <w:szCs w:val="16"/>
                <w:color w:val="0000FF"/>
              </w:rPr>
              <w:t>04/15/2023</w:t>
            </w: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00" w:type="dxa"/>
            <w:vAlign w:val="bottom"/>
            <w:vMerge w:val="restart"/>
          </w:tcPr>
          <w:p>
            <w:pPr>
              <w:jc w:val="center"/>
              <w:ind w:left="53"/>
              <w:spacing w:after="0"/>
              <w:rPr>
                <w:sz w:val="20"/>
                <w:szCs w:val="20"/>
                <w:color w:val="auto"/>
              </w:rPr>
            </w:pPr>
            <w:r>
              <w:rPr>
                <w:rFonts w:ascii="Times New Roman" w:cs="Times New Roman" w:eastAsia="Times New Roman" w:hAnsi="Times New Roman"/>
                <w:sz w:val="16"/>
                <w:szCs w:val="16"/>
                <w:color w:val="0000FF"/>
              </w:rPr>
              <w:t>1,242</w:t>
            </w: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6"/>
                <w:szCs w:val="16"/>
                <w:color w:val="0000FF"/>
              </w:rPr>
              <w:t>D</w:t>
            </w:r>
          </w:p>
        </w:tc>
        <w:tc>
          <w:tcPr>
            <w:tcW w:w="520" w:type="dxa"/>
            <w:vAlign w:val="bottom"/>
            <w:vMerge w:val="restart"/>
          </w:tcPr>
          <w:p>
            <w:pPr>
              <w:ind w:left="240"/>
              <w:spacing w:after="0"/>
              <w:rPr>
                <w:sz w:val="20"/>
                <w:szCs w:val="20"/>
                <w:color w:val="auto"/>
              </w:rPr>
            </w:pPr>
            <w:r>
              <w:rPr>
                <w:rFonts w:ascii="Times New Roman" w:cs="Times New Roman" w:eastAsia="Times New Roman" w:hAnsi="Times New Roman"/>
                <w:sz w:val="10"/>
                <w:szCs w:val="10"/>
                <w:color w:val="008000"/>
              </w:rPr>
              <w:t>(3)</w:t>
            </w:r>
          </w:p>
        </w:tc>
        <w:tc>
          <w:tcPr>
            <w:tcW w:w="1300" w:type="dxa"/>
            <w:vAlign w:val="bottom"/>
            <w:gridSpan w:val="3"/>
            <w:vMerge w:val="restart"/>
          </w:tcPr>
          <w:p>
            <w:pPr>
              <w:jc w:val="right"/>
              <w:ind w:right="303"/>
              <w:spacing w:after="0"/>
              <w:rPr>
                <w:sz w:val="20"/>
                <w:szCs w:val="20"/>
                <w:color w:val="auto"/>
              </w:rPr>
            </w:pPr>
            <w:r>
              <w:rPr>
                <w:rFonts w:ascii="Times New Roman" w:cs="Times New Roman" w:eastAsia="Times New Roman" w:hAnsi="Times New Roman"/>
                <w:sz w:val="16"/>
                <w:szCs w:val="16"/>
                <w:color w:val="0000FF"/>
              </w:rPr>
              <w:t>24,297</w:t>
            </w:r>
            <w:r>
              <w:rPr>
                <w:rFonts w:ascii="Times New Roman" w:cs="Times New Roman" w:eastAsia="Times New Roman" w:hAnsi="Times New Roman"/>
                <w:sz w:val="20"/>
                <w:szCs w:val="20"/>
                <w:color w:val="008000"/>
                <w:vertAlign w:val="superscript"/>
              </w:rPr>
              <w:t>(4)</w:t>
            </w:r>
          </w:p>
        </w:tc>
        <w:tc>
          <w:tcPr>
            <w:tcW w:w="280" w:type="dxa"/>
            <w:vAlign w:val="bottom"/>
          </w:tcPr>
          <w:p>
            <w:pPr>
              <w:spacing w:after="0"/>
              <w:rPr>
                <w:sz w:val="20"/>
                <w:szCs w:val="20"/>
                <w:color w:val="auto"/>
              </w:rPr>
            </w:pPr>
          </w:p>
        </w:tc>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share</w:t>
            </w:r>
          </w:p>
        </w:tc>
        <w:tc>
          <w:tcPr>
            <w:tcW w:w="7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560" w:type="dxa"/>
            <w:vAlign w:val="bottom"/>
          </w:tcPr>
          <w:p>
            <w:pPr>
              <w:spacing w:after="0"/>
              <w:rPr>
                <w:sz w:val="4"/>
                <w:szCs w:val="4"/>
                <w:color w:val="auto"/>
              </w:rPr>
            </w:pPr>
          </w:p>
        </w:tc>
        <w:tc>
          <w:tcPr>
            <w:tcW w:w="5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3100" w:type="dxa"/>
            <w:vAlign w:val="bottom"/>
            <w:tcBorders>
              <w:bottom w:val="single" w:sz="8" w:color="2C2C2C"/>
            </w:tcBorders>
            <w:gridSpan w:val="4"/>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310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Class C Common Stock, par value $.01 per</w:t>
            </w:r>
          </w:p>
        </w:tc>
        <w:tc>
          <w:tcPr>
            <w:tcW w:w="1280" w:type="dxa"/>
            <w:vAlign w:val="bottom"/>
            <w:gridSpan w:val="2"/>
            <w:vMerge w:val="restart"/>
          </w:tcPr>
          <w:p>
            <w:pPr>
              <w:jc w:val="center"/>
              <w:ind w:left="68"/>
              <w:spacing w:after="0"/>
              <w:rPr>
                <w:sz w:val="20"/>
                <w:szCs w:val="20"/>
                <w:color w:val="auto"/>
              </w:rPr>
            </w:pPr>
            <w:r>
              <w:rPr>
                <w:rFonts w:ascii="Times New Roman" w:cs="Times New Roman" w:eastAsia="Times New Roman" w:hAnsi="Times New Roman"/>
                <w:sz w:val="16"/>
                <w:szCs w:val="16"/>
                <w:color w:val="0000FF"/>
              </w:rPr>
              <w:t>04/15/2023</w:t>
            </w: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00" w:type="dxa"/>
            <w:vAlign w:val="bottom"/>
            <w:vMerge w:val="restart"/>
          </w:tcPr>
          <w:p>
            <w:pPr>
              <w:jc w:val="center"/>
              <w:ind w:left="53"/>
              <w:spacing w:after="0"/>
              <w:rPr>
                <w:sz w:val="20"/>
                <w:szCs w:val="20"/>
                <w:color w:val="auto"/>
              </w:rPr>
            </w:pPr>
            <w:r>
              <w:rPr>
                <w:rFonts w:ascii="Times New Roman" w:cs="Times New Roman" w:eastAsia="Times New Roman" w:hAnsi="Times New Roman"/>
                <w:sz w:val="16"/>
                <w:szCs w:val="16"/>
                <w:color w:val="0000FF"/>
              </w:rPr>
              <w:t>631</w:t>
            </w: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6"/>
                <w:szCs w:val="16"/>
                <w:color w:val="0000FF"/>
              </w:rPr>
              <w:t>D</w:t>
            </w:r>
          </w:p>
        </w:tc>
        <w:tc>
          <w:tcPr>
            <w:tcW w:w="520" w:type="dxa"/>
            <w:vAlign w:val="bottom"/>
            <w:vMerge w:val="restart"/>
          </w:tcPr>
          <w:p>
            <w:pPr>
              <w:ind w:left="240"/>
              <w:spacing w:after="0"/>
              <w:rPr>
                <w:sz w:val="20"/>
                <w:szCs w:val="20"/>
                <w:color w:val="auto"/>
              </w:rPr>
            </w:pPr>
            <w:r>
              <w:rPr>
                <w:rFonts w:ascii="Times New Roman" w:cs="Times New Roman" w:eastAsia="Times New Roman" w:hAnsi="Times New Roman"/>
                <w:sz w:val="10"/>
                <w:szCs w:val="10"/>
                <w:color w:val="008000"/>
              </w:rPr>
              <w:t>(5)</w:t>
            </w:r>
          </w:p>
        </w:tc>
        <w:tc>
          <w:tcPr>
            <w:tcW w:w="1300" w:type="dxa"/>
            <w:vAlign w:val="bottom"/>
            <w:gridSpan w:val="3"/>
            <w:vMerge w:val="restart"/>
          </w:tcPr>
          <w:p>
            <w:pPr>
              <w:jc w:val="right"/>
              <w:ind w:right="303"/>
              <w:spacing w:after="0"/>
              <w:rPr>
                <w:sz w:val="20"/>
                <w:szCs w:val="20"/>
                <w:color w:val="auto"/>
              </w:rPr>
            </w:pPr>
            <w:r>
              <w:rPr>
                <w:rFonts w:ascii="Times New Roman" w:cs="Times New Roman" w:eastAsia="Times New Roman" w:hAnsi="Times New Roman"/>
                <w:sz w:val="16"/>
                <w:szCs w:val="16"/>
                <w:color w:val="0000FF"/>
              </w:rPr>
              <w:t>23,666</w:t>
            </w:r>
            <w:r>
              <w:rPr>
                <w:rFonts w:ascii="Times New Roman" w:cs="Times New Roman" w:eastAsia="Times New Roman" w:hAnsi="Times New Roman"/>
                <w:sz w:val="20"/>
                <w:szCs w:val="20"/>
                <w:color w:val="008000"/>
                <w:vertAlign w:val="superscript"/>
              </w:rPr>
              <w:t>(6)</w:t>
            </w:r>
          </w:p>
        </w:tc>
        <w:tc>
          <w:tcPr>
            <w:tcW w:w="280" w:type="dxa"/>
            <w:vAlign w:val="bottom"/>
          </w:tcPr>
          <w:p>
            <w:pPr>
              <w:spacing w:after="0"/>
              <w:rPr>
                <w:sz w:val="20"/>
                <w:szCs w:val="20"/>
                <w:color w:val="auto"/>
              </w:rPr>
            </w:pPr>
          </w:p>
        </w:tc>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share</w:t>
            </w:r>
          </w:p>
        </w:tc>
        <w:tc>
          <w:tcPr>
            <w:tcW w:w="7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560" w:type="dxa"/>
            <w:vAlign w:val="bottom"/>
          </w:tcPr>
          <w:p>
            <w:pPr>
              <w:spacing w:after="0"/>
              <w:rPr>
                <w:sz w:val="4"/>
                <w:szCs w:val="4"/>
                <w:color w:val="auto"/>
              </w:rPr>
            </w:pPr>
          </w:p>
        </w:tc>
        <w:tc>
          <w:tcPr>
            <w:tcW w:w="5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3100" w:type="dxa"/>
            <w:vAlign w:val="bottom"/>
            <w:tcBorders>
              <w:bottom w:val="single" w:sz="8" w:color="2C2C2C"/>
            </w:tcBorders>
            <w:gridSpan w:val="4"/>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310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Class C Common Stock, par value $.01 per</w:t>
            </w:r>
          </w:p>
        </w:tc>
        <w:tc>
          <w:tcPr>
            <w:tcW w:w="1280" w:type="dxa"/>
            <w:vAlign w:val="bottom"/>
            <w:gridSpan w:val="2"/>
            <w:vMerge w:val="restart"/>
          </w:tcPr>
          <w:p>
            <w:pPr>
              <w:jc w:val="center"/>
              <w:ind w:left="68"/>
              <w:spacing w:after="0"/>
              <w:rPr>
                <w:sz w:val="20"/>
                <w:szCs w:val="20"/>
                <w:color w:val="auto"/>
              </w:rPr>
            </w:pPr>
            <w:r>
              <w:rPr>
                <w:rFonts w:ascii="Times New Roman" w:cs="Times New Roman" w:eastAsia="Times New Roman" w:hAnsi="Times New Roman"/>
                <w:sz w:val="16"/>
                <w:szCs w:val="16"/>
                <w:color w:val="0000FF"/>
              </w:rPr>
              <w:t>04/15/2023</w:t>
            </w: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vMerge w:val="restart"/>
          </w:tcPr>
          <w:p>
            <w:pPr>
              <w:jc w:val="center"/>
              <w:ind w:left="53"/>
              <w:spacing w:after="0"/>
              <w:rPr>
                <w:sz w:val="20"/>
                <w:szCs w:val="20"/>
                <w:color w:val="auto"/>
              </w:rPr>
            </w:pPr>
            <w:r>
              <w:rPr>
                <w:rFonts w:ascii="Times New Roman" w:cs="Times New Roman" w:eastAsia="Times New Roman" w:hAnsi="Times New Roman"/>
                <w:sz w:val="16"/>
                <w:szCs w:val="16"/>
                <w:color w:val="0000FF"/>
                <w:w w:val="96"/>
              </w:rPr>
              <w:t>5,037</w:t>
            </w:r>
            <w:r>
              <w:rPr>
                <w:rFonts w:ascii="Times New Roman" w:cs="Times New Roman" w:eastAsia="Times New Roman" w:hAnsi="Times New Roman"/>
                <w:sz w:val="20"/>
                <w:szCs w:val="20"/>
                <w:color w:val="008000"/>
                <w:w w:val="96"/>
                <w:vertAlign w:val="superscript"/>
              </w:rPr>
              <w:t>(7)</w:t>
            </w: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6"/>
                <w:szCs w:val="16"/>
                <w:color w:val="0000FF"/>
              </w:rPr>
              <w:t>A</w:t>
            </w:r>
          </w:p>
        </w:tc>
        <w:tc>
          <w:tcPr>
            <w:tcW w:w="520" w:type="dxa"/>
            <w:vAlign w:val="bottom"/>
            <w:vMerge w:val="restart"/>
          </w:tcPr>
          <w:p>
            <w:pPr>
              <w:ind w:left="240"/>
              <w:spacing w:after="0"/>
              <w:rPr>
                <w:sz w:val="20"/>
                <w:szCs w:val="20"/>
                <w:color w:val="auto"/>
              </w:rPr>
            </w:pPr>
            <w:r>
              <w:rPr>
                <w:rFonts w:ascii="Times New Roman" w:cs="Times New Roman" w:eastAsia="Times New Roman" w:hAnsi="Times New Roman"/>
                <w:sz w:val="10"/>
                <w:szCs w:val="10"/>
                <w:color w:val="008000"/>
              </w:rPr>
              <w:t>(8)</w:t>
            </w:r>
          </w:p>
        </w:tc>
        <w:tc>
          <w:tcPr>
            <w:tcW w:w="1300" w:type="dxa"/>
            <w:vAlign w:val="bottom"/>
            <w:gridSpan w:val="3"/>
            <w:vMerge w:val="restart"/>
          </w:tcPr>
          <w:p>
            <w:pPr>
              <w:jc w:val="right"/>
              <w:ind w:right="303"/>
              <w:spacing w:after="0"/>
              <w:rPr>
                <w:sz w:val="20"/>
                <w:szCs w:val="20"/>
                <w:color w:val="auto"/>
              </w:rPr>
            </w:pPr>
            <w:r>
              <w:rPr>
                <w:rFonts w:ascii="Times New Roman" w:cs="Times New Roman" w:eastAsia="Times New Roman" w:hAnsi="Times New Roman"/>
                <w:sz w:val="16"/>
                <w:szCs w:val="16"/>
                <w:color w:val="0000FF"/>
              </w:rPr>
              <w:t>28,703</w:t>
            </w:r>
            <w:r>
              <w:rPr>
                <w:rFonts w:ascii="Times New Roman" w:cs="Times New Roman" w:eastAsia="Times New Roman" w:hAnsi="Times New Roman"/>
                <w:sz w:val="20"/>
                <w:szCs w:val="20"/>
                <w:color w:val="008000"/>
                <w:vertAlign w:val="superscript"/>
              </w:rPr>
              <w:t>(9)</w:t>
            </w:r>
          </w:p>
        </w:tc>
        <w:tc>
          <w:tcPr>
            <w:tcW w:w="280" w:type="dxa"/>
            <w:vAlign w:val="bottom"/>
          </w:tcPr>
          <w:p>
            <w:pPr>
              <w:spacing w:after="0"/>
              <w:rPr>
                <w:sz w:val="20"/>
                <w:szCs w:val="20"/>
                <w:color w:val="auto"/>
              </w:rPr>
            </w:pPr>
          </w:p>
        </w:tc>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share</w:t>
            </w:r>
          </w:p>
        </w:tc>
        <w:tc>
          <w:tcPr>
            <w:tcW w:w="7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560" w:type="dxa"/>
            <w:vAlign w:val="bottom"/>
          </w:tcPr>
          <w:p>
            <w:pPr>
              <w:spacing w:after="0"/>
              <w:rPr>
                <w:sz w:val="4"/>
                <w:szCs w:val="4"/>
                <w:color w:val="auto"/>
              </w:rPr>
            </w:pPr>
          </w:p>
        </w:tc>
        <w:tc>
          <w:tcPr>
            <w:tcW w:w="5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20" w:type="dxa"/>
            <w:vAlign w:val="bottom"/>
            <w:tcBorders>
              <w:bottom w:val="single" w:sz="8" w:color="2C2C2C"/>
            </w:tcBorders>
          </w:tcPr>
          <w:p>
            <w:pPr>
              <w:spacing w:after="0"/>
              <w:rPr>
                <w:sz w:val="8"/>
                <w:szCs w:val="8"/>
                <w:color w:val="auto"/>
              </w:rPr>
            </w:pPr>
          </w:p>
        </w:tc>
        <w:tc>
          <w:tcPr>
            <w:tcW w:w="5560" w:type="dxa"/>
            <w:vAlign w:val="bottom"/>
            <w:tcBorders>
              <w:bottom w:val="single" w:sz="8" w:color="2C2C2C"/>
            </w:tcBorders>
            <w:gridSpan w:val="10"/>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808080"/>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2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1"/>
          </w:tcPr>
          <w:p>
            <w:pPr>
              <w:jc w:val="center"/>
              <w:ind w:right="183"/>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920" w:type="dxa"/>
            <w:vAlign w:val="bottom"/>
            <w:gridSpan w:val="8"/>
          </w:tcPr>
          <w:p>
            <w:pPr>
              <w:jc w:val="center"/>
              <w:ind w:right="23"/>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2"/>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2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gridSpan w:val="2"/>
          </w:tcPr>
          <w:p>
            <w:pPr>
              <w:ind w:left="10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02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2"/>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2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gridSpan w:val="2"/>
          </w:tcPr>
          <w:p>
            <w:pPr>
              <w:ind w:left="10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0"/>
                <w:szCs w:val="10"/>
                <w:color w:val="auto"/>
              </w:rPr>
            </w:pPr>
          </w:p>
        </w:tc>
        <w:tc>
          <w:tcPr>
            <w:tcW w:w="1460" w:type="dxa"/>
            <w:vAlign w:val="bottom"/>
            <w:gridSpan w:val="2"/>
          </w:tcPr>
          <w:p>
            <w:pPr>
              <w:ind w:left="40"/>
              <w:spacing w:after="0"/>
              <w:rPr>
                <w:sz w:val="20"/>
                <w:szCs w:val="20"/>
                <w:color w:val="auto"/>
              </w:rPr>
            </w:pPr>
            <w:r>
              <w:rPr>
                <w:rFonts w:ascii="Arial" w:cs="Arial" w:eastAsia="Arial" w:hAnsi="Arial"/>
                <w:sz w:val="11"/>
                <w:szCs w:val="11"/>
                <w:b w:val="1"/>
                <w:bCs w:val="1"/>
                <w:color w:val="auto"/>
              </w:rPr>
              <w:t>Expiration Date</w:t>
            </w: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146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2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560" w:type="dxa"/>
            <w:vAlign w:val="bottom"/>
          </w:tcPr>
          <w:p>
            <w:pPr>
              <w:ind w:left="100"/>
              <w:spacing w:after="0"/>
              <w:rPr>
                <w:sz w:val="20"/>
                <w:szCs w:val="20"/>
                <w:color w:val="auto"/>
              </w:rPr>
            </w:pPr>
            <w:r>
              <w:rPr>
                <w:rFonts w:ascii="Arial" w:cs="Arial" w:eastAsia="Arial" w:hAnsi="Arial"/>
                <w:sz w:val="11"/>
                <w:szCs w:val="11"/>
                <w:b w:val="1"/>
                <w:bCs w:val="1"/>
                <w:color w:val="auto"/>
              </w:rPr>
              <w:t>if any</w:t>
            </w:r>
          </w:p>
        </w:tc>
        <w:tc>
          <w:tcPr>
            <w:tcW w:w="540" w:type="dxa"/>
            <w:vAlign w:val="bottom"/>
          </w:tcPr>
          <w:p>
            <w:pPr>
              <w:spacing w:after="0"/>
              <w:rPr>
                <w:sz w:val="10"/>
                <w:szCs w:val="10"/>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0"/>
                <w:szCs w:val="10"/>
                <w:color w:val="auto"/>
              </w:rPr>
            </w:pPr>
          </w:p>
        </w:tc>
        <w:tc>
          <w:tcPr>
            <w:tcW w:w="146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7"/>
              </w:rPr>
              <w:t>Underlying</w:t>
            </w:r>
          </w:p>
        </w:tc>
        <w:tc>
          <w:tcPr>
            <w:tcW w:w="520" w:type="dxa"/>
            <w:vAlign w:val="bottom"/>
          </w:tcPr>
          <w:p>
            <w:pPr>
              <w:spacing w:after="0"/>
              <w:rPr>
                <w:sz w:val="10"/>
                <w:szCs w:val="10"/>
                <w:color w:val="auto"/>
              </w:rPr>
            </w:pP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w w:val="98"/>
              </w:rPr>
              <w:t>Securities</w:t>
            </w:r>
          </w:p>
        </w:tc>
        <w:tc>
          <w:tcPr>
            <w:tcW w:w="28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20" w:type="dxa"/>
            <w:vAlign w:val="bottom"/>
          </w:tcPr>
          <w:p>
            <w:pPr>
              <w:spacing w:after="0"/>
              <w:rPr>
                <w:sz w:val="10"/>
                <w:szCs w:val="10"/>
                <w:color w:val="auto"/>
              </w:rPr>
            </w:pPr>
          </w:p>
        </w:tc>
        <w:tc>
          <w:tcPr>
            <w:tcW w:w="1100" w:type="dxa"/>
            <w:vAlign w:val="bottom"/>
            <w:gridSpan w:val="2"/>
          </w:tcPr>
          <w:p>
            <w:pPr>
              <w:ind w:left="10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02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Disposed of</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gridSpan w:val="2"/>
          </w:tcPr>
          <w:p>
            <w:pPr>
              <w:ind w:left="120"/>
              <w:spacing w:after="0"/>
              <w:rPr>
                <w:sz w:val="20"/>
                <w:szCs w:val="20"/>
                <w:color w:val="auto"/>
              </w:rPr>
            </w:pPr>
            <w:r>
              <w:rPr>
                <w:rFonts w:ascii="Arial" w:cs="Arial" w:eastAsia="Arial" w:hAnsi="Arial"/>
                <w:sz w:val="11"/>
                <w:szCs w:val="11"/>
                <w:b w:val="1"/>
                <w:bCs w:val="1"/>
                <w:color w:val="auto"/>
              </w:rPr>
              <w:t>(D) (Instr. 3, 4</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0"/>
                <w:szCs w:val="10"/>
                <w:color w:val="auto"/>
              </w:rPr>
            </w:pPr>
          </w:p>
        </w:tc>
        <w:tc>
          <w:tcPr>
            <w:tcW w:w="1460" w:type="dxa"/>
            <w:vAlign w:val="bottom"/>
            <w:gridSpan w:val="4"/>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and 5)</w:t>
            </w:r>
          </w:p>
        </w:tc>
        <w:tc>
          <w:tcPr>
            <w:tcW w:w="3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560" w:type="dxa"/>
            <w:vAlign w:val="bottom"/>
          </w:tcPr>
          <w:p>
            <w:pPr>
              <w:spacing w:after="0"/>
              <w:rPr>
                <w:sz w:val="5"/>
                <w:szCs w:val="5"/>
                <w:color w:val="auto"/>
              </w:rPr>
            </w:pPr>
          </w:p>
        </w:tc>
        <w:tc>
          <w:tcPr>
            <w:tcW w:w="54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20" w:type="dxa"/>
            <w:vAlign w:val="bottom"/>
          </w:tcPr>
          <w:p>
            <w:pPr>
              <w:ind w:left="20"/>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20" w:type="dxa"/>
            <w:vAlign w:val="bottom"/>
          </w:tcPr>
          <w:p>
            <w:pPr>
              <w:ind w:left="20"/>
              <w:spacing w:after="0"/>
              <w:rPr>
                <w:sz w:val="20"/>
                <w:szCs w:val="20"/>
                <w:color w:val="auto"/>
              </w:rPr>
            </w:pPr>
            <w:r>
              <w:rPr>
                <w:rFonts w:ascii="Arial" w:cs="Arial" w:eastAsia="Arial" w:hAnsi="Arial"/>
                <w:sz w:val="11"/>
                <w:szCs w:val="11"/>
                <w:b w:val="1"/>
                <w:bCs w:val="1"/>
                <w:color w:val="auto"/>
              </w:rPr>
              <w:t>or</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20" w:type="dxa"/>
            <w:vAlign w:val="bottom"/>
          </w:tcPr>
          <w:p>
            <w:pPr>
              <w:ind w:left="20"/>
              <w:spacing w:after="0"/>
              <w:rPr>
                <w:sz w:val="20"/>
                <w:szCs w:val="20"/>
                <w:color w:val="auto"/>
              </w:rPr>
            </w:pPr>
            <w:r>
              <w:rPr>
                <w:rFonts w:ascii="Arial" w:cs="Arial" w:eastAsia="Arial" w:hAnsi="Arial"/>
                <w:sz w:val="11"/>
                <w:szCs w:val="11"/>
                <w:b w:val="1"/>
                <w:bCs w:val="1"/>
                <w:color w:val="auto"/>
              </w:rPr>
              <w:t>Number</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0"/>
                <w:szCs w:val="10"/>
                <w:color w:val="auto"/>
              </w:rPr>
            </w:pPr>
          </w:p>
        </w:tc>
        <w:tc>
          <w:tcPr>
            <w:tcW w:w="520" w:type="dxa"/>
            <w:vAlign w:val="bottom"/>
          </w:tcPr>
          <w:p>
            <w:pPr>
              <w:ind w:left="20"/>
              <w:spacing w:after="0"/>
              <w:rPr>
                <w:sz w:val="20"/>
                <w:szCs w:val="20"/>
                <w:color w:val="auto"/>
              </w:rPr>
            </w:pPr>
            <w:r>
              <w:rPr>
                <w:rFonts w:ascii="Arial" w:cs="Arial" w:eastAsia="Arial" w:hAnsi="Arial"/>
                <w:sz w:val="11"/>
                <w:szCs w:val="11"/>
                <w:b w:val="1"/>
                <w:bCs w:val="1"/>
                <w:color w:val="auto"/>
              </w:rPr>
              <w:t>of</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300" w:type="dxa"/>
            <w:vAlign w:val="bottom"/>
          </w:tcPr>
          <w:p>
            <w:pPr>
              <w:ind w:left="4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4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ind w:left="20"/>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Class C</w:t>
            </w: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Relative</w:t>
            </w:r>
          </w:p>
        </w:tc>
        <w:tc>
          <w:tcPr>
            <w:tcW w:w="7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760" w:type="dxa"/>
            <w:vAlign w:val="bottom"/>
            <w:vMerge w:val="restart"/>
          </w:tcPr>
          <w:p>
            <w:pPr>
              <w:ind w:left="300"/>
              <w:spacing w:after="0"/>
              <w:rPr>
                <w:sz w:val="20"/>
                <w:szCs w:val="20"/>
                <w:color w:val="auto"/>
              </w:rPr>
            </w:pPr>
            <w:r>
              <w:rPr>
                <w:rFonts w:ascii="Times New Roman" w:cs="Times New Roman" w:eastAsia="Times New Roman" w:hAnsi="Times New Roman"/>
                <w:sz w:val="10"/>
                <w:szCs w:val="10"/>
                <w:color w:val="008000"/>
              </w:rPr>
              <w:t>(10)</w:t>
            </w:r>
          </w:p>
        </w:tc>
        <w:tc>
          <w:tcPr>
            <w:tcW w:w="1020" w:type="dxa"/>
            <w:vAlign w:val="bottom"/>
          </w:tcPr>
          <w:p>
            <w:pPr>
              <w:spacing w:after="0"/>
              <w:rPr>
                <w:sz w:val="5"/>
                <w:szCs w:val="5"/>
                <w:color w:val="auto"/>
              </w:rPr>
            </w:pPr>
          </w:p>
        </w:tc>
        <w:tc>
          <w:tcPr>
            <w:tcW w:w="560" w:type="dxa"/>
            <w:vAlign w:val="bottom"/>
          </w:tcPr>
          <w:p>
            <w:pPr>
              <w:spacing w:after="0"/>
              <w:rPr>
                <w:sz w:val="5"/>
                <w:szCs w:val="5"/>
                <w:color w:val="auto"/>
              </w:rPr>
            </w:pPr>
          </w:p>
        </w:tc>
        <w:tc>
          <w:tcPr>
            <w:tcW w:w="5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vMerge w:val="restart"/>
          </w:tcPr>
          <w:p>
            <w:pPr>
              <w:ind w:left="120"/>
              <w:spacing w:after="0" w:line="215" w:lineRule="exact"/>
              <w:rPr>
                <w:sz w:val="20"/>
                <w:szCs w:val="20"/>
                <w:color w:val="auto"/>
              </w:rPr>
            </w:pPr>
            <w:r>
              <w:rPr>
                <w:rFonts w:ascii="Times New Roman" w:cs="Times New Roman" w:eastAsia="Times New Roman" w:hAnsi="Times New Roman"/>
                <w:sz w:val="13"/>
                <w:szCs w:val="13"/>
                <w:color w:val="0000FF"/>
                <w:w w:val="99"/>
              </w:rPr>
              <w:t>10,250</w:t>
            </w:r>
            <w:r>
              <w:rPr>
                <w:rFonts w:ascii="Times New Roman" w:cs="Times New Roman" w:eastAsia="Times New Roman" w:hAnsi="Times New Roman"/>
                <w:sz w:val="20"/>
                <w:szCs w:val="20"/>
                <w:color w:val="008000"/>
                <w:w w:val="99"/>
                <w:vertAlign w:val="superscript"/>
              </w:rPr>
              <w:t>(10)</w:t>
            </w:r>
          </w:p>
        </w:tc>
        <w:tc>
          <w:tcPr>
            <w:tcW w:w="3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restart"/>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1"/>
              </w:rPr>
              <w:t>Stock,</w:t>
            </w:r>
          </w:p>
        </w:tc>
        <w:tc>
          <w:tcPr>
            <w:tcW w:w="5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15,375</w:t>
            </w: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gridSpan w:val="2"/>
            <w:vMerge w:val="restart"/>
          </w:tcPr>
          <w:p>
            <w:pPr>
              <w:ind w:left="160"/>
              <w:spacing w:after="0" w:line="215" w:lineRule="exact"/>
              <w:rPr>
                <w:sz w:val="20"/>
                <w:szCs w:val="20"/>
                <w:color w:val="auto"/>
              </w:rPr>
            </w:pPr>
            <w:r>
              <w:rPr>
                <w:rFonts w:ascii="Times New Roman" w:cs="Times New Roman" w:eastAsia="Times New Roman" w:hAnsi="Times New Roman"/>
                <w:sz w:val="13"/>
                <w:szCs w:val="13"/>
                <w:color w:val="0000FF"/>
              </w:rPr>
              <w:t>10,250</w:t>
            </w:r>
            <w:r>
              <w:rPr>
                <w:rFonts w:ascii="Times New Roman" w:cs="Times New Roman" w:eastAsia="Times New Roman" w:hAnsi="Times New Roman"/>
                <w:sz w:val="20"/>
                <w:szCs w:val="20"/>
                <w:color w:val="008000"/>
                <w:vertAlign w:val="superscript"/>
              </w:rPr>
              <w:t>(11)</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60" w:type="dxa"/>
            <w:vAlign w:val="bottom"/>
            <w:vMerge w:val="continue"/>
          </w:tcPr>
          <w:p>
            <w:pPr>
              <w:spacing w:after="0"/>
              <w:rPr>
                <w:sz w:val="6"/>
                <w:szCs w:val="6"/>
                <w:color w:val="auto"/>
              </w:rPr>
            </w:pPr>
          </w:p>
        </w:tc>
        <w:tc>
          <w:tcPr>
            <w:tcW w:w="1020" w:type="dxa"/>
            <w:vAlign w:val="bottom"/>
            <w:vMerge w:val="restart"/>
          </w:tcPr>
          <w:p>
            <w:pPr>
              <w:jc w:val="right"/>
              <w:ind w:right="142"/>
              <w:spacing w:after="0"/>
              <w:rPr>
                <w:sz w:val="20"/>
                <w:szCs w:val="20"/>
                <w:color w:val="auto"/>
              </w:rPr>
            </w:pPr>
            <w:r>
              <w:rPr>
                <w:rFonts w:ascii="Times New Roman" w:cs="Times New Roman" w:eastAsia="Times New Roman" w:hAnsi="Times New Roman"/>
                <w:sz w:val="13"/>
                <w:szCs w:val="13"/>
                <w:color w:val="0000FF"/>
              </w:rPr>
              <w:t>04/15/2023</w:t>
            </w: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7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7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04/15/2026</w:t>
            </w:r>
          </w:p>
        </w:tc>
        <w:tc>
          <w:tcPr>
            <w:tcW w:w="70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04/15/2026</w:t>
            </w:r>
          </w:p>
        </w:tc>
        <w:tc>
          <w:tcPr>
            <w:tcW w:w="64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720" w:type="dxa"/>
            <w:vAlign w:val="bottom"/>
            <w:gridSpan w:val="2"/>
            <w:vMerge w:val="restart"/>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vMerge w:val="continue"/>
          </w:tcPr>
          <w:p>
            <w:pPr>
              <w:spacing w:after="0"/>
              <w:rPr>
                <w:sz w:val="6"/>
                <w:szCs w:val="6"/>
                <w:color w:val="auto"/>
              </w:rPr>
            </w:pP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2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40" w:type="dxa"/>
            <w:vAlign w:val="bottom"/>
          </w:tcPr>
          <w:p>
            <w:pPr>
              <w:ind w:left="60"/>
              <w:spacing w:after="0" w:line="77" w:lineRule="exact"/>
              <w:rPr>
                <w:sz w:val="20"/>
                <w:szCs w:val="20"/>
                <w:color w:val="auto"/>
              </w:rPr>
            </w:pPr>
            <w:r>
              <w:rPr>
                <w:rFonts w:ascii="Times New Roman" w:cs="Times New Roman" w:eastAsia="Times New Roman" w:hAnsi="Times New Roman"/>
                <w:sz w:val="8"/>
                <w:szCs w:val="8"/>
                <w:color w:val="0000FF"/>
              </w:rPr>
              <w:t>par value</w:t>
            </w:r>
          </w:p>
        </w:tc>
        <w:tc>
          <w:tcPr>
            <w:tcW w:w="520" w:type="dxa"/>
            <w:vAlign w:val="bottom"/>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8"/>
              </w:rPr>
              <w:t>$.01 per</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560" w:type="dxa"/>
            <w:vAlign w:val="bottom"/>
          </w:tcPr>
          <w:p>
            <w:pPr>
              <w:spacing w:after="0"/>
              <w:rPr>
                <w:sz w:val="4"/>
                <w:szCs w:val="4"/>
                <w:color w:val="auto"/>
              </w:rPr>
            </w:pPr>
          </w:p>
        </w:tc>
        <w:tc>
          <w:tcPr>
            <w:tcW w:w="5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bl>
    <w:p>
      <w:pPr>
        <w:ind w:left="7040"/>
        <w:spacing w:after="0"/>
        <w:rPr>
          <w:sz w:val="20"/>
          <w:szCs w:val="20"/>
          <w:color w:val="auto"/>
        </w:rPr>
      </w:pPr>
      <w:r>
        <w:rPr>
          <w:rFonts w:ascii="Times New Roman" w:cs="Times New Roman" w:eastAsia="Times New Roman" w:hAnsi="Times New Roman"/>
          <w:sz w:val="13"/>
          <w:szCs w:val="13"/>
          <w:color w:val="0000FF"/>
        </w:rPr>
        <w:t>share</w:t>
      </w:r>
    </w:p>
    <w:p>
      <w:pPr>
        <w:spacing w:after="0" w:line="8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9" w:lineRule="exact"/>
        <w:rPr>
          <w:sz w:val="24"/>
          <w:szCs w:val="24"/>
          <w:color w:val="auto"/>
        </w:rPr>
      </w:pPr>
    </w:p>
    <w:p>
      <w:pPr>
        <w:ind w:left="40" w:right="200" w:hanging="2"/>
        <w:spacing w:after="0" w:line="232"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April 15, 2020, Ms. Rubenstein was issued 4,034 Restricted Stock Units ("RSUs") by Clearway Energy, Inc. (f/k/a NRG Yield, Inc.) under Clearway Energy Inc.'s Amended and Restated 2013 Equity Incentive Plan (the "LTIP"). These RSUs vest ratably over a three-year period beginning on the first anniversary of the date of the grant. Each RSU is equivalent in value to one share of Class C Common Stock of Clearway Energy Inc., par value $.01 per share. On April 15, 2023, 1,532 shares vested. Ms. Rubenstein elected to satisfy her tax obligation upon the exchange of common stock for RSUs having a value on the date of the exchange equal to the withholding obligation. This form reflects the surrender of 710 shares of Class C Common Stock to satisfy the grantee's tax withholding obligation.</w:t>
      </w:r>
    </w:p>
    <w:p>
      <w:pPr>
        <w:spacing w:after="0" w:line="25" w:lineRule="exact"/>
        <w:rPr>
          <w:rFonts w:ascii="Times New Roman" w:cs="Times New Roman" w:eastAsia="Times New Roman" w:hAnsi="Times New Roman"/>
          <w:sz w:val="13"/>
          <w:szCs w:val="13"/>
          <w:color w:val="008000"/>
        </w:rPr>
      </w:pPr>
    </w:p>
    <w:p>
      <w:pPr>
        <w:ind w:left="40" w:right="320" w:hanging="2"/>
        <w:spacing w:after="0" w:line="235"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connection with the vesting of the RSUs described above, 184 DERs converted to Class C Common Stock, resulting in the reporting person holding 1,131 dividend equivalent rights that may only be settled in Class C Common Stock. Dividend equivalent rights accrue on the reporting person's restricted stock, which become exercisable proportionately with the restricted stock units to which they relate and may only be settled in Clearway Energy, Inc. Class C Common Stock. Each dividend equivalent right is the economic equivalent of one share of Clearway Energy, Inc. Class C Common Stock.</w:t>
      </w:r>
    </w:p>
    <w:p>
      <w:pPr>
        <w:spacing w:after="0" w:line="26" w:lineRule="exact"/>
        <w:rPr>
          <w:rFonts w:ascii="Times New Roman" w:cs="Times New Roman" w:eastAsia="Times New Roman" w:hAnsi="Times New Roman"/>
          <w:sz w:val="13"/>
          <w:szCs w:val="13"/>
          <w:color w:val="008000"/>
        </w:rPr>
      </w:pPr>
    </w:p>
    <w:p>
      <w:pPr>
        <w:ind w:left="40" w:right="200" w:hanging="2"/>
        <w:spacing w:after="0" w:line="232"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April 15, 2021, Ms. Rubenstein was issued 7,397 Restricted Stock Units ("RSUs") by Clearway Energy, Inc. (f/k/a NRG Yield, Inc.) under Clearway Energy Inc.'s Amended and Restated 2013 Equity Incentive Plan (the "LTIP"). These RSUs vest ratably over a three-year period beginning on the first anniversary of the date of the grant. Each RSU is equivalent in value to one share of Class C Common Stock of Clearway Energy Inc., par value $.01 per share. On April 15, 2023, 2,680 shares vested. Ms. Rubenstein elected to satisfy her tax obligation upon the exchange of common stock for RSUs having a value on the date of the exchange equal to the withholding obligation. This form reflects the surrender of 1,242 shares of Class C Common Stock to satisfy the grantee's tax withholding obligation.</w:t>
      </w:r>
    </w:p>
    <w:p>
      <w:pPr>
        <w:spacing w:after="0" w:line="25" w:lineRule="exact"/>
        <w:rPr>
          <w:rFonts w:ascii="Times New Roman" w:cs="Times New Roman" w:eastAsia="Times New Roman" w:hAnsi="Times New Roman"/>
          <w:sz w:val="13"/>
          <w:szCs w:val="13"/>
          <w:color w:val="008000"/>
        </w:rPr>
      </w:pPr>
    </w:p>
    <w:p>
      <w:pPr>
        <w:jc w:val="both"/>
        <w:ind w:left="40" w:right="400" w:hanging="2"/>
        <w:spacing w:after="0" w:line="235"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connection with the vesting of the RSUs described above, 217 DERs converted to Class C Common Stock, resulting in the reporting person holding 914 dividend equivalent rights that may only be settled in Class C Common Stock. Dividend equivalent rights accrue on the reporting person's restricted stock, which become exercisable proportionately with the restricted stock units to which they relate and may only be settled in Clearway Energy, Inc. Class C Common Stock. Each dividend equivalent right is the economic equivalent of one share of Clearway Energy, Inc. Class C Common Stock.</w:t>
      </w:r>
    </w:p>
    <w:p>
      <w:pPr>
        <w:spacing w:after="0" w:line="26" w:lineRule="exact"/>
        <w:rPr>
          <w:rFonts w:ascii="Times New Roman" w:cs="Times New Roman" w:eastAsia="Times New Roman" w:hAnsi="Times New Roman"/>
          <w:sz w:val="13"/>
          <w:szCs w:val="13"/>
          <w:color w:val="008000"/>
        </w:rPr>
      </w:pPr>
    </w:p>
    <w:p>
      <w:pPr>
        <w:ind w:left="40" w:right="200" w:hanging="2"/>
        <w:spacing w:after="0" w:line="232"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April 15, 2022, Ms. Rubenstein was issued 3,916 Restricted Stock Units ("RSUs") by Clearway Energy, Inc. (f/k/a NRG Yield, Inc.) under Clearway Energy Inc.'s Amended and Restated 2013 Equity Incentive Plan (the "LTIP"). These RSUs vest ratably over a three-year period beginning on the first anniversary of the date of the grant. Each RSU is equivalent in value to one share of Class C Common Stock of Clearway Energy Inc., par value $.01 per share. On April 15, 2023, 1,360 shares vested. Ms. Rubenstein elected to satisfy her tax obligation upon the exchange of common stock for RSUs having a value on the date of the exchange equal to the withholding obligation. This form reflects the surrender of 631 shares of Class C Common Stock to satisfy the grantee's tax withholding obligation.</w:t>
      </w:r>
    </w:p>
    <w:p>
      <w:pPr>
        <w:spacing w:after="0" w:line="25" w:lineRule="exact"/>
        <w:rPr>
          <w:rFonts w:ascii="Times New Roman" w:cs="Times New Roman" w:eastAsia="Times New Roman" w:hAnsi="Times New Roman"/>
          <w:sz w:val="13"/>
          <w:szCs w:val="13"/>
          <w:color w:val="008000"/>
        </w:rPr>
      </w:pPr>
    </w:p>
    <w:p>
      <w:pPr>
        <w:ind w:left="40" w:right="160" w:hanging="2"/>
        <w:spacing w:after="0" w:line="235"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connection with the vesting of the RSUs described above, 56 DERs converted to Class C Common Stock, resulting in the reporting person holding 858 dividend equivalent rights that may only be settled in Class C Common Stock. Dividend equivalent rights accrue on the reporting person's restricted stock, which become exercisable proportionately with the restricted stock units to which they relate and may only be settled in Clearway Energy, Inc. Class C Common Stock. Each dividend equivalent right is the economic equivalent of one share of Clearway Energy, Inc. Class C Common Stock.</w:t>
      </w:r>
    </w:p>
    <w:p>
      <w:pPr>
        <w:spacing w:after="0" w:line="2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7. .Represents RSUs issued to Ms. Rubenstein under the LTIP.</w:t>
      </w:r>
    </w:p>
    <w:p>
      <w:pPr>
        <w:spacing w:after="0" w:line="39" w:lineRule="exact"/>
        <w:rPr>
          <w:sz w:val="24"/>
          <w:szCs w:val="24"/>
          <w:color w:val="auto"/>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is equivalent in value to one share of Clearway Energy, Inc.'s Class C Common Stock, par value $.01 per share.</w:t>
      </w:r>
    </w:p>
    <w:p>
      <w:pPr>
        <w:spacing w:after="0" w:line="39" w:lineRule="exact"/>
        <w:rPr>
          <w:rFonts w:ascii="Times New Roman" w:cs="Times New Roman" w:eastAsia="Times New Roman" w:hAnsi="Times New Roman"/>
          <w:sz w:val="13"/>
          <w:szCs w:val="13"/>
          <w:color w:val="008000"/>
        </w:rPr>
      </w:pPr>
    </w:p>
    <w:p>
      <w:pPr>
        <w:ind w:left="40" w:right="180" w:hanging="2"/>
        <w:spacing w:after="0" w:line="245"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will receive from Clearway Energy, Inc. one such share of Class C Common Stock for each RSU that will vest ratably over a three-year period beginning on the first anniversary of the date of the grant.</w:t>
      </w:r>
    </w:p>
    <w:p>
      <w:pPr>
        <w:spacing w:after="0" w:line="21" w:lineRule="exact"/>
        <w:rPr>
          <w:rFonts w:ascii="Times New Roman" w:cs="Times New Roman" w:eastAsia="Times New Roman" w:hAnsi="Times New Roman"/>
          <w:sz w:val="13"/>
          <w:szCs w:val="13"/>
          <w:color w:val="008000"/>
        </w:rPr>
      </w:pPr>
    </w:p>
    <w:p>
      <w:pPr>
        <w:jc w:val="both"/>
        <w:ind w:left="40" w:right="400" w:hanging="2"/>
        <w:spacing w:after="0" w:line="263" w:lineRule="auto"/>
        <w:tabs>
          <w:tab w:leader="none" w:pos="229"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Reporting Person was issued 10,250 Relative Performance Stock Units ("RPSUs") by Clearway Energy, Inc. under the LTIP on April 15, 2023. The RPSUs will convert to shares of Clearway Energy, Inc. Class C Common Stock on April 15, 2026 only in the event the Company has achieved a certain level of total shareholder return ("TSR") relative to the Peer Group (defined below) over a three-year performance period. The number of shares of Common Stock that the Reporting Person may receive is interpolated for TSR falling between Threshold, Target, and Maximum levels as described below.</w:t>
      </w:r>
    </w:p>
    <w:p>
      <w:pPr>
        <w:spacing w:after="0" w:line="11" w:lineRule="exact"/>
        <w:rPr>
          <w:rFonts w:ascii="Times New Roman" w:cs="Times New Roman" w:eastAsia="Times New Roman" w:hAnsi="Times New Roman"/>
          <w:sz w:val="12"/>
          <w:szCs w:val="12"/>
          <w:color w:val="008000"/>
        </w:rPr>
      </w:pPr>
    </w:p>
    <w:p>
      <w:pPr>
        <w:ind w:left="40" w:right="200" w:hanging="2"/>
        <w:spacing w:after="0" w:line="263" w:lineRule="auto"/>
        <w:tabs>
          <w:tab w:leader="none" w:pos="22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Reporting Person will receive (i) a maximum of 15,375 shares of Class C Common Stock if Company's TSR is ranked at or above the 75th percentile relative to a peer group of companies approved by the Company's Compensation Committee (the "Peer Group") for the performance period ("Maximum"); (ii) 10,250 shares of Class C Common Stock if Company's TSR is ranked at the 50th percentile relative to the Peer Group for the performance period (the "Target"); provided, however, if TSR is less than negative twenty percent (-20%), the Company's TSR must be ranked at the 60th percentile relative to the Peer Group for the</w:t>
      </w:r>
    </w:p>
    <w:p>
      <w:pPr>
        <w:sectPr>
          <w:pgSz w:w="11900" w:h="16928" w:orient="portrait"/>
          <w:cols w:equalWidth="0" w:num="1">
            <w:col w:w="11080"/>
          </w:cols>
          <w:pgMar w:left="460" w:top="215" w:right="359" w:bottom="0" w:gutter="0" w:footer="0" w:header="0"/>
          <w:type w:val="continuous"/>
        </w:sectPr>
      </w:pPr>
    </w:p>
    <w:bookmarkStart w:id="1" w:name="page2"/>
    <w:bookmarkEnd w:id="1"/>
    <w:p>
      <w:pPr>
        <w:ind w:left="2"/>
        <w:spacing w:after="0" w:line="245" w:lineRule="auto"/>
        <w:rPr>
          <w:sz w:val="20"/>
          <w:szCs w:val="20"/>
          <w:color w:val="auto"/>
        </w:rPr>
      </w:pPr>
      <w:r>
        <w:rPr>
          <w:rFonts w:ascii="Times New Roman" w:cs="Times New Roman" w:eastAsia="Times New Roman" w:hAnsi="Times New Roman"/>
          <w:sz w:val="13"/>
          <w:szCs w:val="13"/>
          <w:color w:val="008000"/>
        </w:rPr>
        <w:t>performance period to receive the Target award; or (iii) 2,562 shares of Common Stock if Company's TSR is ranked at the 25th percentile relative to the Peer Group for the performance period (the "Threshold"). The Reporting Person will not receive any shares of Common Stock if Company's TSR is below the 25th percentile.</w:t>
      </w:r>
    </w:p>
    <w:p>
      <w:pPr>
        <w:spacing w:after="0" w:line="39" w:lineRule="exact"/>
        <w:rPr>
          <w:sz w:val="20"/>
          <w:szCs w:val="20"/>
          <w:color w:val="auto"/>
        </w:rPr>
      </w:pPr>
    </w:p>
    <w:tbl>
      <w:tblPr>
        <w:tblLayout w:type="fixed"/>
        <w:tblInd w:w="6562" w:type="dxa"/>
        <w:tblCellMar>
          <w:top w:w="0" w:type="dxa"/>
          <w:left w:w="0" w:type="dxa"/>
          <w:bottom w:w="0" w:type="dxa"/>
          <w:right w:w="0" w:type="dxa"/>
        </w:tblCellMar>
      </w:tblPr>
      <w:tr>
        <w:trPr>
          <w:trHeight w:val="184"/>
        </w:trPr>
        <w:tc>
          <w:tcPr>
            <w:tcW w:w="22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 Kevin P. Malcarney,</w:t>
            </w:r>
          </w:p>
        </w:tc>
        <w:tc>
          <w:tcPr>
            <w:tcW w:w="74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w w:val="98"/>
              </w:rPr>
              <w:t>04/18/2023</w:t>
            </w:r>
          </w:p>
        </w:tc>
        <w:tc>
          <w:tcPr>
            <w:tcW w:w="0" w:type="dxa"/>
            <w:vAlign w:val="bottom"/>
          </w:tcPr>
          <w:p>
            <w:pPr>
              <w:spacing w:after="0"/>
              <w:rPr>
                <w:sz w:val="1"/>
                <w:szCs w:val="1"/>
                <w:color w:val="auto"/>
              </w:rPr>
            </w:pPr>
          </w:p>
        </w:tc>
      </w:tr>
      <w:tr>
        <w:trPr>
          <w:trHeight w:val="86"/>
        </w:trPr>
        <w:tc>
          <w:tcPr>
            <w:tcW w:w="1500" w:type="dxa"/>
            <w:vAlign w:val="bottom"/>
            <w:tcBorders>
              <w:top w:val="single" w:sz="8" w:color="auto"/>
              <w:bottom w:val="single" w:sz="8" w:color="auto"/>
            </w:tcBorders>
            <w:gridSpan w:val="2"/>
            <w:vMerge w:val="restart"/>
          </w:tcPr>
          <w:p>
            <w:pPr>
              <w:spacing w:after="0" w:line="181" w:lineRule="exact"/>
              <w:rPr>
                <w:sz w:val="20"/>
                <w:szCs w:val="20"/>
                <w:color w:val="auto"/>
              </w:rPr>
            </w:pPr>
            <w:r>
              <w:rPr>
                <w:rFonts w:ascii="Times New Roman" w:cs="Times New Roman" w:eastAsia="Times New Roman" w:hAnsi="Times New Roman"/>
                <w:sz w:val="16"/>
                <w:szCs w:val="16"/>
                <w:color w:val="0000FF"/>
              </w:rPr>
              <w:t>Attorney-in-Fact</w:t>
            </w:r>
          </w:p>
        </w:tc>
        <w:tc>
          <w:tcPr>
            <w:tcW w:w="700" w:type="dxa"/>
            <w:vAlign w:val="bottom"/>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500" w:type="dxa"/>
            <w:vAlign w:val="bottom"/>
            <w:gridSpan w:val="2"/>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2"/>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0"/>
          <w:szCs w:val="20"/>
          <w:color w:val="auto"/>
        </w:rPr>
      </w:pPr>
    </w:p>
    <w:p>
      <w:pPr>
        <w:ind w:left="2"/>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0"/>
          <w:szCs w:val="20"/>
          <w:color w:val="auto"/>
        </w:rPr>
      </w:pPr>
    </w:p>
    <w:p>
      <w:pPr>
        <w:jc w:val="both"/>
        <w:ind w:left="2" w:right="3560" w:hanging="2"/>
        <w:spacing w:after="0" w:line="328" w:lineRule="auto"/>
        <w:tabs>
          <w:tab w:leader="none" w:pos="13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2"/>
      </w:cols>
      <w:pgMar w:left="498" w:top="127"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8"/>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29270" TargetMode="External"/><Relationship Id="rId13"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2023-04-18T18:01:05Z</dcterms:created>
  <dcterms:modified xsi:type="dcterms:W3CDTF">2023-04-18T18:01:05Z</dcterms:modified>
</cp:coreProperties>
</file>