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Malcarney Kevin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5"/>
        <w:spacing w:after="0"/>
        <w:rPr>
          <w:sz w:val="20"/>
          <w:szCs w:val="20"/>
          <w:color w:val="auto"/>
        </w:rPr>
      </w:pPr>
      <w:r>
        <w:rPr>
          <w:rFonts w:ascii="Times New Roman" w:cs="Times New Roman" w:eastAsia="Times New Roman" w:hAnsi="Times New Roman"/>
          <w:sz w:val="17"/>
          <w:szCs w:val="17"/>
          <w:color w:val="0000FF"/>
        </w:rPr>
        <w:t>EVP, GEN COUNSEL AND CORP SECR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08540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12/02/2024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762</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80,228</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4,438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Kevin P. Malcarney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12/04/2024</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59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2024-12-04T16:43:09Z</dcterms:created>
  <dcterms:modified xsi:type="dcterms:W3CDTF">2024-12-04T16:43:09Z</dcterms:modified>
</cp:coreProperties>
</file>