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May 4, 2018</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NRG Yield,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202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2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46-1777204</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2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20" w:type="dxa"/>
            <w:vAlign w:val="bottom"/>
          </w:tcPr>
          <w:p>
            <w:pPr>
              <w:jc w:val="center"/>
              <w:ind w:left="33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804 Carnegie Center</w:t>
      </w:r>
    </w:p>
    <w:p>
      <w:pPr>
        <w:jc w:val="center"/>
        <w:ind w:right="-19"/>
        <w:spacing w:after="0" w:line="223" w:lineRule="auto"/>
        <w:rPr>
          <w:sz w:val="20"/>
          <w:szCs w:val="20"/>
          <w:color w:val="auto"/>
        </w:rPr>
      </w:pPr>
      <w:r>
        <w:rPr>
          <w:rFonts w:ascii="Arial" w:cs="Arial" w:eastAsia="Arial" w:hAnsi="Arial"/>
          <w:sz w:val="14"/>
          <w:szCs w:val="14"/>
          <w:b w:val="1"/>
          <w:bCs w:val="1"/>
          <w:color w:val="auto"/>
        </w:rPr>
        <w:t>Princeton, New Jersey 08540</w:t>
      </w:r>
    </w:p>
    <w:p>
      <w:pPr>
        <w:jc w:val="center"/>
        <w:ind w:right="-19"/>
        <w:spacing w:after="0" w:line="222" w:lineRule="auto"/>
        <w:rPr>
          <w:sz w:val="20"/>
          <w:szCs w:val="20"/>
          <w:color w:val="auto"/>
        </w:rPr>
      </w:pPr>
      <w:r>
        <w:rPr>
          <w:rFonts w:ascii="Arial" w:cs="Arial" w:eastAsia="Arial" w:hAnsi="Arial"/>
          <w:sz w:val="14"/>
          <w:szCs w:val="14"/>
          <w:b w:val="1"/>
          <w:bCs w:val="1"/>
          <w:color w:val="auto"/>
        </w:rPr>
        <w:t>(609) 524-4500</w:t>
      </w:r>
    </w:p>
    <w:p>
      <w:pPr>
        <w:jc w:val="center"/>
        <w:ind w:right="-19"/>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Kevin P. Malcarney</w:t>
      </w:r>
    </w:p>
    <w:p>
      <w:pPr>
        <w:jc w:val="center"/>
        <w:ind w:right="-19"/>
        <w:spacing w:after="0" w:line="223" w:lineRule="auto"/>
        <w:rPr>
          <w:sz w:val="20"/>
          <w:szCs w:val="20"/>
          <w:color w:val="auto"/>
        </w:rPr>
      </w:pPr>
      <w:r>
        <w:rPr>
          <w:rFonts w:ascii="Arial" w:cs="Arial" w:eastAsia="Arial" w:hAnsi="Arial"/>
          <w:sz w:val="14"/>
          <w:szCs w:val="14"/>
          <w:b w:val="1"/>
          <w:bCs w:val="1"/>
          <w:color w:val="auto"/>
        </w:rPr>
        <w:t>Interim General Counsel</w:t>
      </w:r>
    </w:p>
    <w:p>
      <w:pPr>
        <w:jc w:val="center"/>
        <w:ind w:right="-19"/>
        <w:spacing w:after="0" w:line="222" w:lineRule="auto"/>
        <w:rPr>
          <w:sz w:val="20"/>
          <w:szCs w:val="20"/>
          <w:color w:val="auto"/>
        </w:rPr>
      </w:pPr>
      <w:r>
        <w:rPr>
          <w:rFonts w:ascii="Arial" w:cs="Arial" w:eastAsia="Arial" w:hAnsi="Arial"/>
          <w:sz w:val="14"/>
          <w:szCs w:val="14"/>
          <w:b w:val="1"/>
          <w:bCs w:val="1"/>
          <w:color w:val="auto"/>
        </w:rPr>
        <w:t>NRG Yield, Inc.</w:t>
      </w:r>
    </w:p>
    <w:p>
      <w:pPr>
        <w:jc w:val="center"/>
        <w:ind w:right="-19"/>
        <w:spacing w:after="0" w:line="221" w:lineRule="auto"/>
        <w:rPr>
          <w:sz w:val="20"/>
          <w:szCs w:val="20"/>
          <w:color w:val="auto"/>
        </w:rPr>
      </w:pPr>
      <w:r>
        <w:rPr>
          <w:rFonts w:ascii="Arial" w:cs="Arial" w:eastAsia="Arial" w:hAnsi="Arial"/>
          <w:sz w:val="14"/>
          <w:szCs w:val="14"/>
          <w:b w:val="1"/>
          <w:bCs w:val="1"/>
          <w:color w:val="auto"/>
        </w:rPr>
        <w:t>804 Carnegie Center</w:t>
      </w:r>
    </w:p>
    <w:p>
      <w:pPr>
        <w:jc w:val="center"/>
        <w:ind w:right="-19"/>
        <w:spacing w:after="0" w:line="222" w:lineRule="auto"/>
        <w:rPr>
          <w:sz w:val="20"/>
          <w:szCs w:val="20"/>
          <w:color w:val="auto"/>
        </w:rPr>
      </w:pPr>
      <w:r>
        <w:rPr>
          <w:rFonts w:ascii="Arial" w:cs="Arial" w:eastAsia="Arial" w:hAnsi="Arial"/>
          <w:sz w:val="14"/>
          <w:szCs w:val="14"/>
          <w:b w:val="1"/>
          <w:bCs w:val="1"/>
          <w:color w:val="auto"/>
        </w:rPr>
        <w:t>Princeton, NJ 08540</w:t>
      </w:r>
    </w:p>
    <w:p>
      <w:pPr>
        <w:jc w:val="center"/>
        <w:ind w:right="-19"/>
        <w:spacing w:after="0" w:line="221" w:lineRule="auto"/>
        <w:rPr>
          <w:sz w:val="20"/>
          <w:szCs w:val="20"/>
          <w:color w:val="auto"/>
        </w:rPr>
      </w:pPr>
      <w:r>
        <w:rPr>
          <w:rFonts w:ascii="Arial" w:cs="Arial" w:eastAsia="Arial" w:hAnsi="Arial"/>
          <w:sz w:val="14"/>
          <w:szCs w:val="14"/>
          <w:b w:val="1"/>
          <w:bCs w:val="1"/>
          <w:color w:val="auto"/>
        </w:rPr>
        <w:t>(609) 524-4500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jc w:val="center"/>
        <w:ind w:right="-19"/>
        <w:spacing w:after="0" w:line="223" w:lineRule="auto"/>
        <w:rPr>
          <w:sz w:val="20"/>
          <w:szCs w:val="20"/>
          <w:color w:val="auto"/>
        </w:rPr>
      </w:pPr>
      <w:r>
        <w:rPr>
          <w:rFonts w:ascii="Arial" w:cs="Arial" w:eastAsia="Arial" w:hAnsi="Arial"/>
          <w:sz w:val="14"/>
          <w:szCs w:val="14"/>
          <w:b w:val="1"/>
          <w:bCs w:val="1"/>
          <w:color w:val="auto"/>
        </w:rPr>
        <w:t>Katayun I. Jaffari</w:t>
      </w:r>
    </w:p>
    <w:p>
      <w:pPr>
        <w:jc w:val="center"/>
        <w:ind w:right="-19"/>
        <w:spacing w:after="0" w:line="222" w:lineRule="auto"/>
        <w:rPr>
          <w:sz w:val="20"/>
          <w:szCs w:val="20"/>
          <w:color w:val="auto"/>
        </w:rPr>
      </w:pPr>
      <w:r>
        <w:rPr>
          <w:rFonts w:ascii="Arial" w:cs="Arial" w:eastAsia="Arial" w:hAnsi="Arial"/>
          <w:sz w:val="14"/>
          <w:szCs w:val="14"/>
          <w:b w:val="1"/>
          <w:bCs w:val="1"/>
          <w:color w:val="auto"/>
        </w:rPr>
        <w:t>Ballard Spahr LLP</w:t>
      </w:r>
    </w:p>
    <w:p>
      <w:pPr>
        <w:jc w:val="center"/>
        <w:ind w:right="-19"/>
        <w:spacing w:after="0" w:line="221" w:lineRule="auto"/>
        <w:rPr>
          <w:sz w:val="20"/>
          <w:szCs w:val="20"/>
          <w:color w:val="auto"/>
        </w:rPr>
      </w:pPr>
      <w:r>
        <w:rPr>
          <w:rFonts w:ascii="Arial" w:cs="Arial" w:eastAsia="Arial" w:hAnsi="Arial"/>
          <w:sz w:val="14"/>
          <w:szCs w:val="14"/>
          <w:b w:val="1"/>
          <w:bCs w:val="1"/>
          <w:color w:val="auto"/>
        </w:rPr>
        <w:t>1735 Market Street, 51st Floor</w:t>
      </w:r>
    </w:p>
    <w:p>
      <w:pPr>
        <w:jc w:val="center"/>
        <w:ind w:right="-19"/>
        <w:spacing w:after="0" w:line="222" w:lineRule="auto"/>
        <w:rPr>
          <w:sz w:val="20"/>
          <w:szCs w:val="20"/>
          <w:color w:val="auto"/>
        </w:rPr>
      </w:pPr>
      <w:r>
        <w:rPr>
          <w:rFonts w:ascii="Arial" w:cs="Arial" w:eastAsia="Arial" w:hAnsi="Arial"/>
          <w:sz w:val="14"/>
          <w:szCs w:val="14"/>
          <w:b w:val="1"/>
          <w:bCs w:val="1"/>
          <w:color w:val="auto"/>
        </w:rPr>
        <w:t>Philadelphia, PA 19103</w:t>
      </w:r>
    </w:p>
    <w:p>
      <w:pPr>
        <w:jc w:val="center"/>
        <w:ind w:right="-19"/>
        <w:spacing w:after="0"/>
        <w:rPr>
          <w:sz w:val="20"/>
          <w:szCs w:val="20"/>
          <w:color w:val="auto"/>
        </w:rPr>
      </w:pPr>
      <w:r>
        <w:rPr>
          <w:rFonts w:ascii="Arial" w:cs="Arial" w:eastAsia="Arial" w:hAnsi="Arial"/>
          <w:sz w:val="14"/>
          <w:szCs w:val="14"/>
          <w:b w:val="1"/>
          <w:bCs w:val="1"/>
          <w:color w:val="auto"/>
        </w:rPr>
        <w:t>(215) 665-8500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on or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80" w:firstLine="371"/>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85" w:right="239" w:bottom="0" w:gutter="0" w:footer="0" w:header="0"/>
        </w:sectPr>
      </w:pPr>
    </w:p>
    <w:p>
      <w:pPr>
        <w:spacing w:after="0" w:line="123" w:lineRule="exact"/>
        <w:rPr>
          <w:sz w:val="24"/>
          <w:szCs w:val="24"/>
          <w:color w:val="auto"/>
        </w:rPr>
      </w:pPr>
    </w:p>
    <w:p>
      <w:pPr>
        <w:ind w:left="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540"/>
        <w:spacing w:after="0"/>
        <w:rPr>
          <w:sz w:val="20"/>
          <w:szCs w:val="20"/>
          <w:color w:val="auto"/>
        </w:rPr>
      </w:pPr>
      <w:r>
        <w:rPr>
          <w:rFonts w:ascii="Arial" w:cs="Arial" w:eastAsia="Arial" w:hAnsi="Arial"/>
          <w:sz w:val="14"/>
          <w:szCs w:val="14"/>
          <w:color w:val="auto"/>
        </w:rPr>
        <w:t>Non-accelerated filer o</w:t>
      </w:r>
    </w:p>
    <w:p>
      <w:pPr>
        <w:jc w:val="center"/>
        <w:ind w:right="1540"/>
        <w:spacing w:after="0" w:line="221" w:lineRule="auto"/>
        <w:rPr>
          <w:sz w:val="20"/>
          <w:szCs w:val="20"/>
          <w:color w:val="auto"/>
        </w:rPr>
      </w:pPr>
      <w:r>
        <w:rPr>
          <w:rFonts w:ascii="Arial" w:cs="Arial" w:eastAsia="Arial" w:hAnsi="Arial"/>
          <w:sz w:val="14"/>
          <w:szCs w:val="14"/>
          <w:color w:val="auto"/>
        </w:rPr>
        <w:t>(Do not check if</w:t>
      </w:r>
    </w:p>
    <w:p>
      <w:pPr>
        <w:jc w:val="center"/>
        <w:ind w:right="15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4"/>
          <w:szCs w:val="24"/>
          <w:color w:val="auto"/>
        </w:rPr>
      </w:pPr>
    </w:p>
    <w:p>
      <w:pPr>
        <w:sectPr>
          <w:pgSz w:w="11900" w:h="16838" w:orient="portrait"/>
          <w:cols w:equalWidth="0" w:num="4">
            <w:col w:w="2040" w:space="720"/>
            <w:col w:w="2540" w:space="720"/>
            <w:col w:w="3040" w:space="720"/>
            <w:col w:w="1640"/>
          </w:cols>
          <w:pgMar w:left="240" w:top="685" w:right="239" w:bottom="0" w:gutter="0" w:footer="0" w:header="0"/>
          <w:type w:val="continuous"/>
        </w:sectPr>
      </w:pPr>
    </w:p>
    <w:p>
      <w:pPr>
        <w:spacing w:after="0" w:line="15"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ectPr>
          <w:pgSz w:w="11900" w:h="16838" w:orient="portrait"/>
          <w:cols w:equalWidth="0" w:num="1">
            <w:col w:w="11420"/>
          </w:cols>
          <w:pgMar w:left="240" w:top="685" w:right="239" w:bottom="0" w:gutter="0" w:footer="0" w:header="0"/>
          <w:type w:val="continuous"/>
        </w:sectPr>
      </w:pPr>
    </w:p>
    <w:bookmarkStart w:id="1" w:name="page2"/>
    <w:bookmarkEnd w:id="1"/>
    <w:p>
      <w:pPr>
        <w:jc w:val="center"/>
        <w:ind w:right="-251"/>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632"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760" w:type="dxa"/>
            <w:vAlign w:val="bottom"/>
            <w:tcBorders>
              <w:top w:val="single" w:sz="8" w:color="auto"/>
              <w:bottom w:val="single" w:sz="8" w:color="auto"/>
            </w:tcBorders>
          </w:tcPr>
          <w:p>
            <w:pPr>
              <w:spacing w:after="0"/>
              <w:rPr>
                <w:sz w:val="3"/>
                <w:szCs w:val="3"/>
                <w:color w:val="auto"/>
              </w:rPr>
            </w:pPr>
          </w:p>
        </w:tc>
        <w:tc>
          <w:tcPr>
            <w:tcW w:w="31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3180" w:type="dxa"/>
            <w:vAlign w:val="bottom"/>
          </w:tcPr>
          <w:p>
            <w:pPr>
              <w:jc w:val="center"/>
              <w:ind w:left="493"/>
              <w:spacing w:after="0" w:line="117" w:lineRule="exact"/>
              <w:rPr>
                <w:sz w:val="20"/>
                <w:szCs w:val="20"/>
                <w:color w:val="auto"/>
              </w:rPr>
            </w:pPr>
            <w:r>
              <w:rPr>
                <w:rFonts w:ascii="Arial" w:cs="Arial" w:eastAsia="Arial" w:hAnsi="Arial"/>
                <w:sz w:val="12"/>
                <w:szCs w:val="12"/>
                <w:b w:val="1"/>
                <w:bCs w:val="1"/>
                <w:color w:val="auto"/>
              </w:rPr>
              <w:t>Amount to be Registered/Proposed</w:t>
            </w:r>
          </w:p>
        </w:tc>
        <w:tc>
          <w:tcPr>
            <w:tcW w:w="1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7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318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91"/>
              </w:rPr>
              <w:t>Maximum Offering Price per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760" w:type="dxa"/>
            <w:vAlign w:val="bottom"/>
            <w:tcBorders>
              <w:bottom w:val="single" w:sz="8" w:color="auto"/>
            </w:tcBorders>
          </w:tcPr>
          <w:p>
            <w:pPr>
              <w:jc w:val="center"/>
              <w:ind w:left="452"/>
              <w:spacing w:after="0"/>
              <w:rPr>
                <w:sz w:val="20"/>
                <w:szCs w:val="20"/>
                <w:color w:val="auto"/>
              </w:rPr>
            </w:pPr>
            <w:r>
              <w:rPr>
                <w:rFonts w:ascii="Arial" w:cs="Arial" w:eastAsia="Arial" w:hAnsi="Arial"/>
                <w:sz w:val="14"/>
                <w:szCs w:val="14"/>
                <w:b w:val="1"/>
                <w:bCs w:val="1"/>
                <w:color w:val="auto"/>
                <w:w w:val="83"/>
              </w:rPr>
              <w:t>to be Registered</w:t>
            </w:r>
          </w:p>
        </w:tc>
        <w:tc>
          <w:tcPr>
            <w:tcW w:w="3180" w:type="dxa"/>
            <w:vAlign w:val="bottom"/>
            <w:tcBorders>
              <w:bottom w:val="single" w:sz="8" w:color="auto"/>
            </w:tcBorders>
          </w:tcPr>
          <w:p>
            <w:pPr>
              <w:jc w:val="center"/>
              <w:ind w:left="493"/>
              <w:spacing w:after="0"/>
              <w:rPr>
                <w:sz w:val="20"/>
                <w:szCs w:val="20"/>
                <w:color w:val="auto"/>
              </w:rPr>
            </w:pPr>
            <w:r>
              <w:rPr>
                <w:rFonts w:ascii="Arial" w:cs="Arial" w:eastAsia="Arial" w:hAnsi="Arial"/>
                <w:sz w:val="14"/>
                <w:szCs w:val="14"/>
                <w:b w:val="1"/>
                <w:bCs w:val="1"/>
                <w:color w:val="auto"/>
                <w:w w:val="89"/>
              </w:rPr>
              <w:t>Unit/Proposed Maximum Offering 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common stock, par value $0.01 per share</w:t>
            </w:r>
          </w:p>
        </w:tc>
        <w:tc>
          <w:tcPr>
            <w:tcW w:w="3180" w:type="dxa"/>
            <w:vAlign w:val="bottom"/>
            <w:tcBorders>
              <w:bottom w:val="single" w:sz="8" w:color="auto"/>
            </w:tcBorders>
          </w:tcPr>
          <w:p>
            <w:pPr>
              <w:jc w:val="center"/>
              <w:ind w:left="473"/>
              <w:spacing w:after="0"/>
              <w:rPr>
                <w:sz w:val="20"/>
                <w:szCs w:val="20"/>
                <w:color w:val="auto"/>
              </w:rPr>
            </w:pPr>
            <w:r>
              <w:rPr>
                <w:rFonts w:ascii="Arial" w:cs="Arial" w:eastAsia="Arial" w:hAnsi="Arial"/>
                <w:sz w:val="14"/>
                <w:szCs w:val="14"/>
                <w:color w:val="auto"/>
                <w:w w:val="93"/>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r>
      <w:tr>
        <w:trPr>
          <w:trHeight w:val="16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Class C common stock, par value $0.01 per share</w:t>
            </w:r>
          </w:p>
        </w:tc>
        <w:tc>
          <w:tcPr>
            <w:tcW w:w="3180" w:type="dxa"/>
            <w:vAlign w:val="bottom"/>
            <w:tcBorders>
              <w:bottom w:val="single" w:sz="8" w:color="auto"/>
            </w:tcBorders>
          </w:tcPr>
          <w:p>
            <w:pPr>
              <w:jc w:val="center"/>
              <w:ind w:left="473"/>
              <w:spacing w:after="0"/>
              <w:rPr>
                <w:sz w:val="20"/>
                <w:szCs w:val="20"/>
                <w:color w:val="auto"/>
              </w:rPr>
            </w:pPr>
            <w:r>
              <w:rPr>
                <w:rFonts w:ascii="Arial" w:cs="Arial" w:eastAsia="Arial" w:hAnsi="Arial"/>
                <w:sz w:val="14"/>
                <w:szCs w:val="14"/>
                <w:color w:val="auto"/>
                <w:w w:val="93"/>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r>
      <w:tr>
        <w:trPr>
          <w:trHeight w:val="16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Debt Securities</w:t>
            </w:r>
          </w:p>
        </w:tc>
        <w:tc>
          <w:tcPr>
            <w:tcW w:w="3180" w:type="dxa"/>
            <w:vAlign w:val="bottom"/>
            <w:tcBorders>
              <w:bottom w:val="single" w:sz="8" w:color="auto"/>
            </w:tcBorders>
          </w:tcPr>
          <w:p>
            <w:pPr>
              <w:jc w:val="center"/>
              <w:ind w:left="473"/>
              <w:spacing w:after="0"/>
              <w:rPr>
                <w:sz w:val="20"/>
                <w:szCs w:val="20"/>
                <w:color w:val="auto"/>
              </w:rPr>
            </w:pPr>
            <w:r>
              <w:rPr>
                <w:rFonts w:ascii="Arial" w:cs="Arial" w:eastAsia="Arial" w:hAnsi="Arial"/>
                <w:sz w:val="14"/>
                <w:szCs w:val="14"/>
                <w:color w:val="auto"/>
                <w:w w:val="93"/>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r>
      <w:tr>
        <w:trPr>
          <w:trHeight w:val="16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Preferred Stock</w:t>
            </w:r>
          </w:p>
        </w:tc>
        <w:tc>
          <w:tcPr>
            <w:tcW w:w="3180" w:type="dxa"/>
            <w:vAlign w:val="bottom"/>
            <w:tcBorders>
              <w:bottom w:val="single" w:sz="8" w:color="auto"/>
            </w:tcBorders>
          </w:tcPr>
          <w:p>
            <w:pPr>
              <w:jc w:val="center"/>
              <w:ind w:left="473"/>
              <w:spacing w:after="0"/>
              <w:rPr>
                <w:sz w:val="20"/>
                <w:szCs w:val="20"/>
                <w:color w:val="auto"/>
              </w:rPr>
            </w:pPr>
            <w:r>
              <w:rPr>
                <w:rFonts w:ascii="Arial" w:cs="Arial" w:eastAsia="Arial" w:hAnsi="Arial"/>
                <w:sz w:val="14"/>
                <w:szCs w:val="14"/>
                <w:color w:val="auto"/>
                <w:w w:val="93"/>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32" w:hanging="532"/>
        <w:spacing w:after="0" w:line="278" w:lineRule="auto"/>
        <w:tabs>
          <w:tab w:leader="none" w:pos="532"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unspecified aggregate initial offering price, principal amount or number of securities of each identified class is being registered as may from time to time be issued at unspecified prices or upon conversion of, or in exchange for, or upon exercise of securities registered hereunder to the extent any such securities are, by their terms, convertible into, or exchangeable or exercisable for, such securities. Separate consideration may or may not be received for securities that are issuable upon conversion of, or in exchange for, or upon exercise of, convertible or exchangeable securities. The Registrant is deferring payment of the registration fee pursuant to Rule 456(b) and is omitting this information in reliance on Rule 456(b) and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127" w:right="4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2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Class A common stock is traded on the New York Stock Exchange under the symbol "NYLD.A." Our Class C common stock is traded on the New York Stock Exchange under the symbol "NYLD."</w:t>
      </w:r>
    </w:p>
    <w:p>
      <w:pPr>
        <w:spacing w:after="0" w:line="167" w:lineRule="exact"/>
        <w:rPr>
          <w:sz w:val="20"/>
          <w:szCs w:val="20"/>
          <w:color w:val="auto"/>
        </w:rPr>
      </w:pPr>
    </w:p>
    <w:p>
      <w:pPr>
        <w:ind w:right="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gridSpan w:val="3"/>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4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iii</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59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USE OF PROCEEDS</w:t>
              </w:r>
            </w:hyperlink>
          </w:p>
        </w:tc>
        <w:tc>
          <w:tcPr>
            <w:tcW w:w="7240" w:type="dxa"/>
            <w:vAlign w:val="bottom"/>
            <w:gridSpan w:val="9"/>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5380" w:type="dxa"/>
            <w:vAlign w:val="bottom"/>
            <w:gridSpan w:val="3"/>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DESCRIPTION OF DEBT SECURITIES</w:t>
              </w:r>
            </w:hyperlink>
          </w:p>
        </w:tc>
        <w:tc>
          <w:tcPr>
            <w:tcW w:w="584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PLAN OF DISTRIBUTION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16</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6800" w:type="dxa"/>
            <w:vAlign w:val="bottom"/>
            <w:gridSpan w:val="8"/>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380" w:type="dxa"/>
            <w:vAlign w:val="bottom"/>
            <w:gridSpan w:val="10"/>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BY REFERENCE OF CERTAIN INFORMATION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WHERE YOU CAN FIND MORE INFORMATION</w:t>
              </w:r>
            </w:hyperlink>
          </w:p>
        </w:tc>
        <w:tc>
          <w:tcPr>
            <w:tcW w:w="1320" w:type="dxa"/>
            <w:vAlign w:val="bottom"/>
            <w:tcBorders>
              <w:top w:val="single" w:sz="8" w:color="0000EE"/>
            </w:tcBorders>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19</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72"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186"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 (as defined below);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assets from NRG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9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government regulation, including compliance with regulatory requirements and changes in market rules, rates, tariffs and environmental laws;</w:t>
      </w:r>
    </w:p>
    <w:p>
      <w:pPr>
        <w:spacing w:after="0" w:line="261"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6"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Minimized impact to cash available for distribution ("CAFD") from potential change in control costs </w:t>
      </w:r>
      <w:r>
        <w:rPr>
          <w:rFonts w:ascii="Arial" w:cs="Arial" w:eastAsia="Arial" w:hAnsi="Arial"/>
          <w:sz w:val="18"/>
          <w:szCs w:val="18"/>
          <w:color w:val="auto"/>
        </w:rPr>
        <w:t>—No more than $10 million in reduced annual CAFD</w:t>
      </w:r>
      <w:r>
        <w:rPr>
          <w:rFonts w:ascii="Arial" w:cs="Arial" w:eastAsia="Arial" w:hAnsi="Arial"/>
          <w:sz w:val="18"/>
          <w:szCs w:val="18"/>
          <w:i w:val="1"/>
          <w:iCs w:val="1"/>
          <w:color w:val="auto"/>
        </w:rPr>
        <w:t xml:space="preserve"> </w:t>
      </w:r>
      <w:r>
        <w:rPr>
          <w:rFonts w:ascii="Arial" w:cs="Arial" w:eastAsia="Arial" w:hAnsi="Arial"/>
          <w:sz w:val="18"/>
          <w:szCs w:val="18"/>
          <w:color w:val="auto"/>
        </w:rPr>
        <w:t>on a recurring basis that would result from changes in our cost structure or any impact from various consents.</w:t>
      </w:r>
    </w:p>
    <w:p>
      <w:pPr>
        <w:spacing w:after="0" w:line="18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i w:val="1"/>
          <w:iCs w:val="1"/>
          <w:color w:val="auto"/>
        </w:rPr>
        <w:t>Enhanced Right of First Offer ("ROFO") pipeline</w:t>
      </w:r>
      <w:r>
        <w:rPr>
          <w:rFonts w:ascii="Arial" w:cs="Arial" w:eastAsia="Arial" w:hAnsi="Arial"/>
          <w:sz w:val="16"/>
          <w:szCs w:val="16"/>
          <w:color w:val="auto"/>
        </w:rPr>
        <w:t>—Upon closing of the NRG Transaction, we will enter into a new right of first offer agreement with GIP</w:t>
      </w:r>
      <w:r>
        <w:rPr>
          <w:rFonts w:ascii="Arial" w:cs="Arial" w:eastAsia="Arial" w:hAnsi="Arial"/>
          <w:sz w:val="16"/>
          <w:szCs w:val="16"/>
          <w:i w:val="1"/>
          <w:iCs w:val="1"/>
          <w:color w:val="auto"/>
        </w:rPr>
        <w:t xml:space="preserve"> </w:t>
      </w:r>
      <w:r>
        <w:rPr>
          <w:rFonts w:ascii="Arial" w:cs="Arial" w:eastAsia="Arial" w:hAnsi="Arial"/>
          <w:sz w:val="16"/>
          <w:szCs w:val="16"/>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6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i w:val="1"/>
          <w:iCs w:val="1"/>
          <w:color w:val="auto"/>
        </w:rPr>
        <w:t>Financial cooperation and support</w:t>
      </w:r>
      <w:r>
        <w:rPr>
          <w:rFonts w:ascii="Arial" w:cs="Arial" w:eastAsia="Arial" w:hAnsi="Arial"/>
          <w:sz w:val="16"/>
          <w:szCs w:val="16"/>
          <w:color w:val="auto"/>
        </w:rPr>
        <w:t>—GIP has arranged a $1.5 billion backstop credit facility to manage any change of control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GIP has also committed to provide up to $400 million in financial support, if necessary, for our purchase of the Carlsbad Energy Center.</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Voting and Governance Agreement</w:t>
      </w:r>
      <w:r>
        <w:rPr>
          <w:rFonts w:ascii="Arial" w:cs="Arial" w:eastAsia="Arial" w:hAnsi="Arial"/>
          <w:sz w:val="18"/>
          <w:szCs w:val="18"/>
          <w:color w:val="auto"/>
        </w:rPr>
        <w:t>—As part of the NRG Transaction, the parties have agreed to enter into a voting and governance agreement,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w:t>
      </w:r>
    </w:p>
    <w:p>
      <w:pPr>
        <w:spacing w:after="0" w:line="19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Chief Executive Officer will at all times be a full-time Company employee appointed by the Board of Directors of the Company (the "Board");</w:t>
      </w:r>
    </w:p>
    <w:p>
      <w:pPr>
        <w:spacing w:after="0" w:line="275"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67" w:lineRule="exact"/>
        <w:rPr>
          <w:sz w:val="20"/>
          <w:szCs w:val="20"/>
          <w:color w:val="auto"/>
        </w:rPr>
      </w:pPr>
    </w:p>
    <w:p>
      <w:pPr>
        <w:ind w:right="440" w:firstLine="345"/>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of which 34,586,250 shares are issued and outstanding;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of which 42,738,750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of which 65,343,576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of which 42,738,750 shares are issued and outstanding;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A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A common stock will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incorporation or required by law, all matters to be voted on by holders of our Class A common stock, Class B common stock, Class C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Class D common stock must be approved by a majority, on a combined basis, of such shares present in person or by proxy at the meeting and entitled to vote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 by all shares of our common stock on a combined basis.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NYSE under the symbol "NYLD.A."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B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B common stock do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Except in respect of matters relating to the election and removal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restated certificate of incorporation provides that a special meeting of stockholders may be called only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by a resolution adopted by the affirmative vote of a majority of the total number of directors then in office.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Our restated certificate of incorporation and our third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cannot act by written consent in lieu of a meeting.</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 our bylaws or adopt new bylaws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total number of directors then in office.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advanced more than 30 days before or delayed more than 70 days after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preceding year's annual meeting, notice by the stockholder must be delivered not earlier than the close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332" w:lineRule="auto"/>
        <w:rPr>
          <w:sz w:val="20"/>
          <w:szCs w:val="20"/>
          <w:color w:val="auto"/>
        </w:rPr>
      </w:pPr>
      <w:r>
        <w:rPr>
          <w:rFonts w:ascii="Arial" w:cs="Arial" w:eastAsia="Arial" w:hAnsi="Arial"/>
          <w:sz w:val="16"/>
          <w:szCs w:val="16"/>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53" w:lineRule="exact"/>
        <w:rPr>
          <w:sz w:val="20"/>
          <w:szCs w:val="20"/>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94"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Amended and Restated Limited Liability Company Agreement of Yield LLC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material terms of Yield LLC's third amended and restated limited liability company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Yield LLC has issued four classes of units: Class A units and Class C units, which may only be issued to Yield Inc., as the sole managing member,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B units and Class D units, which may only be issued to NRG and held by NRG or its permitted transferees. Units of each of the four classes have equivalent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economic and other rights, except that upon issuance, each holder of a Class B unit will also be issued a share of our Class B common stock and each holder of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Class D unit will also be issued a share of our Class D common stock. Each Class B unit is exchangeable for a share of our Class A common stock,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equitable adjustments for stock splits, dividends and reclassifications in accordance with the terms of the Amended and Restated Exchange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described below), and each Class D unit is exchangeable for a share of our Class C common stock, subject to equitable adjustments for stock splits, dividends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in accordance with the terms of the Amended and Restated Exchange Agreement. When NRG or its permitted transferee exchanges a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of Yield LLC for a share of our Class A common stock, we will automatically redeem and cancel a corresponding share of our Class B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Class B unit will automatically convert into a Class A unit of Yield LLC issued to us. When NRG or its permitted transferee exchanges a Class D unit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Yield LLC for a share of our Class C common stock, we will automatically redeem and cancel a corresponding share of our Class D common stock,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D unit will automatically convert into a Class C unit of Yield LLC issued to us. None of the units have any voting rights.</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Yield Inc. and Yield LLC</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99" w:lineRule="exact"/>
        <w:rPr>
          <w:sz w:val="20"/>
          <w:szCs w:val="20"/>
          <w:color w:val="auto"/>
        </w:rPr>
      </w:pPr>
    </w:p>
    <w:p>
      <w:pPr>
        <w:ind w:left="1080" w:right="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12"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7"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dates on which interest will accrue or the method for determining dates on which interest will accrue and dates on which interest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Unless we indicate otherwise in the applicable prospectus supplement, agents will act on a best efforts basis for the period of their appointment.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use an underwriter or underwriters, we will execute an underwriting agreement with the underwriter or underwriters at the time that we reach an agreement for the sale of the securities.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238" w:lineRule="exact"/>
        <w:rPr>
          <w:rFonts w:ascii="Arial" w:cs="Arial" w:eastAsia="Arial" w:hAnsi="Arial"/>
          <w:sz w:val="18"/>
          <w:szCs w:val="18"/>
          <w:color w:val="auto"/>
        </w:rPr>
      </w:pPr>
    </w:p>
    <w:p>
      <w:pPr>
        <w:jc w:val="center"/>
        <w:ind w:left="5620" w:right="132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7"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199" w:lineRule="exact"/>
        <w:rPr>
          <w:sz w:val="20"/>
          <w:szCs w:val="20"/>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describe in the applicable prospectus supplement the commission that underwriters and agents soliciting purchases of the securities under delayed contracts will be entitled to receive.</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1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1, 2018.</w:t>
      </w:r>
    </w:p>
    <w:p>
      <w:pPr>
        <w:spacing w:after="0" w:line="25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on March 15, 2018.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on May 3,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Current Reports on Form 8-K filed on February 7, 2018, February 12, 2018, March 22, 2018, April 2, 2018, April 5, 2018 and April 27, 2018.</w:t>
      </w:r>
    </w:p>
    <w:p>
      <w:pPr>
        <w:spacing w:after="0" w:line="275"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Class A common stock and our Class C common stock contained in the Registration Statement on Form 8-A/A filed with the SEC on May 8, 2015, to register such securities under the Exchange Act including any amendment or report filed for the purpose of updating such description.</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NRG Yield,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524-4500</w:t>
      </w:r>
    </w:p>
    <w:p>
      <w:pPr>
        <w:spacing w:after="0" w:line="32" w:lineRule="exact"/>
        <w:rPr>
          <w:rFonts w:ascii="Arial" w:cs="Arial" w:eastAsia="Arial" w:hAnsi="Arial"/>
          <w:sz w:val="16"/>
          <w:szCs w:val="16"/>
          <w:color w:val="auto"/>
        </w:rPr>
      </w:pPr>
    </w:p>
    <w:p>
      <w:pPr>
        <w:ind w:left="4640"/>
        <w:spacing w:after="0"/>
        <w:rPr>
          <w:rFonts w:ascii="Arial" w:cs="Arial" w:eastAsia="Arial" w:hAnsi="Arial"/>
          <w:sz w:val="16"/>
          <w:szCs w:val="16"/>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67"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624840</wp:posOffset>
            </wp:positionV>
            <wp:extent cx="2778760" cy="64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0"/>
        <w:spacing w:after="0"/>
        <w:rPr>
          <w:sz w:val="20"/>
          <w:szCs w:val="20"/>
          <w:color w:val="auto"/>
        </w:rPr>
      </w:pPr>
      <w:r>
        <w:rPr>
          <w:rFonts w:ascii="Arial" w:cs="Arial" w:eastAsia="Arial" w:hAnsi="Arial"/>
          <w:sz w:val="32"/>
          <w:szCs w:val="32"/>
          <w:b w:val="1"/>
          <w:bCs w:val="1"/>
          <w:color w:val="auto"/>
        </w:rPr>
        <w:t>NRG Yield,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Class A Common Stock</w:t>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Class C Common Stock</w:t>
      </w:r>
    </w:p>
    <w:p>
      <w:pPr>
        <w:spacing w:after="0" w:line="42"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Preferred Stock</w:t>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statement of the estimated expenses, to be paid solely by the registrant, of the issuance and distribution of the securities being registered hereby:</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to</w:t>
            </w:r>
          </w:p>
        </w:tc>
      </w:tr>
      <w:tr>
        <w:trPr>
          <w:trHeight w:val="161"/>
        </w:trPr>
        <w:tc>
          <w:tcPr>
            <w:tcW w:w="2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be Paid</w:t>
            </w:r>
          </w:p>
        </w:tc>
        <w:tc>
          <w:tcPr>
            <w:tcW w:w="520" w:type="dxa"/>
            <w:vAlign w:val="bottom"/>
          </w:tcPr>
          <w:p>
            <w:pPr>
              <w:spacing w:after="0"/>
              <w:rPr>
                <w:sz w:val="14"/>
                <w:szCs w:val="14"/>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Stock exchange listing fees.</w:t>
            </w:r>
          </w:p>
        </w:tc>
        <w:tc>
          <w:tcPr>
            <w:tcW w:w="1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1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Trustee's fees and expenses</w:t>
            </w:r>
          </w:p>
        </w:tc>
        <w:tc>
          <w:tcPr>
            <w:tcW w:w="1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r>
      <w:tr>
        <w:trPr>
          <w:trHeight w:val="102"/>
        </w:trPr>
        <w:tc>
          <w:tcPr>
            <w:tcW w:w="212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w:t>
      </w:r>
    </w:p>
    <w:p>
      <w:pPr>
        <w:spacing w:after="0" w:line="252" w:lineRule="exact"/>
        <w:rPr>
          <w:sz w:val="20"/>
          <w:szCs w:val="20"/>
          <w:color w:val="auto"/>
        </w:rPr>
      </w:pPr>
    </w:p>
    <w:p>
      <w:pPr>
        <w:ind w:left="2260" w:right="80" w:hanging="540"/>
        <w:spacing w:after="0" w:line="268" w:lineRule="auto"/>
        <w:tabs>
          <w:tab w:leader="none" w:pos="2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for this limitation of liability.</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DGCL, or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third amended and restated bylaws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16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have entered into indemnification agreements with certain of our executive officers and directors pursuant to which we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indemnification rights set forth above are not exclusive of any other right which an indemnified person may have or hereafter acquire under any statute, provision of our restated certificate of incorporation, our third amended and restated bylaws, agreement, vote of stockholders or disinterested directors or otherwise.</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attached Exhibit Index which is incorporated into this registration statement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1620" w:right="20" w:hanging="532"/>
        <w:spacing w:after="0" w:line="294" w:lineRule="auto"/>
        <w:tabs>
          <w:tab w:leader="none" w:pos="16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80"/>
        <w:spacing w:after="0" w:line="370" w:lineRule="auto"/>
        <w:rPr>
          <w:sz w:val="20"/>
          <w:szCs w:val="20"/>
          <w:color w:val="auto"/>
        </w:rPr>
      </w:pPr>
      <w:r>
        <w:rPr>
          <w:rFonts w:ascii="Arial" w:cs="Arial" w:eastAsia="Arial" w:hAnsi="Arial"/>
          <w:sz w:val="15"/>
          <w:szCs w:val="15"/>
          <w:color w:val="auto"/>
        </w:rPr>
        <w:t>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30" w:lineRule="exact"/>
        <w:rPr>
          <w:sz w:val="20"/>
          <w:szCs w:val="20"/>
          <w:color w:val="auto"/>
        </w:rPr>
      </w:pPr>
    </w:p>
    <w:p>
      <w:pPr>
        <w:ind w:left="1620" w:right="300" w:hanging="532"/>
        <w:spacing w:after="0" w:line="268"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540" w:right="8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ind w:left="1080" w:right="4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rFonts w:ascii="Arial" w:cs="Arial" w:eastAsia="Arial" w:hAnsi="Arial"/>
          <w:sz w:val="16"/>
          <w:szCs w:val="16"/>
          <w:color w:val="auto"/>
        </w:rPr>
      </w:pP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to sold to such purchaser by means of any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following communications, the undersigned registrant will be a seller to the purchaser and will be considered to offer or sell such securities to such purchaser:</w:t>
      </w:r>
    </w:p>
    <w:p>
      <w:pPr>
        <w:spacing w:after="0" w:line="199" w:lineRule="exact"/>
        <w:rPr>
          <w:sz w:val="20"/>
          <w:szCs w:val="20"/>
          <w:color w:val="auto"/>
        </w:rPr>
      </w:pPr>
    </w:p>
    <w:p>
      <w:pPr>
        <w:ind w:left="1620" w:hanging="532"/>
        <w:spacing w:after="0"/>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200" w:hanging="532"/>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100" w:hanging="532"/>
        <w:spacing w:after="0" w:line="289"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referred to in Item 15, or otherwise, each of the registrants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rFonts w:ascii="Arial" w:cs="Arial" w:eastAsia="Arial" w:hAnsi="Arial"/>
          <w:sz w:val="16"/>
          <w:szCs w:val="16"/>
          <w:color w:val="auto"/>
        </w:rPr>
      </w:pPr>
    </w:p>
    <w:p>
      <w:pPr>
        <w:ind w:left="540" w:right="14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("Act") in accordance with the rules and regulations prescribed by the Securities and Exchange Commission under section 305(b)(2) of the 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52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26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Method of Filing</w:t>
            </w:r>
          </w:p>
        </w:tc>
      </w:tr>
      <w:tr>
        <w:trPr>
          <w:trHeight w:val="201"/>
        </w:trPr>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9"/>
              </w:rPr>
              <w:t>Form of Underwriting Agreement.</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To be filed by an amendment or an exhibit to a</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89"/>
              </w:rPr>
              <w:t>document to be incorporated or deemed incorporated by</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w w:val="99"/>
              </w:rPr>
              <w:t>reference to this registration statement, including a</w:t>
            </w:r>
          </w:p>
        </w:tc>
      </w:tr>
      <w:tr>
        <w:trPr>
          <w:trHeight w:val="222"/>
        </w:trPr>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Arial" w:cs="Arial" w:eastAsia="Arial" w:hAnsi="Arial"/>
                <w:sz w:val="18"/>
                <w:szCs w:val="18"/>
                <w:color w:val="auto"/>
              </w:rPr>
              <w:t>Current Report on Form 8-K.</w:t>
            </w:r>
          </w:p>
        </w:tc>
      </w:tr>
    </w:tbl>
    <w:p>
      <w:pPr>
        <w:spacing w:after="0" w:line="200" w:lineRule="exact"/>
        <w:rPr>
          <w:sz w:val="20"/>
          <w:szCs w:val="20"/>
          <w:color w:val="auto"/>
        </w:rPr>
      </w:pPr>
    </w:p>
    <w:p>
      <w:pPr>
        <w:sectPr>
          <w:pgSz w:w="11900" w:h="16838" w:orient="portrait"/>
          <w:cols w:equalWidth="0" w:num="1">
            <w:col w:w="10280"/>
          </w:cols>
          <w:pgMar w:left="240" w:top="131" w:right="1379" w:bottom="1440" w:gutter="0" w:footer="0" w:header="0"/>
        </w:sectPr>
      </w:pPr>
    </w:p>
    <w:p>
      <w:pPr>
        <w:spacing w:after="0" w:line="10" w:lineRule="exact"/>
        <w:rPr>
          <w:sz w:val="20"/>
          <w:szCs w:val="20"/>
          <w:color w:val="auto"/>
        </w:rPr>
      </w:pPr>
    </w:p>
    <w:p>
      <w:pPr>
        <w:ind w:left="2060" w:hanging="408"/>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1">
        <w:r>
          <w:rPr>
            <w:rFonts w:ascii="Arial" w:cs="Arial" w:eastAsia="Arial" w:hAnsi="Arial"/>
            <w:sz w:val="18"/>
            <w:szCs w:val="18"/>
            <w:u w:val="single" w:color="auto"/>
            <w:color w:val="0000EE"/>
          </w:rPr>
          <w:t>Restated Certificate of Incorporation of NRG Yield, Inc.,</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dated as of May 2, 2016</w:t>
        </w:r>
      </w:hyperlink>
    </w:p>
    <w:p>
      <w:pPr>
        <w:spacing w:after="0" w:line="200" w:lineRule="exact"/>
        <w:rPr>
          <w:sz w:val="20"/>
          <w:szCs w:val="20"/>
          <w:color w:val="auto"/>
        </w:rPr>
      </w:pPr>
    </w:p>
    <w:p>
      <w:pPr>
        <w:spacing w:after="0" w:line="202" w:lineRule="exact"/>
        <w:rPr>
          <w:sz w:val="20"/>
          <w:szCs w:val="20"/>
          <w:color w:val="auto"/>
        </w:rPr>
      </w:pPr>
    </w:p>
    <w:p>
      <w:pPr>
        <w:ind w:left="2060" w:right="580" w:hanging="408"/>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52">
        <w:r>
          <w:rPr>
            <w:rFonts w:ascii="Arial" w:cs="Arial" w:eastAsia="Arial" w:hAnsi="Arial"/>
            <w:sz w:val="18"/>
            <w:szCs w:val="18"/>
            <w:u w:val="single" w:color="auto"/>
            <w:color w:val="0000EE"/>
          </w:rPr>
          <w:t>Third Amended and Restated Bylaws dated as of</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February 23, 2016.</w:t>
        </w:r>
      </w:hyperlink>
    </w:p>
    <w:p>
      <w:pPr>
        <w:spacing w:after="0" w:line="200" w:lineRule="exact"/>
        <w:rPr>
          <w:sz w:val="20"/>
          <w:szCs w:val="20"/>
          <w:color w:val="auto"/>
        </w:rPr>
      </w:pPr>
    </w:p>
    <w:p>
      <w:pPr>
        <w:spacing w:after="0" w:line="202" w:lineRule="exact"/>
        <w:rPr>
          <w:sz w:val="20"/>
          <w:szCs w:val="20"/>
          <w:color w:val="auto"/>
        </w:rPr>
      </w:pPr>
    </w:p>
    <w:p>
      <w:pPr>
        <w:ind w:left="2060" w:right="640" w:hanging="408"/>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3">
        <w:r>
          <w:rPr>
            <w:rFonts w:ascii="Arial" w:cs="Arial" w:eastAsia="Arial" w:hAnsi="Arial"/>
            <w:sz w:val="18"/>
            <w:szCs w:val="18"/>
            <w:u w:val="single" w:color="auto"/>
            <w:color w:val="0000EE"/>
          </w:rPr>
          <w:t>Form of Specimen Stock Certificate for Class A</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Common Stock.</w:t>
        </w:r>
      </w:hyperlink>
    </w:p>
    <w:p>
      <w:pPr>
        <w:spacing w:after="0" w:line="186" w:lineRule="exact"/>
        <w:rPr>
          <w:sz w:val="20"/>
          <w:szCs w:val="20"/>
          <w:color w:val="auto"/>
        </w:rPr>
      </w:pPr>
    </w:p>
    <w:p>
      <w:pPr>
        <w:ind w:left="2060" w:right="640" w:hanging="408"/>
        <w:spacing w:after="0" w:line="268" w:lineRule="auto"/>
        <w:tabs>
          <w:tab w:leader="none" w:pos="20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54">
        <w:r>
          <w:rPr>
            <w:rFonts w:ascii="Arial" w:cs="Arial" w:eastAsia="Arial" w:hAnsi="Arial"/>
            <w:sz w:val="18"/>
            <w:szCs w:val="18"/>
            <w:u w:val="single" w:color="auto"/>
            <w:color w:val="0000EE"/>
          </w:rPr>
          <w:t>Form of Specimen Stock Certificate for Class C</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Common Stock.</w:t>
        </w:r>
      </w:hyperlink>
    </w:p>
    <w:p>
      <w:pPr>
        <w:spacing w:after="0" w:line="186" w:lineRule="exact"/>
        <w:rPr>
          <w:sz w:val="20"/>
          <w:szCs w:val="20"/>
          <w:color w:val="auto"/>
        </w:rPr>
      </w:pPr>
    </w:p>
    <w:p>
      <w:pPr>
        <w:jc w:val="both"/>
        <w:ind w:left="2060" w:right="140" w:hanging="408"/>
        <w:spacing w:after="0" w:line="306" w:lineRule="auto"/>
        <w:tabs>
          <w:tab w:leader="none" w:pos="2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0000EE"/>
        </w:rPr>
        <w:t>Form of Indenture for Debt Securities, by and between NRG Yield, Inc. and Delaware Trust Company of New York, as trustee (including form of Debt Security).</w:t>
      </w:r>
    </w:p>
    <w:p>
      <w:pPr>
        <w:spacing w:after="0" w:line="20" w:lineRule="exact"/>
        <w:rPr>
          <w:sz w:val="20"/>
          <w:szCs w:val="20"/>
          <w:color w:val="auto"/>
        </w:rPr>
      </w:pPr>
      <w:r>
        <w:rPr>
          <w:sz w:val="20"/>
          <w:szCs w:val="20"/>
          <w:color w:val="auto"/>
        </w:rPr>
        <w:br w:type="column"/>
      </w:r>
    </w:p>
    <w:p>
      <w:pPr>
        <w:jc w:val="both"/>
        <w:ind w:right="280"/>
        <w:spacing w:after="0" w:line="259" w:lineRule="auto"/>
        <w:rPr>
          <w:sz w:val="20"/>
          <w:szCs w:val="20"/>
          <w:color w:val="auto"/>
        </w:rPr>
      </w:pPr>
      <w:r>
        <w:rPr>
          <w:rFonts w:ascii="Arial" w:cs="Arial" w:eastAsia="Arial" w:hAnsi="Arial"/>
          <w:sz w:val="18"/>
          <w:szCs w:val="18"/>
          <w:color w:val="auto"/>
        </w:rPr>
        <w:t>Incorporated herein by reference to Exhibit 3.1 to the Company's Quarterly Report on Form 10-Q filed on May 5, 2016.</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Incorporated herein by reference to Exhibit 3.4 to the Company's Annual Report on Form 10-K filed on February 29, 2016.</w:t>
      </w:r>
    </w:p>
    <w:p>
      <w:pPr>
        <w:spacing w:after="0" w:line="19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Incorporated by reference to Exhibit 4.1 to NRG Yield, Inc.'s Form 8-A/A filed on May 8, 2015</w:t>
      </w:r>
    </w:p>
    <w:p>
      <w:pPr>
        <w:spacing w:after="0" w:line="13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Incorporated by reference to Exhibit 4.2 to NRG Yield, Inc.'s Form 8-A/A filed on May 8,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7" w:lineRule="exact"/>
        <w:rPr>
          <w:sz w:val="20"/>
          <w:szCs w:val="20"/>
          <w:color w:val="auto"/>
        </w:rPr>
      </w:pPr>
    </w:p>
    <w:p>
      <w:pPr>
        <w:sectPr>
          <w:pgSz w:w="11900" w:h="16838" w:orient="portrait"/>
          <w:cols w:equalWidth="0" w:num="2">
            <w:col w:w="6080" w:space="180"/>
            <w:col w:w="4020"/>
          </w:cols>
          <w:pgMar w:left="240" w:top="131" w:right="1379" w:bottom="1440" w:gutter="0" w:footer="0" w:header="0"/>
          <w:type w:val="continuous"/>
        </w:sectPr>
      </w:pPr>
    </w:p>
    <w:tbl>
      <w:tblPr>
        <w:tblLayout w:type="fixed"/>
        <w:tblInd w:w="1580" w:type="dxa"/>
        <w:tblCellMar>
          <w:top w:w="0" w:type="dxa"/>
          <w:left w:w="0" w:type="dxa"/>
          <w:bottom w:w="0" w:type="dxa"/>
          <w:right w:w="0" w:type="dxa"/>
        </w:tblCellMar>
      </w:tblPr>
      <w:tr>
        <w:trPr>
          <w:trHeight w:val="216"/>
        </w:trPr>
        <w:tc>
          <w:tcPr>
            <w:tcW w:w="4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4080" w:type="dxa"/>
            <w:vAlign w:val="bottom"/>
            <w:gridSpan w:val="10"/>
          </w:tcPr>
          <w:p>
            <w:pPr>
              <w:spacing w:after="0"/>
              <w:rPr>
                <w:sz w:val="20"/>
                <w:szCs w:val="20"/>
                <w:color w:val="auto"/>
              </w:rPr>
            </w:pPr>
            <w:r>
              <w:rPr>
                <w:rFonts w:ascii="Arial" w:cs="Arial" w:eastAsia="Arial" w:hAnsi="Arial"/>
                <w:sz w:val="18"/>
                <w:szCs w:val="18"/>
                <w:color w:val="auto"/>
              </w:rPr>
              <w:t>Form of Certificate of Designation.</w:t>
            </w:r>
          </w:p>
        </w:tc>
        <w:tc>
          <w:tcPr>
            <w:tcW w:w="4080" w:type="dxa"/>
            <w:vAlign w:val="bottom"/>
          </w:tcPr>
          <w:p>
            <w:pPr>
              <w:ind w:left="120"/>
              <w:spacing w:after="0"/>
              <w:rPr>
                <w:sz w:val="20"/>
                <w:szCs w:val="20"/>
                <w:color w:val="auto"/>
              </w:rPr>
            </w:pPr>
            <w:r>
              <w:rPr>
                <w:rFonts w:ascii="Arial" w:cs="Arial" w:eastAsia="Arial" w:hAnsi="Arial"/>
                <w:sz w:val="18"/>
                <w:szCs w:val="18"/>
                <w:color w:val="auto"/>
              </w:rPr>
              <w:t>To be filed by an amendment or an exhibit to a</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87"/>
              </w:rPr>
              <w:t>document to be incorporated or deemed incorporated by</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97"/>
              </w:rPr>
              <w:t>reference to this registration statement, including a</w:t>
            </w:r>
          </w:p>
        </w:tc>
      </w:tr>
      <w:tr>
        <w:trPr>
          <w:trHeight w:val="222"/>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Current Report on Form 8-K.</w:t>
            </w:r>
          </w:p>
        </w:tc>
      </w:tr>
      <w:tr>
        <w:trPr>
          <w:trHeight w:val="426"/>
        </w:trPr>
        <w:tc>
          <w:tcPr>
            <w:tcW w:w="48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4080" w:type="dxa"/>
            <w:vAlign w:val="bottom"/>
            <w:gridSpan w:val="10"/>
          </w:tcPr>
          <w:p>
            <w:pPr>
              <w:spacing w:after="0"/>
              <w:rPr>
                <w:sz w:val="20"/>
                <w:szCs w:val="20"/>
                <w:color w:val="auto"/>
              </w:rPr>
            </w:pPr>
            <w:r>
              <w:rPr>
                <w:rFonts w:ascii="Arial" w:cs="Arial" w:eastAsia="Arial" w:hAnsi="Arial"/>
                <w:sz w:val="18"/>
                <w:szCs w:val="18"/>
                <w:color w:val="auto"/>
              </w:rPr>
              <w:t>Form of Specimen Preferred Stock Certificate.</w:t>
            </w:r>
          </w:p>
        </w:tc>
        <w:tc>
          <w:tcPr>
            <w:tcW w:w="4080" w:type="dxa"/>
            <w:vAlign w:val="bottom"/>
          </w:tcPr>
          <w:p>
            <w:pPr>
              <w:ind w:left="120"/>
              <w:spacing w:after="0"/>
              <w:rPr>
                <w:sz w:val="20"/>
                <w:szCs w:val="20"/>
                <w:color w:val="auto"/>
              </w:rPr>
            </w:pPr>
            <w:r>
              <w:rPr>
                <w:rFonts w:ascii="Arial" w:cs="Arial" w:eastAsia="Arial" w:hAnsi="Arial"/>
                <w:sz w:val="18"/>
                <w:szCs w:val="18"/>
                <w:color w:val="auto"/>
              </w:rPr>
              <w:t>To be filed by an amendment or an exhibit to a</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87"/>
              </w:rPr>
              <w:t>document to be incorporated or deemed incorporated by</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w w:val="97"/>
              </w:rPr>
              <w:t>reference to this registration statement, including a</w:t>
            </w:r>
          </w:p>
        </w:tc>
      </w:tr>
      <w:tr>
        <w:trPr>
          <w:trHeight w:val="222"/>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Current Report on Form 8-K.</w:t>
            </w:r>
          </w:p>
        </w:tc>
      </w:tr>
      <w:tr>
        <w:trPr>
          <w:trHeight w:val="394"/>
        </w:trPr>
        <w:tc>
          <w:tcPr>
            <w:tcW w:w="48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21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Opinion of Ballard Spahr LLP.</w:t>
            </w:r>
          </w:p>
        </w:tc>
        <w:tc>
          <w:tcPr>
            <w:tcW w:w="1900" w:type="dxa"/>
            <w:vAlign w:val="bottom"/>
            <w:gridSpan w:val="4"/>
          </w:tcPr>
          <w:p>
            <w:pPr>
              <w:spacing w:after="0"/>
              <w:rPr>
                <w:sz w:val="24"/>
                <w:szCs w:val="24"/>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412"/>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12.1</w:t>
            </w:r>
          </w:p>
        </w:tc>
        <w:tc>
          <w:tcPr>
            <w:tcW w:w="39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Statement of Computation of Ratio of Earnings to Fixed</w:t>
            </w:r>
          </w:p>
        </w:tc>
        <w:tc>
          <w:tcPr>
            <w:tcW w:w="120" w:type="dxa"/>
            <w:vAlign w:val="bottom"/>
          </w:tcPr>
          <w:p>
            <w:pPr>
              <w:spacing w:after="0"/>
              <w:rPr>
                <w:sz w:val="24"/>
                <w:szCs w:val="24"/>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480" w:type="dxa"/>
            <w:vAlign w:val="bottom"/>
          </w:tcPr>
          <w:p>
            <w:pPr>
              <w:spacing w:after="0"/>
              <w:rPr>
                <w:sz w:val="17"/>
                <w:szCs w:val="17"/>
                <w:color w:val="auto"/>
              </w:rPr>
            </w:pPr>
          </w:p>
        </w:tc>
        <w:tc>
          <w:tcPr>
            <w:tcW w:w="4080" w:type="dxa"/>
            <w:vAlign w:val="bottom"/>
            <w:gridSpan w:val="10"/>
          </w:tcPr>
          <w:p>
            <w:pPr>
              <w:spacing w:after="0" w:line="196" w:lineRule="exact"/>
              <w:rPr>
                <w:sz w:val="20"/>
                <w:szCs w:val="20"/>
                <w:color w:val="auto"/>
              </w:rPr>
            </w:pPr>
            <w:r>
              <w:rPr>
                <w:rFonts w:ascii="Arial" w:cs="Arial" w:eastAsia="Arial" w:hAnsi="Arial"/>
                <w:sz w:val="18"/>
                <w:szCs w:val="18"/>
                <w:color w:val="0000EE"/>
              </w:rPr>
              <w:t>Charges.</w:t>
            </w:r>
          </w:p>
        </w:tc>
        <w:tc>
          <w:tcPr>
            <w:tcW w:w="40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12"/>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23.1</w:t>
            </w:r>
          </w:p>
        </w:tc>
        <w:tc>
          <w:tcPr>
            <w:tcW w:w="4080" w:type="dxa"/>
            <w:vAlign w:val="bottom"/>
            <w:gridSpan w:val="10"/>
          </w:tcPr>
          <w:p>
            <w:pPr>
              <w:spacing w:after="0"/>
              <w:rPr>
                <w:sz w:val="20"/>
                <w:szCs w:val="20"/>
                <w:color w:val="auto"/>
              </w:rPr>
            </w:pPr>
            <w:r>
              <w:rPr>
                <w:rFonts w:ascii="Arial" w:cs="Arial" w:eastAsia="Arial" w:hAnsi="Arial"/>
                <w:sz w:val="18"/>
                <w:szCs w:val="18"/>
                <w:color w:val="0000EE"/>
                <w:w w:val="94"/>
              </w:rPr>
              <w:t>Consent of KPMG LLP, independent public registered</w:t>
            </w:r>
          </w:p>
        </w:tc>
        <w:tc>
          <w:tcPr>
            <w:tcW w:w="40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0"/>
        </w:trPr>
        <w:tc>
          <w:tcPr>
            <w:tcW w:w="4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9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accounting firm with respect to the audited financials of</w:t>
            </w:r>
          </w:p>
        </w:tc>
        <w:tc>
          <w:tcPr>
            <w:tcW w:w="140" w:type="dxa"/>
            <w:vAlign w:val="bottom"/>
            <w:gridSpan w:val="2"/>
          </w:tcPr>
          <w:p>
            <w:pPr>
              <w:spacing w:after="0"/>
              <w:rPr>
                <w:sz w:val="17"/>
                <w:szCs w:val="17"/>
                <w:color w:val="auto"/>
              </w:rPr>
            </w:pPr>
          </w:p>
        </w:tc>
        <w:tc>
          <w:tcPr>
            <w:tcW w:w="40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NRG Yield, Inc.</w:t>
            </w:r>
          </w:p>
        </w:tc>
        <w:tc>
          <w:tcPr>
            <w:tcW w:w="2920" w:type="dxa"/>
            <w:vAlign w:val="bottom"/>
            <w:gridSpan w:val="8"/>
          </w:tcPr>
          <w:p>
            <w:pPr>
              <w:spacing w:after="0"/>
              <w:rPr>
                <w:sz w:val="17"/>
                <w:szCs w:val="17"/>
                <w:color w:val="auto"/>
              </w:rPr>
            </w:pPr>
          </w:p>
        </w:tc>
        <w:tc>
          <w:tcPr>
            <w:tcW w:w="4080" w:type="dxa"/>
            <w:vAlign w:val="bottom"/>
          </w:tcPr>
          <w:p>
            <w:pPr>
              <w:spacing w:after="0"/>
              <w:rPr>
                <w:sz w:val="17"/>
                <w:szCs w:val="17"/>
                <w:color w:val="auto"/>
              </w:rPr>
            </w:pPr>
          </w:p>
        </w:tc>
      </w:tr>
      <w:tr>
        <w:trPr>
          <w:trHeight w:val="412"/>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23.7</w:t>
            </w:r>
          </w:p>
        </w:tc>
        <w:tc>
          <w:tcPr>
            <w:tcW w:w="4080" w:type="dxa"/>
            <w:vAlign w:val="bottom"/>
            <w:gridSpan w:val="10"/>
          </w:tcPr>
          <w:p>
            <w:pPr>
              <w:spacing w:after="0"/>
              <w:rPr>
                <w:sz w:val="20"/>
                <w:szCs w:val="20"/>
                <w:color w:val="auto"/>
              </w:rPr>
            </w:pPr>
            <w:r>
              <w:rPr>
                <w:rFonts w:ascii="Arial" w:cs="Arial" w:eastAsia="Arial" w:hAnsi="Arial"/>
                <w:sz w:val="18"/>
                <w:szCs w:val="18"/>
                <w:color w:val="0000EE"/>
              </w:rPr>
              <w:t>Consent of Ballard Spahr LLP.</w:t>
            </w:r>
          </w:p>
        </w:tc>
        <w:tc>
          <w:tcPr>
            <w:tcW w:w="4080" w:type="dxa"/>
            <w:vAlign w:val="bottom"/>
          </w:tcPr>
          <w:p>
            <w:pPr>
              <w:ind w:left="120"/>
              <w:spacing w:after="0"/>
              <w:rPr>
                <w:sz w:val="20"/>
                <w:szCs w:val="20"/>
                <w:color w:val="auto"/>
              </w:rPr>
            </w:pPr>
            <w:r>
              <w:rPr>
                <w:rFonts w:ascii="Arial" w:cs="Arial" w:eastAsia="Arial" w:hAnsi="Arial"/>
                <w:sz w:val="18"/>
                <w:szCs w:val="18"/>
                <w:color w:val="auto"/>
              </w:rPr>
              <w:t>Included in Exhibit 5.1</w:t>
            </w:r>
          </w:p>
        </w:tc>
      </w:tr>
      <w:tr>
        <w:trPr>
          <w:trHeight w:val="412"/>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24.1</w:t>
            </w:r>
          </w:p>
        </w:tc>
        <w:tc>
          <w:tcPr>
            <w:tcW w:w="1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Powers of Attorney.</w:t>
              </w:r>
            </w:hyperlink>
          </w:p>
        </w:tc>
        <w:tc>
          <w:tcPr>
            <w:tcW w:w="740" w:type="dxa"/>
            <w:vAlign w:val="bottom"/>
            <w:tcBorders>
              <w:top w:val="single" w:sz="8" w:color="0000EE"/>
            </w:tcBorders>
            <w:gridSpan w:val="2"/>
          </w:tcPr>
          <w:p>
            <w:pPr>
              <w:spacing w:after="0"/>
              <w:rPr>
                <w:sz w:val="24"/>
                <w:szCs w:val="24"/>
                <w:color w:val="auto"/>
              </w:rPr>
            </w:pPr>
          </w:p>
        </w:tc>
        <w:tc>
          <w:tcPr>
            <w:tcW w:w="1920" w:type="dxa"/>
            <w:vAlign w:val="bottom"/>
            <w:gridSpan w:val="5"/>
          </w:tcPr>
          <w:p>
            <w:pPr>
              <w:spacing w:after="0"/>
              <w:rPr>
                <w:sz w:val="24"/>
                <w:szCs w:val="24"/>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Included on signature pages</w:t>
            </w:r>
          </w:p>
        </w:tc>
      </w:tr>
      <w:tr>
        <w:trPr>
          <w:trHeight w:val="412"/>
        </w:trPr>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25.1</w:t>
            </w:r>
          </w:p>
        </w:tc>
        <w:tc>
          <w:tcPr>
            <w:tcW w:w="4080" w:type="dxa"/>
            <w:vAlign w:val="bottom"/>
            <w:gridSpan w:val="10"/>
          </w:tcPr>
          <w:p>
            <w:pPr>
              <w:spacing w:after="0"/>
              <w:rPr>
                <w:sz w:val="20"/>
                <w:szCs w:val="20"/>
                <w:color w:val="auto"/>
              </w:rPr>
            </w:pPr>
            <w:r>
              <w:rPr>
                <w:rFonts w:ascii="Arial" w:cs="Arial" w:eastAsia="Arial" w:hAnsi="Arial"/>
                <w:sz w:val="18"/>
                <w:szCs w:val="18"/>
                <w:color w:val="0000EE"/>
                <w:w w:val="96"/>
              </w:rPr>
              <w:t>T-1 Statement of Eligibility of Trustee on Form T-1 of</w:t>
            </w:r>
          </w:p>
        </w:tc>
        <w:tc>
          <w:tcPr>
            <w:tcW w:w="40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480" w:type="dxa"/>
            <w:vAlign w:val="bottom"/>
          </w:tcPr>
          <w:p>
            <w:pPr>
              <w:spacing w:after="0"/>
              <w:rPr>
                <w:sz w:val="17"/>
                <w:szCs w:val="17"/>
                <w:color w:val="auto"/>
              </w:rPr>
            </w:pPr>
          </w:p>
        </w:tc>
        <w:tc>
          <w:tcPr>
            <w:tcW w:w="38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Delaware Trust Company.</w:t>
            </w:r>
          </w:p>
        </w:tc>
        <w:tc>
          <w:tcPr>
            <w:tcW w:w="260" w:type="dxa"/>
            <w:vAlign w:val="bottom"/>
            <w:gridSpan w:val="3"/>
          </w:tcPr>
          <w:p>
            <w:pPr>
              <w:spacing w:after="0"/>
              <w:rPr>
                <w:sz w:val="17"/>
                <w:szCs w:val="17"/>
                <w:color w:val="auto"/>
              </w:rPr>
            </w:pPr>
          </w:p>
        </w:tc>
        <w:tc>
          <w:tcPr>
            <w:tcW w:w="40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May 4, 2018.</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NRG YIELD, INC.</w:t>
      </w:r>
    </w:p>
    <w:p>
      <w:pPr>
        <w:spacing w:after="0" w:line="252"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Christopher S. Sotos</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jointly and severally Kevin P. Malcarney and Brian E. Curci,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3160"/>
        <w:spacing w:after="0"/>
        <w:tabs>
          <w:tab w:leader="none" w:pos="6900" w:val="left"/>
          <w:tab w:leader="none" w:pos="95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CHRISTOPHER S. SOTOS</w:t>
            </w:r>
          </w:p>
        </w:tc>
      </w:tr>
      <w:tr>
        <w:trPr>
          <w:trHeight w:val="97"/>
        </w:trPr>
        <w:tc>
          <w:tcPr>
            <w:tcW w:w="5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r>
      <w:tr>
        <w:trPr>
          <w:trHeight w:val="289"/>
        </w:trPr>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6"/>
              </w:rPr>
              <w:t>Christopher S. Sotos</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CHAD PLOTKIN</w:t>
            </w:r>
          </w:p>
        </w:tc>
      </w:tr>
      <w:tr>
        <w:trPr>
          <w:trHeight w:val="97"/>
        </w:trPr>
        <w:tc>
          <w:tcPr>
            <w:tcW w:w="5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r>
      <w:tr>
        <w:trPr>
          <w:trHeight w:val="289"/>
        </w:trPr>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Chad Plotkin</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DAVID CALLEN</w:t>
            </w:r>
          </w:p>
        </w:tc>
      </w:tr>
      <w:tr>
        <w:trPr>
          <w:trHeight w:val="97"/>
        </w:trPr>
        <w:tc>
          <w:tcPr>
            <w:tcW w:w="5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r>
      <w:tr>
        <w:trPr>
          <w:trHeight w:val="289"/>
        </w:trPr>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David Callen</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MAURICIO GUTIERREZ</w:t>
            </w:r>
          </w:p>
        </w:tc>
      </w:tr>
      <w:tr>
        <w:trPr>
          <w:trHeight w:val="97"/>
        </w:trPr>
        <w:tc>
          <w:tcPr>
            <w:tcW w:w="5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r>
      <w:tr>
        <w:trPr>
          <w:trHeight w:val="289"/>
        </w:trPr>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Mauricio Gutierrez</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President and Chief Executive Officer (principal executive officer) and Director</w:t>
      </w:r>
    </w:p>
    <w:p>
      <w:pPr>
        <w:spacing w:after="0" w:line="200" w:lineRule="exact"/>
        <w:rPr>
          <w:sz w:val="20"/>
          <w:szCs w:val="20"/>
          <w:color w:val="auto"/>
        </w:rPr>
      </w:pP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200" w:lineRule="exact"/>
        <w:rPr>
          <w:sz w:val="20"/>
          <w:szCs w:val="20"/>
          <w:color w:val="auto"/>
        </w:rPr>
      </w:pPr>
    </w:p>
    <w:p>
      <w:pPr>
        <w:spacing w:after="0" w:line="20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Vice President and Chief Accounting Officer (principal accounting officer)</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May 4,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May 4,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May 4,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May 4, 2018</w:t>
      </w:r>
    </w:p>
    <w:p>
      <w:pPr>
        <w:sectPr>
          <w:pgSz w:w="11900" w:h="16838" w:orient="portrait"/>
          <w:cols w:equalWidth="0" w:num="3">
            <w:col w:w="5240" w:space="160"/>
            <w:col w:w="3500" w:space="360"/>
            <w:col w:w="2140"/>
          </w:cols>
          <w:pgMar w:left="240" w:top="131" w:right="2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160"/>
        <w:spacing w:after="0"/>
        <w:tabs>
          <w:tab w:leader="none" w:pos="6900" w:val="left"/>
          <w:tab w:leader="none" w:pos="95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6"/>
              </w:rPr>
              <w:t>/s/ KIRKLAND B. ANDREWS</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23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vMerge w:val="restart"/>
          </w:tcPr>
          <w:p>
            <w:pPr>
              <w:ind w:left="1640"/>
              <w:spacing w:after="0" w:line="202" w:lineRule="exact"/>
              <w:rPr>
                <w:sz w:val="20"/>
                <w:szCs w:val="20"/>
                <w:color w:val="auto"/>
              </w:rPr>
            </w:pPr>
            <w:r>
              <w:rPr>
                <w:rFonts w:ascii="Arial" w:cs="Arial" w:eastAsia="Arial" w:hAnsi="Arial"/>
                <w:sz w:val="18"/>
                <w:szCs w:val="18"/>
                <w:color w:val="auto"/>
                <w:w w:val="88"/>
              </w:rPr>
              <w:t>May 4, 2018</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3"/>
              </w:rPr>
              <w:t>Kirkland B. Andrews</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jc w:val="center"/>
              <w:ind w:right="2332"/>
              <w:spacing w:after="0"/>
              <w:rPr>
                <w:sz w:val="20"/>
                <w:szCs w:val="20"/>
                <w:color w:val="auto"/>
              </w:rPr>
            </w:pPr>
            <w:r>
              <w:rPr>
                <w:rFonts w:ascii="Arial" w:cs="Arial" w:eastAsia="Arial" w:hAnsi="Arial"/>
                <w:sz w:val="18"/>
                <w:szCs w:val="18"/>
                <w:color w:val="auto"/>
                <w:w w:val="95"/>
              </w:rPr>
              <w:t>/s/ JOHN CHILLEMI</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23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vMerge w:val="restart"/>
          </w:tcPr>
          <w:p>
            <w:pPr>
              <w:ind w:left="1640"/>
              <w:spacing w:after="0" w:line="202" w:lineRule="exact"/>
              <w:rPr>
                <w:sz w:val="20"/>
                <w:szCs w:val="20"/>
                <w:color w:val="auto"/>
              </w:rPr>
            </w:pPr>
            <w:r>
              <w:rPr>
                <w:rFonts w:ascii="Arial" w:cs="Arial" w:eastAsia="Arial" w:hAnsi="Arial"/>
                <w:sz w:val="18"/>
                <w:szCs w:val="18"/>
                <w:color w:val="auto"/>
                <w:w w:val="88"/>
              </w:rPr>
              <w:t>May 4, 2018</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2"/>
              </w:rPr>
              <w:t>John Chillemi</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3"/>
              </w:rPr>
              <w:t>/s/ JOHN F. CHLEBOWSKI</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23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vMerge w:val="restart"/>
          </w:tcPr>
          <w:p>
            <w:pPr>
              <w:ind w:left="1640"/>
              <w:spacing w:after="0" w:line="202" w:lineRule="exact"/>
              <w:rPr>
                <w:sz w:val="20"/>
                <w:szCs w:val="20"/>
                <w:color w:val="auto"/>
              </w:rPr>
            </w:pPr>
            <w:r>
              <w:rPr>
                <w:rFonts w:ascii="Arial" w:cs="Arial" w:eastAsia="Arial" w:hAnsi="Arial"/>
                <w:sz w:val="18"/>
                <w:szCs w:val="18"/>
                <w:color w:val="auto"/>
                <w:w w:val="88"/>
              </w:rPr>
              <w:t>May 4, 2018</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89"/>
              </w:rPr>
              <w:t>John F. Chlebowski</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3"/>
              </w:rPr>
              <w:t>/s/ BRIAN R. FORD</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23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vMerge w:val="restart"/>
          </w:tcPr>
          <w:p>
            <w:pPr>
              <w:ind w:left="1640"/>
              <w:spacing w:after="0" w:line="202" w:lineRule="exact"/>
              <w:rPr>
                <w:sz w:val="20"/>
                <w:szCs w:val="20"/>
                <w:color w:val="auto"/>
              </w:rPr>
            </w:pPr>
            <w:r>
              <w:rPr>
                <w:rFonts w:ascii="Arial" w:cs="Arial" w:eastAsia="Arial" w:hAnsi="Arial"/>
                <w:sz w:val="18"/>
                <w:szCs w:val="18"/>
                <w:color w:val="auto"/>
                <w:w w:val="88"/>
              </w:rPr>
              <w:t>May 4, 2018</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89"/>
              </w:rPr>
              <w:t>Brian R. Ford</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92"/>
              </w:rPr>
              <w:t>/s/ FERRELL P. MCCLEAN</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23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vMerge w:val="restart"/>
          </w:tcPr>
          <w:p>
            <w:pPr>
              <w:ind w:left="1640"/>
              <w:spacing w:after="0" w:line="202" w:lineRule="exact"/>
              <w:rPr>
                <w:sz w:val="20"/>
                <w:szCs w:val="20"/>
                <w:color w:val="auto"/>
              </w:rPr>
            </w:pPr>
            <w:r>
              <w:rPr>
                <w:rFonts w:ascii="Arial" w:cs="Arial" w:eastAsia="Arial" w:hAnsi="Arial"/>
                <w:sz w:val="18"/>
                <w:szCs w:val="18"/>
                <w:color w:val="auto"/>
                <w:w w:val="88"/>
              </w:rPr>
              <w:t>May 4, 2018</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5960" w:type="dxa"/>
            <w:vAlign w:val="bottom"/>
            <w:gridSpan w:val="2"/>
          </w:tcPr>
          <w:p>
            <w:pPr>
              <w:jc w:val="center"/>
              <w:ind w:right="2312"/>
              <w:spacing w:after="0"/>
              <w:rPr>
                <w:sz w:val="20"/>
                <w:szCs w:val="20"/>
                <w:color w:val="auto"/>
              </w:rPr>
            </w:pPr>
            <w:r>
              <w:rPr>
                <w:rFonts w:ascii="Arial" w:cs="Arial" w:eastAsia="Arial" w:hAnsi="Arial"/>
                <w:sz w:val="18"/>
                <w:szCs w:val="18"/>
                <w:color w:val="auto"/>
                <w:w w:val="88"/>
              </w:rPr>
              <w:t>Ferrell P. McClean</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10580"/>
        <w:spacing w:after="0"/>
        <w:rPr>
          <w:sz w:val="20"/>
          <w:szCs w:val="20"/>
          <w:color w:val="auto"/>
        </w:rPr>
      </w:pPr>
      <w:r>
        <w:rPr>
          <w:rFonts w:ascii="Arial" w:cs="Arial" w:eastAsia="Arial" w:hAnsi="Arial"/>
          <w:sz w:val="17"/>
          <w:szCs w:val="17"/>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NRG Yield,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440" w:type="dxa"/>
            <w:vAlign w:val="bottom"/>
            <w:gridSpan w:val="2"/>
            <w:vMerge w:val="continue"/>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80" w:type="dxa"/>
            <w:vAlign w:val="bottom"/>
          </w:tcPr>
          <w:p>
            <w:pPr>
              <w:ind w:left="520"/>
              <w:spacing w:after="0"/>
              <w:rPr>
                <w:sz w:val="20"/>
                <w:szCs w:val="20"/>
                <w:color w:val="auto"/>
              </w:rPr>
            </w:pPr>
            <w:r>
              <w:rPr>
                <w:rFonts w:ascii="Arial" w:cs="Arial" w:eastAsia="Arial" w:hAnsi="Arial"/>
                <w:sz w:val="18"/>
                <w:szCs w:val="18"/>
                <w:color w:val="auto"/>
              </w:rPr>
              <w:t>Section 1.1</w:t>
            </w:r>
          </w:p>
        </w:tc>
        <w:tc>
          <w:tcPr>
            <w:tcW w:w="826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1.2</w:t>
            </w:r>
          </w:p>
        </w:tc>
        <w:tc>
          <w:tcPr>
            <w:tcW w:w="8260" w:type="dxa"/>
            <w:vAlign w:val="bottom"/>
          </w:tcPr>
          <w:p>
            <w:pPr>
              <w:ind w:left="40"/>
              <w:spacing w:after="0"/>
              <w:rPr>
                <w:sz w:val="20"/>
                <w:szCs w:val="20"/>
                <w:color w:val="auto"/>
              </w:rPr>
            </w:pPr>
            <w:r>
              <w:rPr>
                <w:rFonts w:ascii="Arial" w:cs="Arial" w:eastAsia="Arial" w:hAnsi="Arial"/>
                <w:sz w:val="18"/>
                <w:szCs w:val="18"/>
                <w:color w:val="auto"/>
              </w:rPr>
              <w:t>Other Definitions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1.3</w:t>
            </w:r>
          </w:p>
        </w:tc>
        <w:tc>
          <w:tcPr>
            <w:tcW w:w="8260" w:type="dxa"/>
            <w:vAlign w:val="bottom"/>
          </w:tcPr>
          <w:p>
            <w:pPr>
              <w:ind w:left="40"/>
              <w:spacing w:after="0"/>
              <w:rPr>
                <w:sz w:val="20"/>
                <w:szCs w:val="20"/>
                <w:color w:val="auto"/>
              </w:rPr>
            </w:pPr>
            <w:r>
              <w:rPr>
                <w:rFonts w:ascii="Arial" w:cs="Arial" w:eastAsia="Arial" w:hAnsi="Arial"/>
                <w:sz w:val="18"/>
                <w:szCs w:val="18"/>
                <w:color w:val="auto"/>
              </w:rPr>
              <w:t>Incorporation by Reference of Trust Indenture Act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180" w:type="dxa"/>
            <w:vAlign w:val="bottom"/>
          </w:tcPr>
          <w:p>
            <w:pPr>
              <w:ind w:left="520"/>
              <w:spacing w:after="0"/>
              <w:rPr>
                <w:sz w:val="20"/>
                <w:szCs w:val="20"/>
                <w:color w:val="auto"/>
              </w:rPr>
            </w:pPr>
            <w:r>
              <w:rPr>
                <w:rFonts w:ascii="Arial" w:cs="Arial" w:eastAsia="Arial" w:hAnsi="Arial"/>
                <w:sz w:val="18"/>
                <w:szCs w:val="18"/>
                <w:color w:val="auto"/>
              </w:rPr>
              <w:t>Section 1.4</w:t>
            </w:r>
          </w:p>
        </w:tc>
        <w:tc>
          <w:tcPr>
            <w:tcW w:w="826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2180" w:type="dxa"/>
            <w:vAlign w:val="bottom"/>
          </w:tcPr>
          <w:p>
            <w:pPr>
              <w:ind w:left="520"/>
              <w:spacing w:after="0"/>
              <w:rPr>
                <w:sz w:val="20"/>
                <w:szCs w:val="20"/>
                <w:color w:val="auto"/>
              </w:rPr>
            </w:pPr>
            <w:r>
              <w:rPr>
                <w:rFonts w:ascii="Arial" w:cs="Arial" w:eastAsia="Arial" w:hAnsi="Arial"/>
                <w:sz w:val="18"/>
                <w:szCs w:val="18"/>
                <w:color w:val="auto"/>
              </w:rPr>
              <w:t>Section 2.1</w:t>
            </w:r>
          </w:p>
        </w:tc>
        <w:tc>
          <w:tcPr>
            <w:tcW w:w="8260" w:type="dxa"/>
            <w:vAlign w:val="bottom"/>
          </w:tcPr>
          <w:p>
            <w:pPr>
              <w:ind w:left="40"/>
              <w:spacing w:after="0"/>
              <w:rPr>
                <w:sz w:val="20"/>
                <w:szCs w:val="20"/>
                <w:color w:val="auto"/>
              </w:rPr>
            </w:pPr>
            <w:r>
              <w:rPr>
                <w:rFonts w:ascii="Arial" w:cs="Arial" w:eastAsia="Arial" w:hAnsi="Arial"/>
                <w:sz w:val="18"/>
                <w:szCs w:val="18"/>
                <w:color w:val="auto"/>
              </w:rPr>
              <w:t>Issuable in Series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2.2</w:t>
            </w:r>
          </w:p>
        </w:tc>
        <w:tc>
          <w:tcPr>
            <w:tcW w:w="8260" w:type="dxa"/>
            <w:vAlign w:val="bottom"/>
          </w:tcPr>
          <w:p>
            <w:pPr>
              <w:ind w:left="40"/>
              <w:spacing w:after="0"/>
              <w:rPr>
                <w:sz w:val="20"/>
                <w:szCs w:val="20"/>
                <w:color w:val="auto"/>
              </w:rPr>
            </w:pPr>
            <w:r>
              <w:rPr>
                <w:rFonts w:ascii="Arial" w:cs="Arial" w:eastAsia="Arial" w:hAnsi="Arial"/>
                <w:sz w:val="18"/>
                <w:szCs w:val="18"/>
                <w:color w:val="auto"/>
              </w:rPr>
              <w:t>Establishment of Terms of Series of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2.3</w:t>
            </w:r>
          </w:p>
        </w:tc>
        <w:tc>
          <w:tcPr>
            <w:tcW w:w="8260" w:type="dxa"/>
            <w:vAlign w:val="bottom"/>
          </w:tcPr>
          <w:p>
            <w:pPr>
              <w:ind w:left="40"/>
              <w:spacing w:after="0"/>
              <w:rPr>
                <w:sz w:val="20"/>
                <w:szCs w:val="20"/>
                <w:color w:val="auto"/>
              </w:rPr>
            </w:pPr>
            <w:r>
              <w:rPr>
                <w:rFonts w:ascii="Arial" w:cs="Arial" w:eastAsia="Arial" w:hAnsi="Arial"/>
                <w:sz w:val="18"/>
                <w:szCs w:val="18"/>
                <w:color w:val="auto"/>
              </w:rPr>
              <w:t>Execution and Authentication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2.4</w:t>
            </w:r>
          </w:p>
        </w:tc>
        <w:tc>
          <w:tcPr>
            <w:tcW w:w="8260" w:type="dxa"/>
            <w:vAlign w:val="bottom"/>
          </w:tcPr>
          <w:p>
            <w:pPr>
              <w:ind w:left="40"/>
              <w:spacing w:after="0"/>
              <w:rPr>
                <w:sz w:val="20"/>
                <w:szCs w:val="20"/>
                <w:color w:val="auto"/>
              </w:rPr>
            </w:pPr>
            <w:r>
              <w:rPr>
                <w:rFonts w:ascii="Arial" w:cs="Arial" w:eastAsia="Arial" w:hAnsi="Arial"/>
                <w:sz w:val="18"/>
                <w:szCs w:val="18"/>
                <w:color w:val="auto"/>
              </w:rPr>
              <w:t>Registrar and Paying Agent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2.5</w:t>
            </w:r>
          </w:p>
        </w:tc>
        <w:tc>
          <w:tcPr>
            <w:tcW w:w="8260" w:type="dxa"/>
            <w:vAlign w:val="bottom"/>
          </w:tcPr>
          <w:p>
            <w:pPr>
              <w:ind w:left="40"/>
              <w:spacing w:after="0"/>
              <w:rPr>
                <w:sz w:val="20"/>
                <w:szCs w:val="20"/>
                <w:color w:val="auto"/>
              </w:rPr>
            </w:pPr>
            <w:r>
              <w:rPr>
                <w:rFonts w:ascii="Arial" w:cs="Arial" w:eastAsia="Arial" w:hAnsi="Arial"/>
                <w:sz w:val="18"/>
                <w:szCs w:val="18"/>
                <w:color w:val="auto"/>
              </w:rPr>
              <w:t>Paying Agent to Hold Money in Trust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2.6</w:t>
            </w:r>
          </w:p>
        </w:tc>
        <w:tc>
          <w:tcPr>
            <w:tcW w:w="8260" w:type="dxa"/>
            <w:vAlign w:val="bottom"/>
          </w:tcPr>
          <w:p>
            <w:pPr>
              <w:ind w:left="40"/>
              <w:spacing w:after="0"/>
              <w:rPr>
                <w:sz w:val="20"/>
                <w:szCs w:val="20"/>
                <w:color w:val="auto"/>
              </w:rPr>
            </w:pPr>
            <w:r>
              <w:rPr>
                <w:rFonts w:ascii="Arial" w:cs="Arial" w:eastAsia="Arial" w:hAnsi="Arial"/>
                <w:sz w:val="18"/>
                <w:szCs w:val="18"/>
                <w:color w:val="auto"/>
              </w:rPr>
              <w:t>Securityholder Lists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2.7</w:t>
            </w:r>
          </w:p>
        </w:tc>
        <w:tc>
          <w:tcPr>
            <w:tcW w:w="8260" w:type="dxa"/>
            <w:vAlign w:val="bottom"/>
          </w:tcPr>
          <w:p>
            <w:pPr>
              <w:ind w:left="40"/>
              <w:spacing w:after="0"/>
              <w:rPr>
                <w:sz w:val="20"/>
                <w:szCs w:val="20"/>
                <w:color w:val="auto"/>
              </w:rPr>
            </w:pPr>
            <w:r>
              <w:rPr>
                <w:rFonts w:ascii="Arial" w:cs="Arial" w:eastAsia="Arial" w:hAnsi="Arial"/>
                <w:sz w:val="18"/>
                <w:szCs w:val="18"/>
                <w:color w:val="auto"/>
              </w:rPr>
              <w:t>Transfer and Exchange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2.8</w:t>
            </w:r>
          </w:p>
        </w:tc>
        <w:tc>
          <w:tcPr>
            <w:tcW w:w="8260" w:type="dxa"/>
            <w:vAlign w:val="bottom"/>
          </w:tcPr>
          <w:p>
            <w:pPr>
              <w:ind w:left="40"/>
              <w:spacing w:after="0"/>
              <w:rPr>
                <w:sz w:val="20"/>
                <w:szCs w:val="20"/>
                <w:color w:val="auto"/>
              </w:rPr>
            </w:pPr>
            <w:r>
              <w:rPr>
                <w:rFonts w:ascii="Arial" w:cs="Arial" w:eastAsia="Arial" w:hAnsi="Arial"/>
                <w:sz w:val="18"/>
                <w:szCs w:val="18"/>
                <w:color w:val="auto"/>
              </w:rPr>
              <w:t>Mutilated, Destroyed, Lost and Stolen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2.9</w:t>
            </w:r>
          </w:p>
        </w:tc>
        <w:tc>
          <w:tcPr>
            <w:tcW w:w="8260" w:type="dxa"/>
            <w:vAlign w:val="bottom"/>
          </w:tcPr>
          <w:p>
            <w:pPr>
              <w:ind w:left="40"/>
              <w:spacing w:after="0"/>
              <w:rPr>
                <w:sz w:val="20"/>
                <w:szCs w:val="20"/>
                <w:color w:val="auto"/>
              </w:rPr>
            </w:pPr>
            <w:r>
              <w:rPr>
                <w:rFonts w:ascii="Arial" w:cs="Arial" w:eastAsia="Arial" w:hAnsi="Arial"/>
                <w:sz w:val="18"/>
                <w:szCs w:val="18"/>
                <w:color w:val="auto"/>
              </w:rPr>
              <w:t>Outstanding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2.10</w:t>
            </w:r>
          </w:p>
        </w:tc>
        <w:tc>
          <w:tcPr>
            <w:tcW w:w="8260" w:type="dxa"/>
            <w:vAlign w:val="bottom"/>
          </w:tcPr>
          <w:p>
            <w:pPr>
              <w:ind w:left="40"/>
              <w:spacing w:after="0"/>
              <w:rPr>
                <w:sz w:val="20"/>
                <w:szCs w:val="20"/>
                <w:color w:val="auto"/>
              </w:rPr>
            </w:pPr>
            <w:r>
              <w:rPr>
                <w:rFonts w:ascii="Arial" w:cs="Arial" w:eastAsia="Arial" w:hAnsi="Arial"/>
                <w:sz w:val="18"/>
                <w:szCs w:val="18"/>
                <w:color w:val="auto"/>
              </w:rPr>
              <w:t>Treasury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2.11</w:t>
            </w:r>
          </w:p>
        </w:tc>
        <w:tc>
          <w:tcPr>
            <w:tcW w:w="8260" w:type="dxa"/>
            <w:vAlign w:val="bottom"/>
          </w:tcPr>
          <w:p>
            <w:pPr>
              <w:ind w:left="40"/>
              <w:spacing w:after="0"/>
              <w:rPr>
                <w:sz w:val="20"/>
                <w:szCs w:val="20"/>
                <w:color w:val="auto"/>
              </w:rPr>
            </w:pPr>
            <w:r>
              <w:rPr>
                <w:rFonts w:ascii="Arial" w:cs="Arial" w:eastAsia="Arial" w:hAnsi="Arial"/>
                <w:sz w:val="18"/>
                <w:szCs w:val="18"/>
                <w:color w:val="auto"/>
              </w:rPr>
              <w:t>Temporary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2.12</w:t>
            </w:r>
          </w:p>
        </w:tc>
        <w:tc>
          <w:tcPr>
            <w:tcW w:w="8260" w:type="dxa"/>
            <w:vAlign w:val="bottom"/>
          </w:tcPr>
          <w:p>
            <w:pPr>
              <w:ind w:left="40"/>
              <w:spacing w:after="0"/>
              <w:rPr>
                <w:sz w:val="20"/>
                <w:szCs w:val="20"/>
                <w:color w:val="auto"/>
              </w:rPr>
            </w:pPr>
            <w:r>
              <w:rPr>
                <w:rFonts w:ascii="Arial" w:cs="Arial" w:eastAsia="Arial" w:hAnsi="Arial"/>
                <w:sz w:val="18"/>
                <w:szCs w:val="18"/>
                <w:color w:val="auto"/>
              </w:rPr>
              <w:t>Cancellation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2.13</w:t>
            </w:r>
          </w:p>
        </w:tc>
        <w:tc>
          <w:tcPr>
            <w:tcW w:w="8260" w:type="dxa"/>
            <w:vAlign w:val="bottom"/>
          </w:tcPr>
          <w:p>
            <w:pPr>
              <w:ind w:left="40"/>
              <w:spacing w:after="0"/>
              <w:rPr>
                <w:sz w:val="20"/>
                <w:szCs w:val="20"/>
                <w:color w:val="auto"/>
              </w:rPr>
            </w:pPr>
            <w:r>
              <w:rPr>
                <w:rFonts w:ascii="Arial" w:cs="Arial" w:eastAsia="Arial" w:hAnsi="Arial"/>
                <w:sz w:val="18"/>
                <w:szCs w:val="18"/>
                <w:color w:val="auto"/>
              </w:rPr>
              <w:t>Defaulted Interest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2.14</w:t>
            </w:r>
          </w:p>
        </w:tc>
        <w:tc>
          <w:tcPr>
            <w:tcW w:w="8260" w:type="dxa"/>
            <w:vAlign w:val="bottom"/>
          </w:tcPr>
          <w:p>
            <w:pPr>
              <w:ind w:left="40"/>
              <w:spacing w:after="0"/>
              <w:rPr>
                <w:sz w:val="20"/>
                <w:szCs w:val="20"/>
                <w:color w:val="auto"/>
              </w:rPr>
            </w:pPr>
            <w:r>
              <w:rPr>
                <w:rFonts w:ascii="Arial" w:cs="Arial" w:eastAsia="Arial" w:hAnsi="Arial"/>
                <w:sz w:val="18"/>
                <w:szCs w:val="18"/>
                <w:color w:val="auto"/>
              </w:rPr>
              <w:t>Global Securities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180" w:type="dxa"/>
            <w:vAlign w:val="bottom"/>
          </w:tcPr>
          <w:p>
            <w:pPr>
              <w:ind w:left="520"/>
              <w:spacing w:after="0"/>
              <w:rPr>
                <w:sz w:val="20"/>
                <w:szCs w:val="20"/>
                <w:color w:val="auto"/>
              </w:rPr>
            </w:pPr>
            <w:r>
              <w:rPr>
                <w:rFonts w:ascii="Arial" w:cs="Arial" w:eastAsia="Arial" w:hAnsi="Arial"/>
                <w:sz w:val="18"/>
                <w:szCs w:val="18"/>
                <w:color w:val="auto"/>
              </w:rPr>
              <w:t>Section 2.15</w:t>
            </w:r>
          </w:p>
        </w:tc>
        <w:tc>
          <w:tcPr>
            <w:tcW w:w="8260" w:type="dxa"/>
            <w:vAlign w:val="bottom"/>
          </w:tcPr>
          <w:p>
            <w:pPr>
              <w:ind w:left="40"/>
              <w:spacing w:after="0"/>
              <w:rPr>
                <w:sz w:val="20"/>
                <w:szCs w:val="20"/>
                <w:color w:val="auto"/>
              </w:rPr>
            </w:pPr>
            <w:r>
              <w:rPr>
                <w:rFonts w:ascii="Arial" w:cs="Arial" w:eastAsia="Arial" w:hAnsi="Arial"/>
                <w:sz w:val="18"/>
                <w:szCs w:val="18"/>
                <w:color w:val="auto"/>
              </w:rPr>
              <w:t>CUSIP Numbers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2180" w:type="dxa"/>
            <w:vAlign w:val="bottom"/>
          </w:tcPr>
          <w:p>
            <w:pPr>
              <w:ind w:left="520"/>
              <w:spacing w:after="0"/>
              <w:rPr>
                <w:sz w:val="20"/>
                <w:szCs w:val="20"/>
                <w:color w:val="auto"/>
              </w:rPr>
            </w:pPr>
            <w:r>
              <w:rPr>
                <w:rFonts w:ascii="Arial" w:cs="Arial" w:eastAsia="Arial" w:hAnsi="Arial"/>
                <w:sz w:val="18"/>
                <w:szCs w:val="18"/>
                <w:color w:val="auto"/>
              </w:rPr>
              <w:t>Section 3.1</w:t>
            </w:r>
          </w:p>
        </w:tc>
        <w:tc>
          <w:tcPr>
            <w:tcW w:w="8260" w:type="dxa"/>
            <w:vAlign w:val="bottom"/>
          </w:tcPr>
          <w:p>
            <w:pPr>
              <w:ind w:left="40"/>
              <w:spacing w:after="0"/>
              <w:rPr>
                <w:sz w:val="20"/>
                <w:szCs w:val="20"/>
                <w:color w:val="auto"/>
              </w:rPr>
            </w:pPr>
            <w:r>
              <w:rPr>
                <w:rFonts w:ascii="Arial" w:cs="Arial" w:eastAsia="Arial" w:hAnsi="Arial"/>
                <w:sz w:val="18"/>
                <w:szCs w:val="18"/>
                <w:color w:val="auto"/>
              </w:rPr>
              <w:t>Notice to Trustee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3.2</w:t>
            </w:r>
          </w:p>
        </w:tc>
        <w:tc>
          <w:tcPr>
            <w:tcW w:w="8260" w:type="dxa"/>
            <w:vAlign w:val="bottom"/>
          </w:tcPr>
          <w:p>
            <w:pPr>
              <w:ind w:left="40"/>
              <w:spacing w:after="0"/>
              <w:rPr>
                <w:sz w:val="20"/>
                <w:szCs w:val="20"/>
                <w:color w:val="auto"/>
              </w:rPr>
            </w:pPr>
            <w:r>
              <w:rPr>
                <w:rFonts w:ascii="Arial" w:cs="Arial" w:eastAsia="Arial" w:hAnsi="Arial"/>
                <w:sz w:val="18"/>
                <w:szCs w:val="18"/>
                <w:color w:val="auto"/>
              </w:rPr>
              <w:t>Selection of Securities to be Redeemed or Repurchased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3.3</w:t>
            </w:r>
          </w:p>
        </w:tc>
        <w:tc>
          <w:tcPr>
            <w:tcW w:w="8260" w:type="dxa"/>
            <w:vAlign w:val="bottom"/>
          </w:tcPr>
          <w:p>
            <w:pPr>
              <w:ind w:left="40"/>
              <w:spacing w:after="0"/>
              <w:rPr>
                <w:sz w:val="20"/>
                <w:szCs w:val="20"/>
                <w:color w:val="auto"/>
              </w:rPr>
            </w:pPr>
            <w:r>
              <w:rPr>
                <w:rFonts w:ascii="Arial" w:cs="Arial" w:eastAsia="Arial" w:hAnsi="Arial"/>
                <w:sz w:val="18"/>
                <w:szCs w:val="18"/>
                <w:color w:val="auto"/>
              </w:rPr>
              <w:t>Notice of Redemption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3.4</w:t>
            </w:r>
          </w:p>
        </w:tc>
        <w:tc>
          <w:tcPr>
            <w:tcW w:w="8260" w:type="dxa"/>
            <w:vAlign w:val="bottom"/>
          </w:tcPr>
          <w:p>
            <w:pPr>
              <w:ind w:left="40"/>
              <w:spacing w:after="0"/>
              <w:rPr>
                <w:sz w:val="20"/>
                <w:szCs w:val="20"/>
                <w:color w:val="auto"/>
              </w:rPr>
            </w:pPr>
            <w:r>
              <w:rPr>
                <w:rFonts w:ascii="Arial" w:cs="Arial" w:eastAsia="Arial" w:hAnsi="Arial"/>
                <w:sz w:val="18"/>
                <w:szCs w:val="18"/>
                <w:color w:val="auto"/>
              </w:rPr>
              <w:t>Effect of Notice of Redemption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3.5</w:t>
            </w:r>
          </w:p>
        </w:tc>
        <w:tc>
          <w:tcPr>
            <w:tcW w:w="8260" w:type="dxa"/>
            <w:vAlign w:val="bottom"/>
          </w:tcPr>
          <w:p>
            <w:pPr>
              <w:ind w:left="40"/>
              <w:spacing w:after="0"/>
              <w:rPr>
                <w:sz w:val="20"/>
                <w:szCs w:val="20"/>
                <w:color w:val="auto"/>
              </w:rPr>
            </w:pPr>
            <w:r>
              <w:rPr>
                <w:rFonts w:ascii="Arial" w:cs="Arial" w:eastAsia="Arial" w:hAnsi="Arial"/>
                <w:sz w:val="18"/>
                <w:szCs w:val="18"/>
                <w:color w:val="auto"/>
              </w:rPr>
              <w:t>Deposit of Redemption Price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180" w:type="dxa"/>
            <w:vAlign w:val="bottom"/>
          </w:tcPr>
          <w:p>
            <w:pPr>
              <w:ind w:left="520"/>
              <w:spacing w:after="0"/>
              <w:rPr>
                <w:sz w:val="20"/>
                <w:szCs w:val="20"/>
                <w:color w:val="auto"/>
              </w:rPr>
            </w:pPr>
            <w:r>
              <w:rPr>
                <w:rFonts w:ascii="Arial" w:cs="Arial" w:eastAsia="Arial" w:hAnsi="Arial"/>
                <w:sz w:val="18"/>
                <w:szCs w:val="18"/>
                <w:color w:val="auto"/>
              </w:rPr>
              <w:t>Section 3.6</w:t>
            </w:r>
          </w:p>
        </w:tc>
        <w:tc>
          <w:tcPr>
            <w:tcW w:w="8260" w:type="dxa"/>
            <w:vAlign w:val="bottom"/>
          </w:tcPr>
          <w:p>
            <w:pPr>
              <w:ind w:left="40"/>
              <w:spacing w:after="0"/>
              <w:rPr>
                <w:sz w:val="20"/>
                <w:szCs w:val="20"/>
                <w:color w:val="auto"/>
              </w:rPr>
            </w:pPr>
            <w:r>
              <w:rPr>
                <w:rFonts w:ascii="Arial" w:cs="Arial" w:eastAsia="Arial" w:hAnsi="Arial"/>
                <w:sz w:val="18"/>
                <w:szCs w:val="18"/>
                <w:color w:val="auto"/>
              </w:rPr>
              <w:t>Securities Redeemed in Part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w w:val="98"/>
              </w:rPr>
              <w:t>ARTICLE IV. COVENANTS</w:t>
            </w:r>
          </w:p>
        </w:tc>
        <w:tc>
          <w:tcPr>
            <w:tcW w:w="8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2180" w:type="dxa"/>
            <w:vAlign w:val="bottom"/>
          </w:tcPr>
          <w:p>
            <w:pPr>
              <w:ind w:left="520"/>
              <w:spacing w:after="0"/>
              <w:rPr>
                <w:sz w:val="20"/>
                <w:szCs w:val="20"/>
                <w:color w:val="auto"/>
              </w:rPr>
            </w:pPr>
            <w:r>
              <w:rPr>
                <w:rFonts w:ascii="Arial" w:cs="Arial" w:eastAsia="Arial" w:hAnsi="Arial"/>
                <w:sz w:val="18"/>
                <w:szCs w:val="18"/>
                <w:color w:val="auto"/>
              </w:rPr>
              <w:t>Section 4.1</w:t>
            </w:r>
          </w:p>
        </w:tc>
        <w:tc>
          <w:tcPr>
            <w:tcW w:w="8260" w:type="dxa"/>
            <w:vAlign w:val="bottom"/>
          </w:tcPr>
          <w:p>
            <w:pPr>
              <w:ind w:left="40"/>
              <w:spacing w:after="0"/>
              <w:rPr>
                <w:sz w:val="20"/>
                <w:szCs w:val="20"/>
                <w:color w:val="auto"/>
              </w:rPr>
            </w:pPr>
            <w:r>
              <w:rPr>
                <w:rFonts w:ascii="Arial" w:cs="Arial" w:eastAsia="Arial" w:hAnsi="Arial"/>
                <w:sz w:val="18"/>
                <w:szCs w:val="18"/>
                <w:color w:val="auto"/>
              </w:rPr>
              <w:t>Payment of Principal and Interest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4.2</w:t>
            </w:r>
          </w:p>
        </w:tc>
        <w:tc>
          <w:tcPr>
            <w:tcW w:w="8260" w:type="dxa"/>
            <w:vAlign w:val="bottom"/>
          </w:tcPr>
          <w:p>
            <w:pPr>
              <w:ind w:left="40"/>
              <w:spacing w:after="0"/>
              <w:rPr>
                <w:sz w:val="20"/>
                <w:szCs w:val="20"/>
                <w:color w:val="auto"/>
              </w:rPr>
            </w:pPr>
            <w:r>
              <w:rPr>
                <w:rFonts w:ascii="Arial" w:cs="Arial" w:eastAsia="Arial" w:hAnsi="Arial"/>
                <w:sz w:val="18"/>
                <w:szCs w:val="18"/>
                <w:color w:val="auto"/>
              </w:rPr>
              <w:t>Maintenance of Office or Agency</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4.3</w:t>
            </w:r>
          </w:p>
        </w:tc>
        <w:tc>
          <w:tcPr>
            <w:tcW w:w="8260" w:type="dxa"/>
            <w:vAlign w:val="bottom"/>
          </w:tcPr>
          <w:p>
            <w:pPr>
              <w:ind w:left="40"/>
              <w:spacing w:after="0"/>
              <w:rPr>
                <w:sz w:val="20"/>
                <w:szCs w:val="20"/>
                <w:color w:val="auto"/>
              </w:rPr>
            </w:pPr>
            <w:r>
              <w:rPr>
                <w:rFonts w:ascii="Arial" w:cs="Arial" w:eastAsia="Arial" w:hAnsi="Arial"/>
                <w:sz w:val="18"/>
                <w:szCs w:val="18"/>
                <w:color w:val="auto"/>
              </w:rPr>
              <w:t>Reports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4.4</w:t>
            </w:r>
          </w:p>
        </w:tc>
        <w:tc>
          <w:tcPr>
            <w:tcW w:w="826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4.5</w:t>
            </w:r>
          </w:p>
        </w:tc>
        <w:tc>
          <w:tcPr>
            <w:tcW w:w="8260" w:type="dxa"/>
            <w:vAlign w:val="bottom"/>
          </w:tcPr>
          <w:p>
            <w:pPr>
              <w:ind w:left="40"/>
              <w:spacing w:after="0"/>
              <w:rPr>
                <w:sz w:val="20"/>
                <w:szCs w:val="20"/>
                <w:color w:val="auto"/>
              </w:rPr>
            </w:pPr>
            <w:r>
              <w:rPr>
                <w:rFonts w:ascii="Arial" w:cs="Arial" w:eastAsia="Arial" w:hAnsi="Arial"/>
                <w:sz w:val="18"/>
                <w:szCs w:val="18"/>
                <w:color w:val="auto"/>
              </w:rPr>
              <w:t>Taxes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180" w:type="dxa"/>
            <w:vAlign w:val="bottom"/>
          </w:tcPr>
          <w:p>
            <w:pPr>
              <w:ind w:left="520"/>
              <w:spacing w:after="0"/>
              <w:rPr>
                <w:sz w:val="20"/>
                <w:szCs w:val="20"/>
                <w:color w:val="auto"/>
              </w:rPr>
            </w:pPr>
            <w:r>
              <w:rPr>
                <w:rFonts w:ascii="Arial" w:cs="Arial" w:eastAsia="Arial" w:hAnsi="Arial"/>
                <w:sz w:val="18"/>
                <w:szCs w:val="18"/>
                <w:color w:val="auto"/>
              </w:rPr>
              <w:t>Section 4.6</w:t>
            </w:r>
          </w:p>
        </w:tc>
        <w:tc>
          <w:tcPr>
            <w:tcW w:w="8260" w:type="dxa"/>
            <w:vAlign w:val="bottom"/>
          </w:tcPr>
          <w:p>
            <w:pPr>
              <w:ind w:left="40"/>
              <w:spacing w:after="0"/>
              <w:rPr>
                <w:sz w:val="20"/>
                <w:szCs w:val="20"/>
                <w:color w:val="auto"/>
              </w:rPr>
            </w:pPr>
            <w:r>
              <w:rPr>
                <w:rFonts w:ascii="Arial" w:cs="Arial" w:eastAsia="Arial" w:hAnsi="Arial"/>
                <w:sz w:val="18"/>
                <w:szCs w:val="18"/>
                <w:color w:val="auto"/>
              </w:rPr>
              <w:t>Stay, Extension and Usury Laws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180" w:type="dxa"/>
            <w:vAlign w:val="bottom"/>
          </w:tcPr>
          <w:p>
            <w:pPr>
              <w:ind w:left="520"/>
              <w:spacing w:after="0"/>
              <w:rPr>
                <w:sz w:val="20"/>
                <w:szCs w:val="20"/>
                <w:color w:val="auto"/>
              </w:rPr>
            </w:pPr>
            <w:r>
              <w:rPr>
                <w:rFonts w:ascii="Arial" w:cs="Arial" w:eastAsia="Arial" w:hAnsi="Arial"/>
                <w:sz w:val="18"/>
                <w:szCs w:val="18"/>
                <w:color w:val="auto"/>
              </w:rPr>
              <w:t>Section 4.7</w:t>
            </w:r>
          </w:p>
        </w:tc>
        <w:tc>
          <w:tcPr>
            <w:tcW w:w="8260" w:type="dxa"/>
            <w:vAlign w:val="bottom"/>
          </w:tcPr>
          <w:p>
            <w:pPr>
              <w:ind w:left="40"/>
              <w:spacing w:after="0"/>
              <w:rPr>
                <w:sz w:val="20"/>
                <w:szCs w:val="20"/>
                <w:color w:val="auto"/>
              </w:rPr>
            </w:pPr>
            <w:r>
              <w:rPr>
                <w:rFonts w:ascii="Arial" w:cs="Arial" w:eastAsia="Arial" w:hAnsi="Arial"/>
                <w:sz w:val="18"/>
                <w:szCs w:val="18"/>
                <w:color w:val="auto"/>
              </w:rPr>
              <w:t>Corporate Existence</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8260" w:type="dxa"/>
            <w:vAlign w:val="bottom"/>
          </w:tcPr>
          <w:p>
            <w:pPr>
              <w:ind w:left="3500"/>
              <w:spacing w:after="0"/>
              <w:rPr>
                <w:sz w:val="20"/>
                <w:szCs w:val="20"/>
                <w:color w:val="auto"/>
              </w:rPr>
            </w:pPr>
            <w:r>
              <w:rPr>
                <w:rFonts w:ascii="Arial" w:cs="Arial" w:eastAsia="Arial" w:hAnsi="Arial"/>
                <w:sz w:val="18"/>
                <w:szCs w:val="18"/>
                <w:color w:val="auto"/>
              </w:rPr>
              <w:t>i</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8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180" w:type="dxa"/>
            <w:vAlign w:val="bottom"/>
          </w:tcPr>
          <w:p>
            <w:pPr>
              <w:spacing w:after="0"/>
              <w:rPr>
                <w:sz w:val="20"/>
                <w:szCs w:val="20"/>
                <w:color w:val="auto"/>
              </w:rPr>
            </w:pPr>
            <w:r>
              <w:rPr>
                <w:rFonts w:ascii="Arial" w:cs="Arial" w:eastAsia="Arial" w:hAnsi="Arial"/>
                <w:sz w:val="18"/>
                <w:szCs w:val="18"/>
                <w:color w:val="auto"/>
                <w:w w:val="94"/>
              </w:rPr>
              <w:t>ARTICLE V. SUCCESSORS</w:t>
            </w:r>
          </w:p>
        </w:tc>
        <w:tc>
          <w:tcPr>
            <w:tcW w:w="8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2180" w:type="dxa"/>
            <w:vAlign w:val="bottom"/>
          </w:tcPr>
          <w:p>
            <w:pPr>
              <w:ind w:left="520"/>
              <w:spacing w:after="0"/>
              <w:rPr>
                <w:sz w:val="20"/>
                <w:szCs w:val="20"/>
                <w:color w:val="auto"/>
              </w:rPr>
            </w:pPr>
            <w:r>
              <w:rPr>
                <w:rFonts w:ascii="Arial" w:cs="Arial" w:eastAsia="Arial" w:hAnsi="Arial"/>
                <w:sz w:val="18"/>
                <w:szCs w:val="18"/>
                <w:color w:val="auto"/>
              </w:rPr>
              <w:t>Section 5.1</w:t>
            </w:r>
          </w:p>
        </w:tc>
        <w:tc>
          <w:tcPr>
            <w:tcW w:w="8260" w:type="dxa"/>
            <w:vAlign w:val="bottom"/>
          </w:tcPr>
          <w:p>
            <w:pPr>
              <w:ind w:left="40"/>
              <w:spacing w:after="0"/>
              <w:rPr>
                <w:sz w:val="20"/>
                <w:szCs w:val="20"/>
                <w:color w:val="auto"/>
              </w:rPr>
            </w:pPr>
            <w:r>
              <w:rPr>
                <w:rFonts w:ascii="Arial" w:cs="Arial" w:eastAsia="Arial" w:hAnsi="Arial"/>
                <w:sz w:val="18"/>
                <w:szCs w:val="18"/>
                <w:color w:val="auto"/>
              </w:rPr>
              <w:t>Merger, Consolidation, or Sale of Assets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180" w:type="dxa"/>
            <w:vAlign w:val="bottom"/>
          </w:tcPr>
          <w:p>
            <w:pPr>
              <w:ind w:left="520"/>
              <w:spacing w:after="0"/>
              <w:rPr>
                <w:sz w:val="20"/>
                <w:szCs w:val="20"/>
                <w:color w:val="auto"/>
              </w:rPr>
            </w:pPr>
            <w:r>
              <w:rPr>
                <w:rFonts w:ascii="Arial" w:cs="Arial" w:eastAsia="Arial" w:hAnsi="Arial"/>
                <w:sz w:val="18"/>
                <w:szCs w:val="18"/>
                <w:color w:val="auto"/>
              </w:rPr>
              <w:t>Section 5.2</w:t>
            </w:r>
          </w:p>
        </w:tc>
        <w:tc>
          <w:tcPr>
            <w:tcW w:w="8260" w:type="dxa"/>
            <w:vAlign w:val="bottom"/>
          </w:tcPr>
          <w:p>
            <w:pPr>
              <w:ind w:left="40"/>
              <w:spacing w:after="0"/>
              <w:rPr>
                <w:sz w:val="20"/>
                <w:szCs w:val="20"/>
                <w:color w:val="auto"/>
              </w:rPr>
            </w:pPr>
            <w:r>
              <w:rPr>
                <w:rFonts w:ascii="Arial" w:cs="Arial" w:eastAsia="Arial" w:hAnsi="Arial"/>
                <w:sz w:val="18"/>
                <w:szCs w:val="18"/>
                <w:color w:val="auto"/>
              </w:rPr>
              <w:t>Successor Corporation Substituted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1044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6.1</w:t>
            </w:r>
          </w:p>
        </w:tc>
        <w:tc>
          <w:tcPr>
            <w:tcW w:w="820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6.2</w:t>
            </w:r>
          </w:p>
        </w:tc>
        <w:tc>
          <w:tcPr>
            <w:tcW w:w="8200" w:type="dxa"/>
            <w:vAlign w:val="bottom"/>
          </w:tcPr>
          <w:p>
            <w:pPr>
              <w:ind w:left="140"/>
              <w:spacing w:after="0"/>
              <w:rPr>
                <w:sz w:val="20"/>
                <w:szCs w:val="20"/>
                <w:color w:val="auto"/>
              </w:rPr>
            </w:pPr>
            <w:r>
              <w:rPr>
                <w:rFonts w:ascii="Arial" w:cs="Arial" w:eastAsia="Arial" w:hAnsi="Arial"/>
                <w:sz w:val="18"/>
                <w:szCs w:val="18"/>
                <w:color w:val="auto"/>
              </w:rPr>
              <w:t>Acceleration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6.3</w:t>
            </w:r>
          </w:p>
        </w:tc>
        <w:tc>
          <w:tcPr>
            <w:tcW w:w="820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6.4</w:t>
            </w:r>
          </w:p>
        </w:tc>
        <w:tc>
          <w:tcPr>
            <w:tcW w:w="820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6.5</w:t>
            </w:r>
          </w:p>
        </w:tc>
        <w:tc>
          <w:tcPr>
            <w:tcW w:w="8200" w:type="dxa"/>
            <w:vAlign w:val="bottom"/>
          </w:tcPr>
          <w:p>
            <w:pPr>
              <w:ind w:left="140"/>
              <w:spacing w:after="0"/>
              <w:rPr>
                <w:sz w:val="20"/>
                <w:szCs w:val="20"/>
                <w:color w:val="auto"/>
              </w:rPr>
            </w:pPr>
            <w:r>
              <w:rPr>
                <w:rFonts w:ascii="Arial" w:cs="Arial" w:eastAsia="Arial" w:hAnsi="Arial"/>
                <w:sz w:val="18"/>
                <w:szCs w:val="18"/>
                <w:color w:val="auto"/>
              </w:rPr>
              <w:t>Control by Majority</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6.6</w:t>
            </w:r>
          </w:p>
        </w:tc>
        <w:tc>
          <w:tcPr>
            <w:tcW w:w="820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6.7</w:t>
            </w:r>
          </w:p>
        </w:tc>
        <w:tc>
          <w:tcPr>
            <w:tcW w:w="8200" w:type="dxa"/>
            <w:vAlign w:val="bottom"/>
          </w:tcPr>
          <w:p>
            <w:pPr>
              <w:ind w:left="140"/>
              <w:spacing w:after="0"/>
              <w:rPr>
                <w:sz w:val="20"/>
                <w:szCs w:val="20"/>
                <w:color w:val="auto"/>
              </w:rPr>
            </w:pPr>
            <w:r>
              <w:rPr>
                <w:rFonts w:ascii="Arial" w:cs="Arial" w:eastAsia="Arial" w:hAnsi="Arial"/>
                <w:sz w:val="18"/>
                <w:szCs w:val="18"/>
                <w:color w:val="auto"/>
              </w:rPr>
              <w:t>Rights of Holders of Security to Receive Payment</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6.8</w:t>
            </w:r>
          </w:p>
        </w:tc>
        <w:tc>
          <w:tcPr>
            <w:tcW w:w="8200" w:type="dxa"/>
            <w:vAlign w:val="bottom"/>
          </w:tcPr>
          <w:p>
            <w:pPr>
              <w:ind w:left="140"/>
              <w:spacing w:after="0"/>
              <w:rPr>
                <w:sz w:val="20"/>
                <w:szCs w:val="20"/>
                <w:color w:val="auto"/>
              </w:rPr>
            </w:pPr>
            <w:r>
              <w:rPr>
                <w:rFonts w:ascii="Arial" w:cs="Arial" w:eastAsia="Arial" w:hAnsi="Arial"/>
                <w:sz w:val="18"/>
                <w:szCs w:val="18"/>
                <w:color w:val="auto"/>
              </w:rPr>
              <w:t>Collection Suit by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6.9</w:t>
            </w:r>
          </w:p>
        </w:tc>
        <w:tc>
          <w:tcPr>
            <w:tcW w:w="820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6.10</w:t>
            </w:r>
          </w:p>
        </w:tc>
        <w:tc>
          <w:tcPr>
            <w:tcW w:w="820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6.11</w:t>
            </w:r>
          </w:p>
        </w:tc>
        <w:tc>
          <w:tcPr>
            <w:tcW w:w="820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VII. TRUSTEE</w:t>
            </w:r>
          </w:p>
        </w:tc>
        <w:tc>
          <w:tcPr>
            <w:tcW w:w="8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2080" w:type="dxa"/>
            <w:vAlign w:val="bottom"/>
          </w:tcPr>
          <w:p>
            <w:pPr>
              <w:ind w:left="520"/>
              <w:spacing w:after="0"/>
              <w:rPr>
                <w:sz w:val="20"/>
                <w:szCs w:val="20"/>
                <w:color w:val="auto"/>
              </w:rPr>
            </w:pPr>
            <w:r>
              <w:rPr>
                <w:rFonts w:ascii="Arial" w:cs="Arial" w:eastAsia="Arial" w:hAnsi="Arial"/>
                <w:sz w:val="18"/>
                <w:szCs w:val="18"/>
                <w:color w:val="auto"/>
              </w:rPr>
              <w:t>Section 7.1</w:t>
            </w:r>
          </w:p>
        </w:tc>
        <w:tc>
          <w:tcPr>
            <w:tcW w:w="820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7.2</w:t>
            </w:r>
          </w:p>
        </w:tc>
        <w:tc>
          <w:tcPr>
            <w:tcW w:w="820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7.3</w:t>
            </w:r>
          </w:p>
        </w:tc>
        <w:tc>
          <w:tcPr>
            <w:tcW w:w="820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7.4</w:t>
            </w:r>
          </w:p>
        </w:tc>
        <w:tc>
          <w:tcPr>
            <w:tcW w:w="820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7.5</w:t>
            </w:r>
          </w:p>
        </w:tc>
        <w:tc>
          <w:tcPr>
            <w:tcW w:w="820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7.6</w:t>
            </w:r>
          </w:p>
        </w:tc>
        <w:tc>
          <w:tcPr>
            <w:tcW w:w="820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7.7</w:t>
            </w:r>
          </w:p>
        </w:tc>
        <w:tc>
          <w:tcPr>
            <w:tcW w:w="820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7.8</w:t>
            </w:r>
          </w:p>
        </w:tc>
        <w:tc>
          <w:tcPr>
            <w:tcW w:w="820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7.9</w:t>
            </w:r>
          </w:p>
        </w:tc>
        <w:tc>
          <w:tcPr>
            <w:tcW w:w="820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7.10</w:t>
            </w:r>
          </w:p>
        </w:tc>
        <w:tc>
          <w:tcPr>
            <w:tcW w:w="820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7.11</w:t>
            </w:r>
          </w:p>
        </w:tc>
        <w:tc>
          <w:tcPr>
            <w:tcW w:w="820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2080" w:type="dxa"/>
            <w:vAlign w:val="bottom"/>
          </w:tcPr>
          <w:p>
            <w:pPr>
              <w:ind w:left="520"/>
              <w:spacing w:after="0"/>
              <w:rPr>
                <w:sz w:val="20"/>
                <w:szCs w:val="20"/>
                <w:color w:val="auto"/>
              </w:rPr>
            </w:pPr>
            <w:r>
              <w:rPr>
                <w:rFonts w:ascii="Arial" w:cs="Arial" w:eastAsia="Arial" w:hAnsi="Arial"/>
                <w:sz w:val="18"/>
                <w:szCs w:val="18"/>
                <w:color w:val="auto"/>
              </w:rPr>
              <w:t>Section 8.1</w:t>
            </w:r>
          </w:p>
        </w:tc>
        <w:tc>
          <w:tcPr>
            <w:tcW w:w="8200" w:type="dxa"/>
            <w:vAlign w:val="bottom"/>
          </w:tcPr>
          <w:p>
            <w:pPr>
              <w:ind w:left="140"/>
              <w:spacing w:after="0"/>
              <w:rPr>
                <w:sz w:val="20"/>
                <w:szCs w:val="20"/>
                <w:color w:val="auto"/>
              </w:rPr>
            </w:pPr>
            <w:r>
              <w:rPr>
                <w:rFonts w:ascii="Arial" w:cs="Arial" w:eastAsia="Arial" w:hAnsi="Arial"/>
                <w:sz w:val="18"/>
                <w:szCs w:val="18"/>
                <w:color w:val="auto"/>
              </w:rPr>
              <w:t>Option to Effect Legal Defeasance or 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8.2</w:t>
            </w:r>
          </w:p>
        </w:tc>
        <w:tc>
          <w:tcPr>
            <w:tcW w:w="8200" w:type="dxa"/>
            <w:vAlign w:val="bottom"/>
          </w:tcPr>
          <w:p>
            <w:pPr>
              <w:ind w:left="140"/>
              <w:spacing w:after="0"/>
              <w:rPr>
                <w:sz w:val="20"/>
                <w:szCs w:val="20"/>
                <w:color w:val="auto"/>
              </w:rPr>
            </w:pPr>
            <w:r>
              <w:rPr>
                <w:rFonts w:ascii="Arial" w:cs="Arial" w:eastAsia="Arial" w:hAnsi="Arial"/>
                <w:sz w:val="18"/>
                <w:szCs w:val="18"/>
                <w:color w:val="auto"/>
              </w:rPr>
              <w:t>Legal Defeasance and Discharge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8.3</w:t>
            </w:r>
          </w:p>
        </w:tc>
        <w:tc>
          <w:tcPr>
            <w:tcW w:w="820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8.4</w:t>
            </w:r>
          </w:p>
        </w:tc>
        <w:tc>
          <w:tcPr>
            <w:tcW w:w="8200" w:type="dxa"/>
            <w:vAlign w:val="bottom"/>
          </w:tcPr>
          <w:p>
            <w:pPr>
              <w:ind w:left="140"/>
              <w:spacing w:after="0"/>
              <w:rPr>
                <w:sz w:val="20"/>
                <w:szCs w:val="20"/>
                <w:color w:val="auto"/>
              </w:rPr>
            </w:pPr>
            <w:r>
              <w:rPr>
                <w:rFonts w:ascii="Arial" w:cs="Arial" w:eastAsia="Arial" w:hAnsi="Arial"/>
                <w:sz w:val="18"/>
                <w:szCs w:val="18"/>
                <w:color w:val="auto"/>
              </w:rPr>
              <w:t>Conditions to Legal or 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8.5</w:t>
            </w:r>
          </w:p>
        </w:tc>
        <w:tc>
          <w:tcPr>
            <w:tcW w:w="8200" w:type="dxa"/>
            <w:vAlign w:val="bottom"/>
          </w:tcPr>
          <w:p>
            <w:pPr>
              <w:ind w:left="14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8.6</w:t>
            </w:r>
          </w:p>
        </w:tc>
        <w:tc>
          <w:tcPr>
            <w:tcW w:w="820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8.7</w:t>
            </w:r>
          </w:p>
        </w:tc>
        <w:tc>
          <w:tcPr>
            <w:tcW w:w="820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2080" w:type="dxa"/>
            <w:vAlign w:val="bottom"/>
          </w:tcPr>
          <w:p>
            <w:pPr>
              <w:ind w:left="520"/>
              <w:spacing w:after="0"/>
              <w:rPr>
                <w:sz w:val="20"/>
                <w:szCs w:val="20"/>
                <w:color w:val="auto"/>
              </w:rPr>
            </w:pPr>
            <w:r>
              <w:rPr>
                <w:rFonts w:ascii="Arial" w:cs="Arial" w:eastAsia="Arial" w:hAnsi="Arial"/>
                <w:sz w:val="18"/>
                <w:szCs w:val="18"/>
                <w:color w:val="auto"/>
              </w:rPr>
              <w:t>Section 9.1</w:t>
            </w:r>
          </w:p>
        </w:tc>
        <w:tc>
          <w:tcPr>
            <w:tcW w:w="820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9.2</w:t>
            </w:r>
          </w:p>
        </w:tc>
        <w:tc>
          <w:tcPr>
            <w:tcW w:w="820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2080" w:type="dxa"/>
            <w:vAlign w:val="bottom"/>
          </w:tcPr>
          <w:p>
            <w:pPr>
              <w:spacing w:after="0"/>
              <w:rPr>
                <w:sz w:val="24"/>
                <w:szCs w:val="24"/>
                <w:color w:val="auto"/>
              </w:rPr>
            </w:pPr>
          </w:p>
        </w:tc>
        <w:tc>
          <w:tcPr>
            <w:tcW w:w="8200" w:type="dxa"/>
            <w:vAlign w:val="bottom"/>
          </w:tcPr>
          <w:p>
            <w:pPr>
              <w:ind w:left="3580"/>
              <w:spacing w:after="0"/>
              <w:rPr>
                <w:sz w:val="20"/>
                <w:szCs w:val="20"/>
                <w:color w:val="auto"/>
              </w:rPr>
            </w:pPr>
            <w:r>
              <w:rPr>
                <w:rFonts w:ascii="Arial" w:cs="Arial" w:eastAsia="Arial" w:hAnsi="Arial"/>
                <w:sz w:val="18"/>
                <w:szCs w:val="18"/>
                <w:color w:val="auto"/>
              </w:rPr>
              <w:t>ii</w:t>
            </w:r>
          </w:p>
        </w:tc>
        <w:tc>
          <w:tcPr>
            <w:tcW w:w="1180" w:type="dxa"/>
            <w:vAlign w:val="bottom"/>
          </w:tcPr>
          <w:p>
            <w:pPr>
              <w:spacing w:after="0"/>
              <w:rPr>
                <w:sz w:val="24"/>
                <w:szCs w:val="24"/>
                <w:color w:val="auto"/>
              </w:rPr>
            </w:pPr>
          </w:p>
        </w:tc>
      </w:tr>
      <w:tr>
        <w:trPr>
          <w:trHeight w:val="132"/>
        </w:trPr>
        <w:tc>
          <w:tcPr>
            <w:tcW w:w="2080" w:type="dxa"/>
            <w:vAlign w:val="bottom"/>
            <w:tcBorders>
              <w:bottom w:val="single" w:sz="8" w:color="808080"/>
            </w:tcBorders>
          </w:tcPr>
          <w:p>
            <w:pPr>
              <w:spacing w:after="0"/>
              <w:rPr>
                <w:sz w:val="11"/>
                <w:szCs w:val="11"/>
                <w:color w:val="auto"/>
              </w:rPr>
            </w:pPr>
          </w:p>
        </w:tc>
        <w:tc>
          <w:tcPr>
            <w:tcW w:w="8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r>
        <w:trPr>
          <w:trHeight w:val="766"/>
        </w:trPr>
        <w:tc>
          <w:tcPr>
            <w:tcW w:w="2080" w:type="dxa"/>
            <w:vAlign w:val="bottom"/>
          </w:tcPr>
          <w:p>
            <w:pPr>
              <w:ind w:left="520"/>
              <w:spacing w:after="0"/>
              <w:rPr>
                <w:sz w:val="20"/>
                <w:szCs w:val="20"/>
                <w:color w:val="auto"/>
              </w:rPr>
            </w:pPr>
            <w:r>
              <w:rPr>
                <w:rFonts w:ascii="Arial" w:cs="Arial" w:eastAsia="Arial" w:hAnsi="Arial"/>
                <w:sz w:val="18"/>
                <w:szCs w:val="18"/>
                <w:color w:val="auto"/>
              </w:rPr>
              <w:t>Section 9.3</w:t>
            </w:r>
          </w:p>
        </w:tc>
        <w:tc>
          <w:tcPr>
            <w:tcW w:w="820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9.4</w:t>
            </w:r>
          </w:p>
        </w:tc>
        <w:tc>
          <w:tcPr>
            <w:tcW w:w="820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9.5</w:t>
            </w:r>
          </w:p>
        </w:tc>
        <w:tc>
          <w:tcPr>
            <w:tcW w:w="820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9.6</w:t>
            </w:r>
          </w:p>
        </w:tc>
        <w:tc>
          <w:tcPr>
            <w:tcW w:w="820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9.7</w:t>
            </w:r>
          </w:p>
        </w:tc>
        <w:tc>
          <w:tcPr>
            <w:tcW w:w="8200" w:type="dxa"/>
            <w:vAlign w:val="bottom"/>
          </w:tcPr>
          <w:p>
            <w:pPr>
              <w:ind w:left="140"/>
              <w:spacing w:after="0"/>
              <w:rPr>
                <w:sz w:val="20"/>
                <w:szCs w:val="20"/>
                <w:color w:val="auto"/>
              </w:rPr>
            </w:pPr>
            <w:r>
              <w:rPr>
                <w:rFonts w:ascii="Arial" w:cs="Arial" w:eastAsia="Arial" w:hAnsi="Arial"/>
                <w:sz w:val="18"/>
                <w:szCs w:val="18"/>
                <w:color w:val="auto"/>
              </w:rPr>
              <w:t>Trustee Protected</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 SATISFACTION AND DISCHARGE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2080" w:type="dxa"/>
            <w:vAlign w:val="bottom"/>
          </w:tcPr>
          <w:p>
            <w:pPr>
              <w:ind w:left="520"/>
              <w:spacing w:after="0"/>
              <w:rPr>
                <w:sz w:val="20"/>
                <w:szCs w:val="20"/>
                <w:color w:val="auto"/>
              </w:rPr>
            </w:pPr>
            <w:r>
              <w:rPr>
                <w:rFonts w:ascii="Arial" w:cs="Arial" w:eastAsia="Arial" w:hAnsi="Arial"/>
                <w:sz w:val="18"/>
                <w:szCs w:val="18"/>
                <w:color w:val="auto"/>
              </w:rPr>
              <w:t>Section 10.1</w:t>
            </w:r>
          </w:p>
        </w:tc>
        <w:tc>
          <w:tcPr>
            <w:tcW w:w="8200" w:type="dxa"/>
            <w:vAlign w:val="bottom"/>
          </w:tcPr>
          <w:p>
            <w:pPr>
              <w:ind w:left="140"/>
              <w:spacing w:after="0"/>
              <w:rPr>
                <w:sz w:val="20"/>
                <w:szCs w:val="20"/>
                <w:color w:val="auto"/>
              </w:rPr>
            </w:pPr>
            <w:r>
              <w:rPr>
                <w:rFonts w:ascii="Arial" w:cs="Arial" w:eastAsia="Arial" w:hAnsi="Arial"/>
                <w:sz w:val="18"/>
                <w:szCs w:val="18"/>
                <w:color w:val="auto"/>
              </w:rPr>
              <w:t>Satisfaction and Discharge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10.2</w:t>
            </w:r>
          </w:p>
        </w:tc>
        <w:tc>
          <w:tcPr>
            <w:tcW w:w="820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2080" w:type="dxa"/>
            <w:vAlign w:val="bottom"/>
          </w:tcPr>
          <w:p>
            <w:pPr>
              <w:ind w:left="520"/>
              <w:spacing w:after="0"/>
              <w:rPr>
                <w:sz w:val="20"/>
                <w:szCs w:val="20"/>
                <w:color w:val="auto"/>
              </w:rPr>
            </w:pPr>
            <w:r>
              <w:rPr>
                <w:rFonts w:ascii="Arial" w:cs="Arial" w:eastAsia="Arial" w:hAnsi="Arial"/>
                <w:sz w:val="18"/>
                <w:szCs w:val="18"/>
                <w:color w:val="auto"/>
              </w:rPr>
              <w:t>Section 11.1</w:t>
            </w:r>
          </w:p>
        </w:tc>
        <w:tc>
          <w:tcPr>
            <w:tcW w:w="8200" w:type="dxa"/>
            <w:vAlign w:val="bottom"/>
          </w:tcPr>
          <w:p>
            <w:pPr>
              <w:ind w:left="140"/>
              <w:spacing w:after="0"/>
              <w:rPr>
                <w:sz w:val="20"/>
                <w:szCs w:val="20"/>
                <w:color w:val="auto"/>
              </w:rPr>
            </w:pPr>
            <w:r>
              <w:rPr>
                <w:rFonts w:ascii="Arial" w:cs="Arial" w:eastAsia="Arial" w:hAnsi="Arial"/>
                <w:sz w:val="18"/>
                <w:szCs w:val="18"/>
                <w:color w:val="auto"/>
              </w:rPr>
              <w:t>Trust Indenture Act Controls</w:t>
            </w: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11.2</w:t>
            </w:r>
          </w:p>
        </w:tc>
        <w:tc>
          <w:tcPr>
            <w:tcW w:w="8200" w:type="dxa"/>
            <w:vAlign w:val="bottom"/>
          </w:tcPr>
          <w:p>
            <w:pPr>
              <w:ind w:left="140"/>
              <w:spacing w:after="0"/>
              <w:rPr>
                <w:sz w:val="20"/>
                <w:szCs w:val="20"/>
                <w:color w:val="auto"/>
              </w:rPr>
            </w:pPr>
            <w:r>
              <w:rPr>
                <w:rFonts w:ascii="Arial" w:cs="Arial" w:eastAsia="Arial" w:hAnsi="Arial"/>
                <w:sz w:val="18"/>
                <w:szCs w:val="18"/>
                <w:color w:val="auto"/>
              </w:rPr>
              <w:t>Notices</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11.3</w:t>
            </w:r>
          </w:p>
        </w:tc>
        <w:tc>
          <w:tcPr>
            <w:tcW w:w="8200" w:type="dxa"/>
            <w:vAlign w:val="bottom"/>
          </w:tcPr>
          <w:p>
            <w:pPr>
              <w:ind w:left="140"/>
              <w:spacing w:after="0"/>
              <w:rPr>
                <w:sz w:val="20"/>
                <w:szCs w:val="20"/>
                <w:color w:val="auto"/>
              </w:rPr>
            </w:pPr>
            <w:r>
              <w:rPr>
                <w:rFonts w:ascii="Arial" w:cs="Arial" w:eastAsia="Arial" w:hAnsi="Arial"/>
                <w:sz w:val="18"/>
                <w:szCs w:val="18"/>
                <w:color w:val="auto"/>
              </w:rPr>
              <w:t>Communication by Holders with Other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11.4</w:t>
            </w:r>
          </w:p>
        </w:tc>
        <w:tc>
          <w:tcPr>
            <w:tcW w:w="820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11.5</w:t>
            </w:r>
          </w:p>
        </w:tc>
        <w:tc>
          <w:tcPr>
            <w:tcW w:w="820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11.6</w:t>
            </w:r>
          </w:p>
        </w:tc>
        <w:tc>
          <w:tcPr>
            <w:tcW w:w="820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11.7</w:t>
            </w:r>
          </w:p>
        </w:tc>
        <w:tc>
          <w:tcPr>
            <w:tcW w:w="820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11.8</w:t>
            </w:r>
          </w:p>
        </w:tc>
        <w:tc>
          <w:tcPr>
            <w:tcW w:w="8200" w:type="dxa"/>
            <w:vAlign w:val="bottom"/>
          </w:tcPr>
          <w:p>
            <w:pPr>
              <w:ind w:left="140"/>
              <w:spacing w:after="0"/>
              <w:rPr>
                <w:sz w:val="20"/>
                <w:szCs w:val="20"/>
                <w:color w:val="auto"/>
              </w:rPr>
            </w:pPr>
            <w:r>
              <w:rPr>
                <w:rFonts w:ascii="Arial" w:cs="Arial" w:eastAsia="Arial" w:hAnsi="Arial"/>
                <w:sz w:val="18"/>
                <w:szCs w:val="18"/>
                <w:color w:val="auto"/>
              </w:rPr>
              <w:t>No Recourse Against Others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11.9</w:t>
            </w:r>
          </w:p>
        </w:tc>
        <w:tc>
          <w:tcPr>
            <w:tcW w:w="82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11.10</w:t>
            </w:r>
          </w:p>
        </w:tc>
        <w:tc>
          <w:tcPr>
            <w:tcW w:w="8200" w:type="dxa"/>
            <w:vAlign w:val="bottom"/>
          </w:tcPr>
          <w:p>
            <w:pPr>
              <w:ind w:left="140"/>
              <w:spacing w:after="0"/>
              <w:rPr>
                <w:sz w:val="20"/>
                <w:szCs w:val="20"/>
                <w:color w:val="auto"/>
              </w:rPr>
            </w:pPr>
            <w:r>
              <w:rPr>
                <w:rFonts w:ascii="Arial" w:cs="Arial" w:eastAsia="Arial" w:hAnsi="Arial"/>
                <w:sz w:val="18"/>
                <w:szCs w:val="18"/>
                <w:color w:val="auto"/>
              </w:rPr>
              <w:t>Governing Laws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11.11</w:t>
            </w:r>
          </w:p>
        </w:tc>
        <w:tc>
          <w:tcPr>
            <w:tcW w:w="820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11.12</w:t>
            </w:r>
          </w:p>
        </w:tc>
        <w:tc>
          <w:tcPr>
            <w:tcW w:w="820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80" w:type="dxa"/>
            <w:vAlign w:val="bottom"/>
          </w:tcPr>
          <w:p>
            <w:pPr>
              <w:ind w:left="520"/>
              <w:spacing w:after="0"/>
              <w:rPr>
                <w:sz w:val="20"/>
                <w:szCs w:val="20"/>
                <w:color w:val="auto"/>
              </w:rPr>
            </w:pPr>
            <w:r>
              <w:rPr>
                <w:rFonts w:ascii="Arial" w:cs="Arial" w:eastAsia="Arial" w:hAnsi="Arial"/>
                <w:sz w:val="18"/>
                <w:szCs w:val="18"/>
                <w:color w:val="auto"/>
              </w:rPr>
              <w:t>Section 11.13</w:t>
            </w:r>
          </w:p>
        </w:tc>
        <w:tc>
          <w:tcPr>
            <w:tcW w:w="82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080" w:type="dxa"/>
            <w:vAlign w:val="bottom"/>
          </w:tcPr>
          <w:p>
            <w:pPr>
              <w:ind w:left="520"/>
              <w:spacing w:after="0"/>
              <w:rPr>
                <w:sz w:val="20"/>
                <w:szCs w:val="20"/>
                <w:color w:val="auto"/>
              </w:rPr>
            </w:pPr>
            <w:r>
              <w:rPr>
                <w:rFonts w:ascii="Arial" w:cs="Arial" w:eastAsia="Arial" w:hAnsi="Arial"/>
                <w:sz w:val="18"/>
                <w:szCs w:val="18"/>
                <w:color w:val="auto"/>
              </w:rPr>
              <w:t>Section 11.14</w:t>
            </w:r>
          </w:p>
        </w:tc>
        <w:tc>
          <w:tcPr>
            <w:tcW w:w="820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XII. SINKING FUNDS</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color w:val="auto"/>
              </w:rPr>
              <w:t>Section 12.1</w:t>
            </w:r>
          </w:p>
        </w:tc>
        <w:tc>
          <w:tcPr>
            <w:tcW w:w="8020" w:type="dxa"/>
            <w:vAlign w:val="bottom"/>
          </w:tcPr>
          <w:p>
            <w:pPr>
              <w:ind w:left="400"/>
              <w:spacing w:after="0"/>
              <w:rPr>
                <w:sz w:val="20"/>
                <w:szCs w:val="20"/>
                <w:color w:val="auto"/>
              </w:rPr>
            </w:pPr>
            <w:r>
              <w:rPr>
                <w:rFonts w:ascii="Arial" w:cs="Arial" w:eastAsia="Arial" w:hAnsi="Arial"/>
                <w:sz w:val="18"/>
                <w:szCs w:val="18"/>
                <w:color w:val="auto"/>
              </w:rPr>
              <w:t>Applicability of Article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color w:val="auto"/>
              </w:rPr>
              <w:t>Section 12.2</w:t>
            </w:r>
          </w:p>
        </w:tc>
        <w:tc>
          <w:tcPr>
            <w:tcW w:w="8020" w:type="dxa"/>
            <w:vAlign w:val="bottom"/>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00"/>
              <w:spacing w:after="0"/>
              <w:rPr>
                <w:sz w:val="20"/>
                <w:szCs w:val="20"/>
                <w:color w:val="auto"/>
              </w:rPr>
            </w:pPr>
            <w:r>
              <w:rPr>
                <w:rFonts w:ascii="Arial" w:cs="Arial" w:eastAsia="Arial" w:hAnsi="Arial"/>
                <w:sz w:val="18"/>
                <w:szCs w:val="18"/>
                <w:color w:val="auto"/>
              </w:rPr>
              <w:t>Section 12.3</w:t>
            </w:r>
          </w:p>
        </w:tc>
        <w:tc>
          <w:tcPr>
            <w:tcW w:w="8020" w:type="dxa"/>
            <w:vAlign w:val="bottom"/>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500"/>
              <w:spacing w:after="0"/>
              <w:rPr>
                <w:sz w:val="20"/>
                <w:szCs w:val="20"/>
                <w:color w:val="auto"/>
              </w:rPr>
            </w:pPr>
            <w:r>
              <w:rPr>
                <w:rFonts w:ascii="Arial" w:cs="Arial" w:eastAsia="Arial" w:hAnsi="Arial"/>
                <w:sz w:val="18"/>
                <w:szCs w:val="18"/>
                <w:color w:val="auto"/>
              </w:rPr>
              <w:t>Section 12.4</w:t>
            </w:r>
          </w:p>
        </w:tc>
        <w:tc>
          <w:tcPr>
            <w:tcW w:w="8020" w:type="dxa"/>
            <w:vAlign w:val="bottom"/>
          </w:tcPr>
          <w:p>
            <w:pPr>
              <w:ind w:left="40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20" w:type="dxa"/>
            <w:vAlign w:val="bottom"/>
          </w:tcPr>
          <w:p>
            <w:pPr>
              <w:jc w:val="center"/>
              <w:ind w:right="150"/>
              <w:spacing w:after="0"/>
              <w:rPr>
                <w:sz w:val="20"/>
                <w:szCs w:val="20"/>
                <w:color w:val="auto"/>
              </w:rPr>
            </w:pPr>
            <w:r>
              <w:rPr>
                <w:rFonts w:ascii="Arial" w:cs="Arial" w:eastAsia="Arial" w:hAnsi="Arial"/>
                <w:sz w:val="18"/>
                <w:szCs w:val="18"/>
                <w:color w:val="auto"/>
              </w:rPr>
              <w:t>iii</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80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20" w:type="dxa"/>
            <w:vAlign w:val="bottom"/>
          </w:tcPr>
          <w:p>
            <w:pPr>
              <w:jc w:val="center"/>
              <w:ind w:right="130"/>
              <w:spacing w:after="0"/>
              <w:rPr>
                <w:sz w:val="20"/>
                <w:szCs w:val="20"/>
                <w:color w:val="auto"/>
              </w:rPr>
            </w:pPr>
            <w:r>
              <w:rPr>
                <w:rFonts w:ascii="Arial" w:cs="Arial" w:eastAsia="Arial" w:hAnsi="Arial"/>
                <w:sz w:val="18"/>
                <w:szCs w:val="18"/>
                <w:b w:val="1"/>
                <w:bCs w:val="1"/>
                <w:color w:val="auto"/>
              </w:rPr>
              <w:t>NRG YIELD, INC.</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20" w:type="dxa"/>
            <w:vAlign w:val="bottom"/>
          </w:tcPr>
          <w:p>
            <w:pPr>
              <w:jc w:val="center"/>
              <w:ind w:right="150"/>
              <w:spacing w:after="0"/>
              <w:rPr>
                <w:sz w:val="20"/>
                <w:szCs w:val="20"/>
                <w:color w:val="auto"/>
              </w:rPr>
            </w:pPr>
            <w:r>
              <w:rPr>
                <w:rFonts w:ascii="Arial" w:cs="Arial" w:eastAsia="Arial" w:hAnsi="Arial"/>
                <w:sz w:val="18"/>
                <w:szCs w:val="18"/>
                <w:color w:val="auto"/>
                <w:w w:val="91"/>
              </w:rPr>
              <w:t>Reconciliation and tie between Trust Indenture Act of 1939 and</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20" w:type="dxa"/>
            <w:vAlign w:val="bottom"/>
          </w:tcPr>
          <w:p>
            <w:pPr>
              <w:jc w:val="center"/>
              <w:ind w:right="150"/>
              <w:spacing w:after="0"/>
              <w:rPr>
                <w:sz w:val="20"/>
                <w:szCs w:val="20"/>
                <w:color w:val="auto"/>
              </w:rPr>
            </w:pPr>
            <w:r>
              <w:rPr>
                <w:rFonts w:ascii="Arial" w:cs="Arial" w:eastAsia="Arial" w:hAnsi="Arial"/>
                <w:sz w:val="18"/>
                <w:szCs w:val="18"/>
                <w:color w:val="auto"/>
                <w:w w:val="89"/>
              </w:rPr>
              <w:t>Indenture, dated as of ,</w:t>
            </w: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§310(a)(1)</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7.10</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(a)(2)</w:t>
            </w:r>
          </w:p>
        </w:tc>
        <w:tc>
          <w:tcPr>
            <w:tcW w:w="8020" w:type="dxa"/>
            <w:vAlign w:val="bottom"/>
          </w:tcPr>
          <w:p>
            <w:pPr>
              <w:ind w:left="4020"/>
              <w:spacing w:after="0"/>
              <w:rPr>
                <w:sz w:val="20"/>
                <w:szCs w:val="20"/>
                <w:color w:val="auto"/>
              </w:rPr>
            </w:pPr>
            <w:r>
              <w:rPr>
                <w:rFonts w:ascii="Arial" w:cs="Arial" w:eastAsia="Arial" w:hAnsi="Arial"/>
                <w:sz w:val="18"/>
                <w:szCs w:val="18"/>
                <w:color w:val="auto"/>
              </w:rPr>
              <w:t>7.10</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(a)(4)</w:t>
            </w:r>
          </w:p>
        </w:tc>
        <w:tc>
          <w:tcPr>
            <w:tcW w:w="8020" w:type="dxa"/>
            <w:vAlign w:val="bottom"/>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7.10</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7.10</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7.11</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7.11</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 312(a)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§313(a)</w:t>
            </w:r>
          </w:p>
        </w:tc>
        <w:tc>
          <w:tcPr>
            <w:tcW w:w="8020" w:type="dxa"/>
            <w:vAlign w:val="bottom"/>
          </w:tcPr>
          <w:p>
            <w:pPr>
              <w:ind w:left="4020"/>
              <w:spacing w:after="0"/>
              <w:rPr>
                <w:sz w:val="20"/>
                <w:szCs w:val="20"/>
                <w:color w:val="auto"/>
              </w:rPr>
            </w:pPr>
            <w:r>
              <w:rPr>
                <w:rFonts w:ascii="Arial" w:cs="Arial" w:eastAsia="Arial" w:hAnsi="Arial"/>
                <w:sz w:val="18"/>
                <w:szCs w:val="18"/>
                <w:color w:val="auto"/>
              </w:rPr>
              <w:t>7.6</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(b)(1)</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7.6</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(b)(2)</w:t>
            </w:r>
          </w:p>
        </w:tc>
        <w:tc>
          <w:tcPr>
            <w:tcW w:w="8020" w:type="dxa"/>
            <w:vAlign w:val="bottom"/>
          </w:tcPr>
          <w:p>
            <w:pPr>
              <w:ind w:left="4020"/>
              <w:spacing w:after="0"/>
              <w:rPr>
                <w:sz w:val="20"/>
                <w:szCs w:val="20"/>
                <w:color w:val="auto"/>
              </w:rPr>
            </w:pPr>
            <w:r>
              <w:rPr>
                <w:rFonts w:ascii="Arial" w:cs="Arial" w:eastAsia="Arial" w:hAnsi="Arial"/>
                <w:sz w:val="18"/>
                <w:szCs w:val="18"/>
                <w:color w:val="auto"/>
              </w:rPr>
              <w:t>7.6</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7.6</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w:t>
            </w:r>
          </w:p>
        </w:tc>
        <w:tc>
          <w:tcPr>
            <w:tcW w:w="8020" w:type="dxa"/>
            <w:vAlign w:val="bottom"/>
          </w:tcPr>
          <w:p>
            <w:pPr>
              <w:ind w:left="4020"/>
              <w:spacing w:after="0"/>
              <w:rPr>
                <w:sz w:val="20"/>
                <w:szCs w:val="20"/>
                <w:color w:val="auto"/>
              </w:rPr>
            </w:pPr>
            <w:r>
              <w:rPr>
                <w:rFonts w:ascii="Arial" w:cs="Arial" w:eastAsia="Arial" w:hAnsi="Arial"/>
                <w:sz w:val="18"/>
                <w:szCs w:val="18"/>
                <w:color w:val="auto"/>
              </w:rPr>
              <w:t>7.6</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 314(a)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4.3, 11.5</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11.4</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(c)(2)</w:t>
            </w:r>
          </w:p>
        </w:tc>
        <w:tc>
          <w:tcPr>
            <w:tcW w:w="8020" w:type="dxa"/>
            <w:vAlign w:val="bottom"/>
          </w:tcPr>
          <w:p>
            <w:pPr>
              <w:ind w:left="4020"/>
              <w:spacing w:after="0"/>
              <w:rPr>
                <w:sz w:val="20"/>
                <w:szCs w:val="20"/>
                <w:color w:val="auto"/>
              </w:rPr>
            </w:pPr>
            <w:r>
              <w:rPr>
                <w:rFonts w:ascii="Arial" w:cs="Arial" w:eastAsia="Arial" w:hAnsi="Arial"/>
                <w:sz w:val="18"/>
                <w:szCs w:val="18"/>
                <w:color w:val="auto"/>
              </w:rPr>
              <w:t>11.4</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(c)(3)</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w:t>
            </w:r>
          </w:p>
        </w:tc>
        <w:tc>
          <w:tcPr>
            <w:tcW w:w="8020" w:type="dxa"/>
            <w:vAlign w:val="bottom"/>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11.5</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w:t>
            </w:r>
          </w:p>
        </w:tc>
        <w:tc>
          <w:tcPr>
            <w:tcW w:w="8020" w:type="dxa"/>
            <w:vAlign w:val="bottom"/>
          </w:tcPr>
          <w:p>
            <w:pPr>
              <w:ind w:left="4020"/>
              <w:spacing w:after="0"/>
              <w:rPr>
                <w:sz w:val="20"/>
                <w:szCs w:val="20"/>
                <w:color w:val="auto"/>
              </w:rPr>
            </w:pPr>
            <w:r>
              <w:rPr>
                <w:rFonts w:ascii="Arial" w:cs="Arial" w:eastAsia="Arial" w:hAnsi="Arial"/>
                <w:sz w:val="18"/>
                <w:szCs w:val="18"/>
                <w:color w:val="auto"/>
              </w:rPr>
              <w:t>Not Applicable</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 315(a)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7.1</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7.5</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7.1</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w:t>
            </w:r>
          </w:p>
        </w:tc>
        <w:tc>
          <w:tcPr>
            <w:tcW w:w="8020" w:type="dxa"/>
            <w:vAlign w:val="bottom"/>
          </w:tcPr>
          <w:p>
            <w:pPr>
              <w:ind w:left="4020"/>
              <w:spacing w:after="0"/>
              <w:rPr>
                <w:sz w:val="20"/>
                <w:szCs w:val="20"/>
                <w:color w:val="auto"/>
              </w:rPr>
            </w:pPr>
            <w:r>
              <w:rPr>
                <w:rFonts w:ascii="Arial" w:cs="Arial" w:eastAsia="Arial" w:hAnsi="Arial"/>
                <w:sz w:val="18"/>
                <w:szCs w:val="18"/>
                <w:color w:val="auto"/>
              </w:rPr>
              <w:t>7.1</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6.11</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§316(a)</w:t>
            </w:r>
          </w:p>
        </w:tc>
        <w:tc>
          <w:tcPr>
            <w:tcW w:w="8020" w:type="dxa"/>
            <w:vAlign w:val="bottom"/>
          </w:tcPr>
          <w:p>
            <w:pPr>
              <w:ind w:left="4020"/>
              <w:spacing w:after="0"/>
              <w:rPr>
                <w:sz w:val="20"/>
                <w:szCs w:val="20"/>
                <w:color w:val="auto"/>
              </w:rPr>
            </w:pPr>
            <w:r>
              <w:rPr>
                <w:rFonts w:ascii="Arial" w:cs="Arial" w:eastAsia="Arial" w:hAnsi="Arial"/>
                <w:sz w:val="18"/>
                <w:szCs w:val="18"/>
                <w:color w:val="auto"/>
              </w:rPr>
              <w:t>2.10</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6.5</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(a)(1)(B)</w:t>
            </w:r>
          </w:p>
        </w:tc>
        <w:tc>
          <w:tcPr>
            <w:tcW w:w="8020" w:type="dxa"/>
            <w:vAlign w:val="bottom"/>
          </w:tcPr>
          <w:p>
            <w:pPr>
              <w:ind w:left="4020"/>
              <w:spacing w:after="0"/>
              <w:rPr>
                <w:sz w:val="20"/>
                <w:szCs w:val="20"/>
                <w:color w:val="auto"/>
              </w:rPr>
            </w:pPr>
            <w:r>
              <w:rPr>
                <w:rFonts w:ascii="Arial" w:cs="Arial" w:eastAsia="Arial" w:hAnsi="Arial"/>
                <w:sz w:val="18"/>
                <w:szCs w:val="18"/>
                <w:color w:val="auto"/>
              </w:rPr>
              <w:t>6.4</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9.3</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§317(a)(1)</w:t>
            </w:r>
          </w:p>
        </w:tc>
        <w:tc>
          <w:tcPr>
            <w:tcW w:w="8020" w:type="dxa"/>
            <w:vAlign w:val="bottom"/>
          </w:tcPr>
          <w:p>
            <w:pPr>
              <w:ind w:left="4020"/>
              <w:spacing w:after="0"/>
              <w:rPr>
                <w:sz w:val="20"/>
                <w:szCs w:val="20"/>
                <w:color w:val="auto"/>
              </w:rPr>
            </w:pPr>
            <w:r>
              <w:rPr>
                <w:rFonts w:ascii="Arial" w:cs="Arial" w:eastAsia="Arial" w:hAnsi="Arial"/>
                <w:sz w:val="18"/>
                <w:szCs w:val="18"/>
                <w:color w:val="auto"/>
              </w:rPr>
              <w:t>6.8</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6.9</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w:t>
            </w:r>
          </w:p>
        </w:tc>
        <w:tc>
          <w:tcPr>
            <w:tcW w:w="8020" w:type="dxa"/>
            <w:vAlign w:val="bottom"/>
          </w:tcPr>
          <w:p>
            <w:pPr>
              <w:ind w:left="4020"/>
              <w:spacing w:after="0"/>
              <w:rPr>
                <w:sz w:val="20"/>
                <w:szCs w:val="20"/>
                <w:color w:val="auto"/>
              </w:rPr>
            </w:pPr>
            <w:r>
              <w:rPr>
                <w:rFonts w:ascii="Arial" w:cs="Arial" w:eastAsia="Arial" w:hAnsi="Arial"/>
                <w:sz w:val="18"/>
                <w:szCs w:val="18"/>
                <w:color w:val="auto"/>
              </w:rPr>
              <w:t>2.5</w:t>
            </w: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802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11.1</w:t>
            </w:r>
          </w:p>
        </w:tc>
        <w:tc>
          <w:tcPr>
            <w:tcW w:w="1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Indenture, dated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between NRG Yield, Inc., a Delaware corporation (“Company”), and Delaware Trust Company, as</w:t>
      </w:r>
    </w:p>
    <w:p>
      <w:pPr>
        <w:spacing w:after="0" w:line="45" w:lineRule="exact"/>
        <w:rPr>
          <w:sz w:val="20"/>
          <w:szCs w:val="20"/>
          <w:color w:val="auto"/>
        </w:rPr>
      </w:pPr>
    </w:p>
    <w:p>
      <w:pPr>
        <w:sectPr>
          <w:pgSz w:w="11900" w:h="16838" w:orient="portrait"/>
          <w:cols w:equalWidth="0" w:num="3">
            <w:col w:w="2860" w:space="580"/>
            <w:col w:w="60" w:space="220"/>
            <w:col w:w="774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trustee (“Trustee”).</w:t>
      </w:r>
    </w:p>
    <w:p>
      <w:pPr>
        <w:sectPr>
          <w:pgSz w:w="11900" w:h="16838" w:orient="portrait"/>
          <w:cols w:equalWidth="0" w:num="1">
            <w:col w:w="11460"/>
          </w:cols>
          <w:pgMar w:left="240" w:top="125" w:right="199" w:bottom="0" w:gutter="0" w:footer="0" w:header="0"/>
          <w:type w:val="continuous"/>
        </w:sectPr>
      </w:pPr>
    </w:p>
    <w:p>
      <w:pPr>
        <w:spacing w:after="0" w:line="234"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p>
    <w:p>
      <w:pPr>
        <w:spacing w:after="0" w:line="225"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“Additional Amounts”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w:t>
      </w:r>
    </w:p>
    <w:p>
      <w:pPr>
        <w:sectPr>
          <w:pgSz w:w="11900" w:h="16838" w:orient="portrait"/>
          <w:cols w:equalWidth="0" w:num="1">
            <w:col w:w="11460"/>
          </w:cols>
          <w:pgMar w:left="240" w:top="125" w:right="199" w:bottom="0" w:gutter="0" w:footer="0" w:header="0"/>
          <w:type w:val="continuous"/>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means any Registrar, Paying Agent or Service Agent.</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“Board of Directors” means:</w:t>
      </w:r>
    </w:p>
    <w:p>
      <w:pPr>
        <w:spacing w:after="0" w:line="225"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board;</w:t>
      </w:r>
    </w:p>
    <w:p>
      <w:pPr>
        <w:spacing w:after="0" w:line="211" w:lineRule="exact"/>
        <w:rPr>
          <w:sz w:val="20"/>
          <w:szCs w:val="20"/>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jc w:val="both"/>
        <w:ind w:right="300" w:firstLine="1297"/>
        <w:spacing w:after="0" w:line="264" w:lineRule="auto"/>
        <w:rPr>
          <w:sz w:val="20"/>
          <w:szCs w:val="20"/>
          <w:color w:val="auto"/>
        </w:rPr>
      </w:pPr>
      <w:r>
        <w:rPr>
          <w:rFonts w:ascii="Arial" w:cs="Arial" w:eastAsia="Arial" w:hAnsi="Arial"/>
          <w:sz w:val="18"/>
          <w:szCs w:val="18"/>
          <w:color w:val="auto"/>
        </w:rPr>
        <w:t>“Business Day” means any day except a Saturday, Sunday or a legal holiday in The City of New York on which banking institutions are authorized or required by law, regulation or executive order to close and any other day expressly provided for as a “Business Day” in a Board Resolution, Officers’ Certificate or supplemental indenture hereto for a particular Series.</w:t>
      </w:r>
    </w:p>
    <w:p>
      <w:pPr>
        <w:spacing w:after="0" w:line="18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“Capital Lease Obligation”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 Stock” means:</w:t>
      </w:r>
    </w:p>
    <w:p>
      <w:pPr>
        <w:spacing w:after="0" w:line="225"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1305"/>
        <w:spacing w:after="0" w:line="264"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means the party named as such above until a successor replaces it and thereafter means the successor.</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“Company Order”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“Corporate Trust Office” means the office of the Trustee at which at any particular time its corporate trust business shall be principally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administered.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is, or with the passage of time or the giving of notice or both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“Depositary”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“Discount Security” means any Security that provides for an amount less than the stated principal amount thereof to be due and payable upon declaration of acceleration of the maturity thereof pursuant to Section 6.2.</w:t>
      </w:r>
    </w:p>
    <w:p>
      <w:pPr>
        <w:sectPr>
          <w:pgSz w:w="11900" w:h="16838" w:orient="portrait"/>
          <w:cols w:equalWidth="0" w:num="1">
            <w:col w:w="11400"/>
          </w:cols>
          <w:pgMar w:left="240" w:top="125" w:right="259" w:bottom="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color w:val="auto"/>
        </w:rPr>
        <w:t>“Dollars” and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“ECU” means the European Currency Unit as determined by the Commission of the European Union.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“EDGAR” means the SEC’s Electronic Data Gathering, Analysis and Retrieval system or any successor thereto.</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“Foreign Currency”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jc w:val="both"/>
        <w:ind w:right="80" w:firstLine="1297"/>
        <w:spacing w:after="0" w:line="312" w:lineRule="auto"/>
        <w:rPr>
          <w:sz w:val="20"/>
          <w:szCs w:val="20"/>
          <w:color w:val="auto"/>
        </w:rPr>
      </w:pPr>
      <w:r>
        <w:rPr>
          <w:rFonts w:ascii="Arial" w:cs="Arial" w:eastAsia="Arial" w:hAnsi="Arial"/>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“Global Security”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“Government Securities”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goods, securities or services, to take or pay or to maintain financial statement conditions or otherwise).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right="220" w:firstLine="1305"/>
        <w:spacing w:after="0" w:line="277"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ind w:right="80" w:firstLine="1305"/>
        <w:spacing w:after="0" w:line="257"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 or “Securityholder” means a person in whose name a Security is registered.</w:t>
      </w:r>
    </w:p>
    <w:p>
      <w:pPr>
        <w:spacing w:after="0" w:line="225"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“Indebtedness” means, with respect to any specified person, any indebtedness of such person (excluding accrued expenses and trade payables), whether or not contingent:</w:t>
      </w:r>
    </w:p>
    <w:p>
      <w:pPr>
        <w:spacing w:after="0" w:line="170" w:lineRule="exact"/>
        <w:rPr>
          <w:sz w:val="20"/>
          <w:szCs w:val="20"/>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 in respect of sale and leaseback transactions;</w:t>
      </w:r>
    </w:p>
    <w:p>
      <w:pPr>
        <w:spacing w:after="0" w:line="225" w:lineRule="exact"/>
        <w:rPr>
          <w:rFonts w:ascii="Arial" w:cs="Arial" w:eastAsia="Arial" w:hAnsi="Arial"/>
          <w:sz w:val="18"/>
          <w:szCs w:val="18"/>
          <w:color w:val="auto"/>
        </w:rPr>
      </w:pPr>
    </w:p>
    <w:p>
      <w:pPr>
        <w:ind w:right="40" w:firstLine="1305"/>
        <w:spacing w:after="0" w:line="27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(including trade payables) or services due more than six months after such property is acquired or such services are completed;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the amount of such Indebtedness shall be deemed not to exceed the lesser of the amount secured by such Lien and the value of the person’s property securing such Lien.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“Indenture” means this Indenture as amended or supplemented from time to time and shall include the form and terms of particular Series of Securities established as contemplated hereunder.</w:t>
      </w:r>
    </w:p>
    <w:p>
      <w:pPr>
        <w:sectPr>
          <w:pgSz w:w="11900" w:h="16838" w:orient="portrait"/>
          <w:cols w:equalWidth="0" w:num="1">
            <w:col w:w="11400"/>
          </w:cols>
          <w:pgMar w:left="240" w:top="125" w:right="259" w:bottom="0" w:gutter="0" w:footer="0" w:header="0"/>
        </w:sectPr>
      </w:pPr>
    </w:p>
    <w:bookmarkStart w:id="40" w:name="page41"/>
    <w:bookmarkEnd w:id="40"/>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“interest” with respect to any Discount Security which by its terms bears interest only after Maturity, means interest payable after Maturity.</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“Lien” means, with respect to any asset:</w:t>
      </w:r>
    </w:p>
    <w:p>
      <w:pPr>
        <w:spacing w:after="0" w:line="225" w:lineRule="exact"/>
        <w:rPr>
          <w:sz w:val="20"/>
          <w:szCs w:val="20"/>
          <w:color w:val="auto"/>
        </w:rPr>
      </w:pPr>
    </w:p>
    <w:p>
      <w:pPr>
        <w:ind w:right="300" w:firstLine="1305"/>
        <w:spacing w:after="0" w:line="277"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firstLine="1305"/>
        <w:spacing w:after="0" w:line="277"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ind w:right="540" w:firstLine="1297"/>
        <w:spacing w:after="0" w:line="264" w:lineRule="auto"/>
        <w:rPr>
          <w:sz w:val="20"/>
          <w:szCs w:val="20"/>
          <w:color w:val="auto"/>
        </w:rPr>
      </w:pPr>
      <w:r>
        <w:rPr>
          <w:rFonts w:ascii="Arial" w:cs="Arial" w:eastAsia="Arial" w:hAnsi="Arial"/>
          <w:sz w:val="18"/>
          <w:szCs w:val="18"/>
          <w:color w:val="auto"/>
        </w:rPr>
        <w:t>“Maturity,”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“Officer” means the Chief Executive Officer, the President, any Vice-President, the Treasurer, the Secretary, any Assistant Treasurer or any Assistant Secretary of the Company.</w:t>
      </w:r>
    </w:p>
    <w:p>
      <w:pPr>
        <w:spacing w:after="0" w:line="170"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“Officers’ Certificate”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“Opinion of Counsel” means a written opinion of legal counsel who is acceptable to the Trustee. The counsel may be an employee of or counsel to the Company who is acceptable to the Trustee.</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“person”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“principal”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“Responsible Officer” means any officer of the Trustee in its Corporate Trust Office (including any managing director, director, vice president, assistant vice president, trust officer or corporate secretary) and also means, with respect to a particular corporate trust matter, any other officer customarily performing functions similar to those performed by the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designated officers and also means, any other officer to whom any corporate trust matter is referred because of his or her knowledge of and familiarity with a particular subject.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“Securities”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“Series” or “Series of Securities” means each series of debentures, notes or other debt instruments of the Company created pursuant to Sections 2.1 and 2.2 hereof.</w:t>
      </w:r>
    </w:p>
    <w:p>
      <w:pPr>
        <w:spacing w:after="0" w:line="170"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“Stated Maturity”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means, with respect to any specified person:</w:t>
      </w:r>
    </w:p>
    <w:p>
      <w:pPr>
        <w:spacing w:after="0" w:line="225" w:lineRule="exact"/>
        <w:rPr>
          <w:sz w:val="20"/>
          <w:szCs w:val="20"/>
          <w:color w:val="auto"/>
        </w:rPr>
      </w:pPr>
    </w:p>
    <w:p>
      <w:pPr>
        <w:ind w:right="40" w:firstLine="1305"/>
        <w:spacing w:after="0" w:line="279"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71" w:lineRule="exact"/>
        <w:rPr>
          <w:rFonts w:ascii="Arial" w:cs="Arial" w:eastAsia="Arial" w:hAnsi="Arial"/>
          <w:sz w:val="17"/>
          <w:szCs w:val="17"/>
          <w:color w:val="auto"/>
        </w:rPr>
      </w:pPr>
    </w:p>
    <w:p>
      <w:pPr>
        <w:ind w:right="40" w:firstLine="1305"/>
        <w:spacing w:after="0" w:line="308"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“TIA”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“Voting Stock” of any person as of any date means the Capital Stock of such person that is at the time entitled to vote in the election of the Board of Directors of such person.</w:t>
      </w:r>
    </w:p>
    <w:p>
      <w:pPr>
        <w:sectPr>
          <w:pgSz w:w="11900" w:h="16861" w:orient="portrait"/>
          <w:cols w:equalWidth="0" w:num="1">
            <w:col w:w="11400"/>
          </w:cols>
          <w:pgMar w:left="240" w:top="125" w:right="25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60" w:type="dxa"/>
            <w:vAlign w:val="bottom"/>
          </w:tcPr>
          <w:p>
            <w:pPr>
              <w:jc w:val="right"/>
              <w:ind w:right="36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196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3660" w:type="dxa"/>
            <w:vAlign w:val="bottom"/>
            <w:gridSpan w:val="2"/>
          </w:tcPr>
          <w:p>
            <w:pPr>
              <w:spacing w:after="0"/>
              <w:rPr>
                <w:sz w:val="20"/>
                <w:szCs w:val="20"/>
                <w:color w:val="auto"/>
              </w:rPr>
            </w:pPr>
            <w:r>
              <w:rPr>
                <w:rFonts w:ascii="Arial" w:cs="Arial" w:eastAsia="Arial" w:hAnsi="Arial"/>
                <w:sz w:val="18"/>
                <w:szCs w:val="18"/>
                <w:color w:val="auto"/>
              </w:rPr>
              <w:t>Other Definitions.</w:t>
            </w: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130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DEFINED IN</w:t>
            </w:r>
          </w:p>
        </w:tc>
        <w:tc>
          <w:tcPr>
            <w:tcW w:w="0" w:type="dxa"/>
            <w:vAlign w:val="bottom"/>
          </w:tcPr>
          <w:p>
            <w:pPr>
              <w:spacing w:after="0"/>
              <w:rPr>
                <w:sz w:val="1"/>
                <w:szCs w:val="1"/>
                <w:color w:val="auto"/>
              </w:rPr>
            </w:pPr>
          </w:p>
        </w:tc>
      </w:tr>
      <w:tr>
        <w:trPr>
          <w:trHeight w:val="171"/>
        </w:trPr>
        <w:tc>
          <w:tcPr>
            <w:tcW w:w="19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“Bankruptcy Law”</w:t>
            </w:r>
          </w:p>
        </w:tc>
        <w:tc>
          <w:tcPr>
            <w:tcW w:w="130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“Custodian”</w:t>
            </w: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800" w:type="dxa"/>
            <w:vAlign w:val="bottom"/>
            <w:gridSpan w:val="3"/>
          </w:tcPr>
          <w:p>
            <w:pPr>
              <w:ind w:left="4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13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4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“Legal Holiday”</w:t>
            </w: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800" w:type="dxa"/>
            <w:vAlign w:val="bottom"/>
            <w:gridSpan w:val="3"/>
          </w:tcPr>
          <w:p>
            <w:pPr>
              <w:ind w:left="4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“mandatory sinking fund payment”</w:t>
            </w:r>
          </w:p>
        </w:tc>
        <w:tc>
          <w:tcPr>
            <w:tcW w:w="5800" w:type="dxa"/>
            <w:vAlign w:val="bottom"/>
            <w:gridSpan w:val="3"/>
            <w:shd w:val="clear" w:color="auto" w:fill="CCEEFF"/>
          </w:tcPr>
          <w:p>
            <w:pPr>
              <w:ind w:left="4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“optional sinking fund payment”</w:t>
            </w:r>
          </w:p>
        </w:tc>
        <w:tc>
          <w:tcPr>
            <w:tcW w:w="5800" w:type="dxa"/>
            <w:vAlign w:val="bottom"/>
            <w:gridSpan w:val="3"/>
          </w:tcPr>
          <w:p>
            <w:pPr>
              <w:ind w:left="4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13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4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“Registrar”</w:t>
            </w: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800" w:type="dxa"/>
            <w:vAlign w:val="bottom"/>
            <w:gridSpan w:val="3"/>
          </w:tcPr>
          <w:p>
            <w:pPr>
              <w:ind w:left="4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“Service Agent”</w:t>
            </w:r>
          </w:p>
        </w:tc>
        <w:tc>
          <w:tcPr>
            <w:tcW w:w="13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4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96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Incorporation by Reference of Trust Indenture Act.</w:t>
            </w: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-2351405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-2351405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security holder” means a Securityholder.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600" w:hanging="647"/>
        <w:spacing w:after="0"/>
        <w:tabs>
          <w:tab w:leader="none" w:pos="2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generally accepted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firstLine="1953"/>
        <w:spacing w:after="0" w:line="277" w:lineRule="auto"/>
        <w:tabs>
          <w:tab w:leader="none" w:pos="26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“including” is not limiting;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p>
    <w:p>
      <w:pPr>
        <w:spacing w:after="0" w:line="225"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ectPr>
          <w:pgSz w:w="11900" w:h="16838" w:orient="portrait"/>
          <w:cols w:equalWidth="0" w:num="1">
            <w:col w:w="11460"/>
          </w:cols>
          <w:pgMar w:left="240" w:top="341" w:right="199" w:bottom="0" w:gutter="0" w:footer="0" w:header="0"/>
        </w:sectPr>
      </w:pPr>
    </w:p>
    <w:bookmarkStart w:id="42" w:name="page43"/>
    <w:bookmarkEnd w:id="42"/>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or an Officers’ Certificate pursuant to authority granted under a Board Resolution:</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title of the Series (which shall distinguish the Securities of that particular Series from the Securities of any other Series);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authenticated and delivered upon registration of transfer of, or in exchange for, or in lieu of, other Securities of the Series pursuant to Section 2.7, 2.8, 2.11, 3.6 or 9.6);</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provided, however, that the method used to determine such rate or rates at which the Securities of the Series shall bear interest must be acceptable to the Trustee;</w:t>
      </w:r>
    </w:p>
    <w:p>
      <w:pPr>
        <w:spacing w:after="0" w:line="173"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6"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2.2.10 if other than denominations of $2,000 and any integral multiple of $1,000 in excess thereof, the denominations in which the Securities of the Series shall be issuable;</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2.2.11 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w:t>
      </w:r>
    </w:p>
    <w:p>
      <w:pPr>
        <w:spacing w:after="0" w:line="18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2.2.13 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8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2.2.17 the provisions, if any, relating to any security or guarantee provided for the Securities of the Series, and any subordination in right of payment, if any, of the Securities of the Series;</w:t>
      </w:r>
    </w:p>
    <w:p>
      <w:pPr>
        <w:sectPr>
          <w:pgSz w:w="11900" w:h="16838" w:orient="portrait"/>
          <w:cols w:equalWidth="0" w:num="1">
            <w:col w:w="11400"/>
          </w:cols>
          <w:pgMar w:left="240" w:top="125" w:right="259" w:bottom="0" w:gutter="0" w:footer="0" w:header="0"/>
        </w:sectPr>
      </w:pPr>
    </w:p>
    <w:bookmarkStart w:id="43" w:name="page44"/>
    <w:bookmarkEnd w:id="43"/>
    <w:p>
      <w:pPr>
        <w:ind w:right="160" w:firstLine="1297"/>
        <w:spacing w:after="0" w:line="308" w:lineRule="auto"/>
        <w:rPr>
          <w:sz w:val="20"/>
          <w:szCs w:val="20"/>
          <w:color w:val="auto"/>
        </w:rPr>
      </w:pPr>
      <w:r>
        <w:rPr>
          <w:rFonts w:ascii="Arial" w:cs="Arial" w:eastAsia="Arial" w:hAnsi="Arial"/>
          <w:sz w:val="17"/>
          <w:szCs w:val="17"/>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or change in the covenants set forth in Articles IV or V which applies to Securities of the Series;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2.2.20</w:t>
      </w:r>
      <w:r>
        <w:rPr>
          <w:sz w:val="20"/>
          <w:szCs w:val="20"/>
          <w:color w:val="auto"/>
        </w:rPr>
        <w:tab/>
      </w:r>
      <w:r>
        <w:rPr>
          <w:rFonts w:ascii="Arial" w:cs="Arial" w:eastAsia="Arial" w:hAnsi="Arial"/>
          <w:sz w:val="16"/>
          <w:szCs w:val="16"/>
          <w:color w:val="auto"/>
        </w:rPr>
        <w:t>any other terms of the Securities of the Series (which may modify or delete any provision of this Indenture insofar as it applies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Series); and</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2.2.21 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right="40" w:firstLine="1297"/>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6"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Prior to the issuance of Securities of any Series, the Trustee shall have received and (subject to Section 7.2) shall be fully protected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relying on: (a) the Board Resolution, supplemental indenture hereto or Officers’ Certificate establishing the form of the Securities of that Series 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within that Series and the terms of the Securities of that Series or of Securities within that Series, (b) an Officers’ Certificate complying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11.4, and (c) an Opinion of Counsel complying with Section 11.4.</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could expose the Trustee to personal liability.</w:t>
      </w:r>
    </w:p>
    <w:p>
      <w:pPr>
        <w:spacing w:after="0" w:line="181"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serve as an agent or officer for the purpose of service of process on behalf of the Company.</w:t>
      </w:r>
    </w:p>
    <w:p>
      <w:pPr>
        <w:spacing w:after="0" w:line="147"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The Company may also from time to time designate one or more co-registrars, additional paying agents or additional service agents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ectPr>
          <w:pgSz w:w="11900" w:h="16838" w:orient="portrait"/>
          <w:cols w:equalWidth="0" w:num="1">
            <w:col w:w="11380"/>
          </w:cols>
          <w:pgMar w:left="240" w:top="125" w:right="279" w:bottom="0" w:gutter="0" w:footer="0" w:header="0"/>
        </w:sectPr>
      </w:pPr>
    </w:p>
    <w:bookmarkStart w:id="44" w:name="page45"/>
    <w:bookmarkEnd w:id="44"/>
    <w:p>
      <w:pPr>
        <w:ind w:right="20" w:firstLine="1297"/>
        <w:spacing w:after="0" w:line="277" w:lineRule="auto"/>
        <w:rPr>
          <w:sz w:val="20"/>
          <w:szCs w:val="20"/>
          <w:color w:val="auto"/>
        </w:rPr>
      </w:pPr>
      <w:r>
        <w:rPr>
          <w:rFonts w:ascii="Arial" w:cs="Arial" w:eastAsia="Arial" w:hAnsi="Arial"/>
          <w:sz w:val="18"/>
          <w:szCs w:val="18"/>
          <w:color w:val="auto"/>
        </w:rPr>
        <w:t>The Company hereby appoints the Trustee as the initial Registrar, Paying Agent and Service Agent for each Series unless another Registrar, Paying Agent or Service Agent, as the case may be, is appointed prior to the time Securities of that Series are first issued.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p>
    <w:p>
      <w:pPr>
        <w:spacing w:after="0" w:line="225" w:lineRule="exact"/>
        <w:rPr>
          <w:sz w:val="20"/>
          <w:szCs w:val="20"/>
          <w:color w:val="auto"/>
        </w:rPr>
      </w:pPr>
    </w:p>
    <w:p>
      <w:pPr>
        <w:ind w:right="180" w:firstLine="1297"/>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p>
    <w:p>
      <w:pPr>
        <w:spacing w:after="0" w:line="22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payment date and at such other times as the Trustee may request in writing a list, in such form and as of such date as the Trustee may reasonably require, of the names and addresses of Securityholders of each Series of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p>
    <w:p>
      <w:pPr>
        <w:spacing w:after="0" w:line="22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set forth in this Indenture and the Board Resolution, supplemental indenture hereto or Officers’ Certificate applicable to such Series of Securities are met with respect to such transfer or exchange.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Notwithstanding anything contained herein to the contrary, neither the Trustee nor the Registrar shall have any obligation or duty to monitor, determine or inquire as to compliance with any restrictions on transfer imposed under this Indenture, any Board Resolution, any supplemental indenture hereto, any Officers’ Certificate, any Securities or under applicable law with respect to any transfer of any interest in any Securities other than to require delivery of such certificates and other documentation or evidence as are expressly required by, and to do so if and when expressly required by the terms of, this Indenture or the Board Resolution, supplemental indenture hereto or Officers’ Certificate applicable to such Series of Securities, and to examine the same to determine substantial compliance as to form with the express requirements hereof or thereof.</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w:t>
      </w:r>
    </w:p>
    <w:p>
      <w:pPr>
        <w:spacing w:after="0" w:line="181"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Company Order the Trustee shall authenticate and make available for delivery, in lieu of any such destroyed, lost or stolen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Security, a new Security of the same Series and of like tenor and principal amount and bearing a number not contemporaneously outstanding.</w:t>
      </w:r>
    </w:p>
    <w:p>
      <w:pPr>
        <w:spacing w:after="0" w:line="225"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1"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ectPr>
          <w:pgSz w:w="11900" w:h="16838" w:orient="portrait"/>
          <w:cols w:equalWidth="0" w:num="1">
            <w:col w:w="11400"/>
          </w:cols>
          <w:pgMar w:left="240" w:top="125" w:right="259" w:bottom="0" w:gutter="0" w:footer="0" w:header="0"/>
        </w:sectPr>
      </w:pPr>
    </w:p>
    <w:bookmarkStart w:id="45" w:name="page46"/>
    <w:bookmarkEnd w:id="45"/>
    <w:p>
      <w:pPr>
        <w:spacing w:after="0" w:line="10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Subject to Section 2.10,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a redemption date or the Maturity of Securities of a Series money sufficient to pay such Securities payable on that date, then on and after that date such Securities of the Series shall cease to be outstanding and interest on such Securities shall cease to accrue.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Section 2.10, a Security does not cease to be outstanding because the Company or an Affiliate of the Company holds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Treasury Securities.</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 owned by the Company or an Affiliate of the Company shall be disregarded, except that for the purposes of determining whether the Trustee shall be protected in relying on any such request, demand, authorization, direction, notice, consent or waiver only Securities of a Series that the Trustee has received written notice from the Company, certifying that the relevant Securities of such Series are owned by the Company or an Affiliate of the Company shall be so disregarded.</w:t>
      </w:r>
    </w:p>
    <w:p>
      <w:pPr>
        <w:spacing w:after="0" w:line="18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Upon request of the Trustee, the Company shall promptly furnish to the Trustee an Officer’s Certificate listing and identifying all Securities, if any, known by the Company to be owned or held by or for the account of the Company or an Affiliate of the Company, and the Trustee shall be entitled to accept such Officer’s Certificate as conclusive evidence of the facts therein set forth and of the fact that all Securities not listed therein are outstanding for the purpose of any such determination.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written request of an Officer, the Trustee shall cancel all Securities surrendered for transfer, exchange, payment, replacement or cancellation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p>
    <w:p>
      <w:pPr>
        <w:spacing w:after="0" w:line="22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1"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w:t>
      </w:r>
    </w:p>
    <w:p>
      <w:pPr>
        <w:sectPr>
          <w:pgSz w:w="11900" w:h="16945" w:orient="portrait"/>
          <w:cols w:equalWidth="0" w:num="1">
            <w:col w:w="11400"/>
          </w:cols>
          <w:pgMar w:left="240" w:top="125" w:right="259" w:bottom="0" w:gutter="0" w:footer="0" w:header="0"/>
        </w:sectPr>
      </w:pPr>
    </w:p>
    <w:bookmarkStart w:id="46" w:name="page47"/>
    <w:bookmarkEnd w:id="46"/>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2.14.7 </w:t>
      </w:r>
      <w:r>
        <w:rPr>
          <w:rFonts w:ascii="Arial" w:cs="Arial" w:eastAsia="Arial" w:hAnsi="Arial"/>
          <w:sz w:val="16"/>
          <w:szCs w:val="16"/>
          <w:u w:val="single" w:color="auto"/>
          <w:color w:val="auto"/>
        </w:rPr>
        <w:t>General Provisions for Book-Entry Securities</w:t>
      </w:r>
      <w:r>
        <w:rPr>
          <w:rFonts w:ascii="Arial" w:cs="Arial" w:eastAsia="Arial" w:hAnsi="Arial"/>
          <w:sz w:val="16"/>
          <w:szCs w:val="16"/>
          <w:color w:val="auto"/>
        </w:rPr>
        <w:t>. Members of, or participants in, the Depositary (“Participants”)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Participants, the operation of customary practices governing the exercise of the rights of a Holder of any Global Security. All notices and communications to be given to the Holders and all payments to be made to Holders in respect of the Global Securities shall be given or made only to or upon the order of the registered Holders (which shall be the Depositary or its nominee). The rights of beneficial owners in any Global Security shall be exercised only through the Depositary, subject to its applicable rules and procedures. The Trustee, Registrar, Paying Agent and Service Agent may each rely and shall be fully protected in relying upon information furnished by the Depositary with respect to its agent members and other members, participants and any beneficial owners.</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p>
    <w:p>
      <w:pPr>
        <w:spacing w:after="0" w:line="225"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p>
    <w:p>
      <w:pPr>
        <w:spacing w:after="0" w:line="225"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45 days, but not more than 60 days, before the redemption date (or such shorter notice as may be acceptable to the Trustee).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 or Repurchased.</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 xml:space="preserve">Unless otherwise indicated for a particular Series by a Board Resolution, a supplemental indenture or an Officers’ Certificate, if less than all the Securities of a Series are to be redeemed or repurchased, the Trustee shall select the Securities of the Series to be redeemed or repurchased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unless otherwise required by law, rules of the applicable Depositary or applicable stock exchange requirements.</w:t>
      </w:r>
    </w:p>
    <w:p>
      <w:pPr>
        <w:spacing w:after="0" w:line="166"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In the event of partial redemption or purchase by lot, the Trustee shall make the selection from Securities of the Series outstanding not previously called for redemption or repurchase. The Trustee may select for redemption or repurchase portions of the principal of Securities of the Series that</w:t>
      </w:r>
    </w:p>
    <w:p>
      <w:pPr>
        <w:sectPr>
          <w:pgSz w:w="11900" w:h="16975" w:orient="portrait"/>
          <w:cols w:equalWidth="0" w:num="1">
            <w:col w:w="11400"/>
          </w:cols>
          <w:pgMar w:left="240" w:top="125" w:right="259" w:bottom="0" w:gutter="0" w:footer="0" w:header="0"/>
        </w:sectPr>
      </w:pPr>
    </w:p>
    <w:bookmarkStart w:id="47" w:name="page48"/>
    <w:bookmarkEnd w:id="47"/>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have denominations larger than $2,000. Securities of the Series and portions of them it selects shall be in amounts of $2,000 or whole multiples of $1,000 in excess of $2,000 or, with respect to Securities of any Series issuable in other denominations pursuant to Section 2.2.10, the minimum principal denomination for each Series and integral multiples thereof. Provisions of this Indenture that apply to Securities of a Series called for redemption or repurchase also apply to portions of Securities of that Series called for redemption or repurchase.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225"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At least 30 days but not more than 60 days before a redemption date, the Company shall mail a notice of redemption by first-class mail to each Holder whose Securities are to be redeemed, except that redemption notices may be mailed more than 60 days prior to a redemption date if the notice is issued in connection with a defeasance of the Securities or a satisfaction and discharge of this Indenture pursuant to Articles 8 or 10 hereof.</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11" w:lineRule="exact"/>
        <w:rPr>
          <w:sz w:val="20"/>
          <w:szCs w:val="20"/>
          <w:color w:val="auto"/>
        </w:rPr>
      </w:pPr>
    </w:p>
    <w:p>
      <w:pPr>
        <w:ind w:left="2620" w:hanging="667"/>
        <w:spacing w:after="0"/>
        <w:tabs>
          <w:tab w:leader="none" w:pos="2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any Security is being redeemed in part, the portion of the principal amount of such Security to be redeemed and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after the redemption date upon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surrender of such Security, a new Security or Securities in principal amount equal to the unredeemed portion will be issued upon cancellation of the original Security;</w:t>
      </w:r>
    </w:p>
    <w:p>
      <w:pPr>
        <w:spacing w:after="0" w:line="170" w:lineRule="exact"/>
        <w:rPr>
          <w:sz w:val="20"/>
          <w:szCs w:val="20"/>
          <w:color w:val="auto"/>
        </w:rPr>
      </w:pPr>
    </w:p>
    <w:p>
      <w:pPr>
        <w:ind w:left="2600" w:hanging="647"/>
        <w:spacing w:after="0"/>
        <w:tabs>
          <w:tab w:leader="none" w:pos="2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that interest on Securities of the Series called for redemption ceases to accrue on and after the redemption date;</w:t>
      </w:r>
    </w:p>
    <w:p>
      <w:pPr>
        <w:spacing w:after="0" w:line="236" w:lineRule="exact"/>
        <w:rPr>
          <w:rFonts w:ascii="Arial" w:cs="Arial" w:eastAsia="Arial" w:hAnsi="Arial"/>
          <w:sz w:val="17"/>
          <w:szCs w:val="17"/>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redeemed.</w:t>
      </w:r>
    </w:p>
    <w:p>
      <w:pPr>
        <w:spacing w:after="0" w:line="211"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At the Company’s request, the Trustee shall give the notice of redemption in the Company’s name and at its expense provided, however, that the Company has delivered to the Trustee, at least 45 days prior to the redemption date (or such shorter period as the Trustee in its sole discretion may allow), a written request by an Officer requesting that the Trustee give such notice and setting forth the information to be stated in such notice as provided in the preceding paragraph.</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One Business Day prior to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225"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pay or cause to be paid the principal of, premium, if any, and interest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Securities of that Series on the dates and in the manner provided in such Securities. Principal, premium, if any, and interest on any Series of Securities will be considered paid on the date due if the Paying Agent, if other than the Company or a Subsidiary thereof, holds as of 10:00 a.m. Eastern Time on the due</w:t>
      </w:r>
    </w:p>
    <w:p>
      <w:pPr>
        <w:sectPr>
          <w:pgSz w:w="11900" w:h="16975" w:orient="portrait"/>
          <w:cols w:equalWidth="0" w:num="1">
            <w:col w:w="11420"/>
          </w:cols>
          <w:pgMar w:left="240" w:top="125" w:right="239" w:bottom="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date money deposited by the Company in immediately available funds and designated for and sufficient to pay all principal, premium, if any, and interest then due.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Maintenance of Office or Agency.</w:t>
      </w:r>
    </w:p>
    <w:p>
      <w:pPr>
        <w:spacing w:after="0" w:line="22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maintain an office or agency (which may be an office of the Trustee for such Securities or an affiliate of such Trustee, Registrar for such Securities or co-registrar) where such Securities may be surrendered for registration of transfer or for exchange and where notices and demands to or upon the Company in respect of such Securities and this Indenture may be served. The Company will give prompt written notice to the Trustee for such Securities of the location, and any change in the location, of such office or agency. If at any time the Company fails to maintain any such required office or agency or fails to furnish such Trustee with the address thereof, such presentations, surrenders, notices and demands may be made or served at the Corporate Trust Office of such Trustee; provided, however, that the Trustee shall not serve as an agent or officer for the purpose of service of process on behalf of the Company.</w:t>
      </w:r>
    </w:p>
    <w:p>
      <w:pPr>
        <w:spacing w:after="0" w:line="178"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The Company may also from time to time designate one or more other offices or agencies where Securities may be presented or surrendered for any or all such purposes and may from time to time rescind such designations; provided, however, that no such designation or rescission will in any manner relieve the Company of its obligation described in the preceding paragraph. The Company will give prompt written notice to the Trustee for such Series of Securities of any such designation or rescission and of any change in the location of any such other office or agency.</w:t>
      </w:r>
    </w:p>
    <w:p>
      <w:pPr>
        <w:spacing w:after="0" w:line="17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With respect to each Series of Securities, the Company hereby designates the Corporate Trust Office of the Trustee as one such office or agency of the Company in accordance with Section 2.4 hereof.</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u w:val="single" w:color="auto"/>
          <w:color w:val="auto"/>
        </w:rPr>
        <w:t>Reports.</w:t>
      </w:r>
    </w:p>
    <w:p>
      <w:pPr>
        <w:spacing w:after="0" w:line="225"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The Company shall file with the Trustee and the SEC, and transmit to Holders, such information, documents and other reports, and such summaries thereof, as may be required pursuant to the TIA at the times and in the manner provided in the TIA;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ind w:right="80" w:firstLine="1953"/>
        <w:spacing w:after="0" w:line="312" w:lineRule="auto"/>
        <w:tabs>
          <w:tab w:leader="none" w:pos="25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and each guarantor of any Series of Securities (to the extent that such guarantor is so required under the TIA) shall deliver to the Trustee with respect to such Series, within 90 days after the end of each fiscal year, an Officers’ Certificate stating that a review of the activities of the Company and its Subsidiaries during the preceding fiscal year has been made under the supervision of the signing Officers with a view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spacing w:after="0" w:line="178" w:lineRule="exact"/>
        <w:rPr>
          <w:sz w:val="20"/>
          <w:szCs w:val="20"/>
          <w:color w:val="auto"/>
        </w:rPr>
      </w:pPr>
    </w:p>
    <w:p>
      <w:pPr>
        <w:jc w:val="both"/>
        <w:ind w:right="20" w:firstLine="1953"/>
        <w:spacing w:after="0" w:line="264" w:lineRule="auto"/>
        <w:tabs>
          <w:tab w:leader="none" w:pos="2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 long as any of Series of Securities are outstanding, the Company will deliver to the Trustee with respect to such Series, forthwith upon any Officer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such Securities.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Stay, Extension and Usury Laws.</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The Company covenants and agrees (to the extent that it may lawfully do so), that it will not, and each guarantor of such Securities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Securities, but will suffer and permit the execution of every such power as though no such law has been enacted.</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Corporate Existence.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Article V hereof, the Company shall do or cause to be done all things necessary to preserve and keep in full force and effect:</w:t>
      </w:r>
    </w:p>
    <w:p>
      <w:pPr>
        <w:spacing w:after="0" w:line="248" w:lineRule="exact"/>
        <w:rPr>
          <w:sz w:val="20"/>
          <w:szCs w:val="20"/>
          <w:color w:val="auto"/>
        </w:rPr>
      </w:pPr>
    </w:p>
    <w:p>
      <w:pPr>
        <w:ind w:firstLine="2601"/>
        <w:spacing w:after="0" w:line="342" w:lineRule="auto"/>
        <w:tabs>
          <w:tab w:leader="none" w:pos="32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49" w:name="page50"/>
    <w:bookmarkEnd w:id="49"/>
    <w:p>
      <w:pPr>
        <w:ind w:firstLine="2601"/>
        <w:spacing w:after="0" w:line="279" w:lineRule="auto"/>
        <w:tabs>
          <w:tab w:leader="none" w:pos="32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such Securities.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Merger, Consolidation, or Sale of Assets.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covenants and agrees for the benefit of the Holders of each Series of Securities that it shall not, directly or indirectly:</w:t>
      </w:r>
    </w:p>
    <w:p>
      <w:pPr>
        <w:spacing w:after="0" w:line="35" w:lineRule="exact"/>
        <w:rPr>
          <w:sz w:val="20"/>
          <w:szCs w:val="20"/>
          <w:color w:val="auto"/>
        </w:rPr>
      </w:pPr>
    </w:p>
    <w:p>
      <w:pPr>
        <w:ind w:right="640" w:firstLine="8"/>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consolidate or merge with or into another person (whether or not the Company is the surviving corporation); or (ii) sell, assign, transfer, convey or otherwise dispose of all or substantially all of the properties or assets of the Company and its Subsidiaries taken as a whole, in one or more related transactions, to another person, unless:</w:t>
      </w:r>
    </w:p>
    <w:p>
      <w:pPr>
        <w:spacing w:after="0" w:line="190" w:lineRule="exact"/>
        <w:rPr>
          <w:rFonts w:ascii="Arial" w:cs="Arial" w:eastAsia="Arial" w:hAnsi="Arial"/>
          <w:sz w:val="18"/>
          <w:szCs w:val="18"/>
          <w:color w:val="auto"/>
        </w:rPr>
      </w:pPr>
    </w:p>
    <w:p>
      <w:pPr>
        <w:ind w:left="3260" w:hanging="659"/>
        <w:spacing w:after="0"/>
        <w:tabs>
          <w:tab w:leader="none" w:pos="3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3920" w:hanging="671"/>
        <w:spacing w:after="0"/>
        <w:tabs>
          <w:tab w:leader="none" w:pos="39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Company is the surviving corporation; or</w:t>
      </w:r>
    </w:p>
    <w:p>
      <w:pPr>
        <w:spacing w:after="0" w:line="225" w:lineRule="exact"/>
        <w:rPr>
          <w:rFonts w:ascii="Arial" w:cs="Arial" w:eastAsia="Arial" w:hAnsi="Arial"/>
          <w:sz w:val="18"/>
          <w:szCs w:val="18"/>
          <w:color w:val="auto"/>
        </w:rPr>
      </w:pPr>
    </w:p>
    <w:p>
      <w:pPr>
        <w:jc w:val="both"/>
        <w:ind w:right="160" w:firstLine="3249"/>
        <w:spacing w:after="0" w:line="264" w:lineRule="auto"/>
        <w:tabs>
          <w:tab w:leader="none" w:pos="39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spacing w:after="0" w:line="181" w:lineRule="exact"/>
        <w:rPr>
          <w:rFonts w:ascii="Arial" w:cs="Arial" w:eastAsia="Arial" w:hAnsi="Arial"/>
          <w:sz w:val="18"/>
          <w:szCs w:val="18"/>
          <w:color w:val="auto"/>
        </w:rPr>
      </w:pPr>
    </w:p>
    <w:p>
      <w:pPr>
        <w:ind w:right="20" w:firstLine="2601"/>
        <w:spacing w:after="0" w:line="264" w:lineRule="auto"/>
        <w:tabs>
          <w:tab w:leader="none" w:pos="32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the person to which such sale, assignment, transfer, conveyance or other disposition has been made assumes all the obligations of the Company under such Securities and this Indenture pursuant to agreements reasonably satisfactory to the Trustee for such Securities; and</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its properties or assets, in one or more related transactions, to any other person. This Section 5.1 will not apply to:</w:t>
      </w:r>
    </w:p>
    <w:p>
      <w:pPr>
        <w:spacing w:after="0" w:line="170" w:lineRule="exact"/>
        <w:rPr>
          <w:sz w:val="20"/>
          <w:szCs w:val="20"/>
          <w:color w:val="auto"/>
        </w:rPr>
      </w:pPr>
    </w:p>
    <w:p>
      <w:pPr>
        <w:ind w:right="340" w:firstLine="2601"/>
        <w:spacing w:after="0" w:line="277" w:lineRule="auto"/>
        <w:tabs>
          <w:tab w:leader="none" w:pos="3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or forming a direct holding company of the Company;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2601"/>
        <w:spacing w:after="0" w:line="277" w:lineRule="auto"/>
        <w:tabs>
          <w:tab w:leader="none" w:pos="32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Company and its Subsidiaries, including by way of merger or consolidation.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any Series of Securities except in the case of a sale of all of the Company’s assets in a transaction that is subject to, and that complies with the provisions of, Section 5.1 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1" w:lineRule="exact"/>
        <w:rPr>
          <w:sz w:val="20"/>
          <w:szCs w:val="20"/>
          <w:color w:val="auto"/>
        </w:rPr>
      </w:pPr>
    </w:p>
    <w:p>
      <w:pPr>
        <w:ind w:right="20" w:firstLine="1953"/>
        <w:spacing w:after="0" w:line="277" w:lineRule="auto"/>
        <w:tabs>
          <w:tab w:leader="none" w:pos="25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any Security of that Series;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default in the deposit of any sinking fund payment, when and as due in respect of any Security of that Series; or</w:t>
      </w:r>
    </w:p>
    <w:p>
      <w:pPr>
        <w:spacing w:after="0" w:line="236" w:lineRule="exact"/>
        <w:rPr>
          <w:rFonts w:ascii="Arial" w:cs="Arial" w:eastAsia="Arial" w:hAnsi="Arial"/>
          <w:sz w:val="17"/>
          <w:szCs w:val="17"/>
          <w:color w:val="auto"/>
        </w:rPr>
      </w:pPr>
    </w:p>
    <w:p>
      <w:pPr>
        <w:jc w:val="both"/>
        <w:ind w:right="20" w:firstLine="1953"/>
        <w:spacing w:after="0" w:line="264" w:lineRule="auto"/>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written notice given by the Trustee for such Securities or Holders of such Securities; or</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5" w:right="259" w:bottom="0" w:gutter="0" w:footer="0" w:header="0"/>
          <w:type w:val="continuous"/>
        </w:sectPr>
      </w:pPr>
    </w:p>
    <w:bookmarkStart w:id="50" w:name="page51"/>
    <w:bookmarkEnd w:id="50"/>
    <w:p>
      <w:pPr>
        <w:ind w:left="3280" w:hanging="679"/>
        <w:spacing w:after="0"/>
        <w:tabs>
          <w:tab w:leader="none" w:pos="3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commences a voluntary case,</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orders the liquidation of the Company, and the order or decree remains unstayed and in effect for 90 days; or</w:t>
      </w:r>
    </w:p>
    <w:p>
      <w:pPr>
        <w:spacing w:after="0" w:line="248" w:lineRule="exact"/>
        <w:rPr>
          <w:rFonts w:ascii="Arial" w:cs="Arial" w:eastAsia="Arial" w:hAnsi="Arial"/>
          <w:sz w:val="16"/>
          <w:szCs w:val="16"/>
          <w:color w:val="auto"/>
        </w:rPr>
      </w:pPr>
    </w:p>
    <w:p>
      <w:pPr>
        <w:ind w:right="120" w:firstLine="1953"/>
        <w:spacing w:after="0" w:line="277" w:lineRule="auto"/>
        <w:tabs>
          <w:tab w:leader="none" w:pos="26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w:t>
      </w:r>
    </w:p>
    <w:p>
      <w:pPr>
        <w:spacing w:after="0" w:line="225" w:lineRule="exact"/>
        <w:rPr>
          <w:sz w:val="20"/>
          <w:szCs w:val="20"/>
          <w:color w:val="auto"/>
        </w:rPr>
      </w:pPr>
    </w:p>
    <w:p>
      <w:pPr>
        <w:ind w:right="80" w:firstLine="1297"/>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6.1(e) or (f))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6.1(e) or</w:t>
      </w:r>
    </w:p>
    <w:p>
      <w:pPr>
        <w:spacing w:after="0" w:line="5" w:lineRule="exact"/>
        <w:rPr>
          <w:sz w:val="20"/>
          <w:szCs w:val="20"/>
          <w:color w:val="auto"/>
        </w:rPr>
      </w:pPr>
    </w:p>
    <w:p>
      <w:pPr>
        <w:ind w:firstLine="8"/>
        <w:spacing w:after="0" w:line="261" w:lineRule="auto"/>
        <w:tabs>
          <w:tab w:leader="none" w:pos="2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84"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At any time after such a declaration of acceleration with respect to any Series has been made, the Holders of a majority in principal amount of the outstanding Securities of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Series, by written notice to the Company and the Trustee, may rescind and annul such declaration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u w:val="single" w:color="auto"/>
          <w:color w:val="auto"/>
        </w:rPr>
        <w:t>Other Remedies.</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 Trustee may pursue any available remedy to collect the payment of principal, premium, if any, and interest on such Securities or to enforce the performance of any provision of such Securities or this Indenture.</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The Trustee for such Securities may maintain a proceeding even if it does not possess any of such Securities or does not produce any of them in the proceeding. A delay or omission by the Trustee or any Holder of Securities in exercising any right or remedy accruing upon an Event of Default shall not impair the right or remedy or constitute a waiver of or acquiescence in the Event of Default. All remedies are cumulative to the extent permitted by law.</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Waiver of Past Defaults.</w:t>
      </w:r>
    </w:p>
    <w:p>
      <w:pPr>
        <w:spacing w:after="0" w:line="225"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Holders of not less than a majority in aggregate principal amount of the then outstanding Securities of any Series by notice to the Trustee for such Securities may on behalf of the Holders of all Securities of such Series waive an existing Default or Event of Default with respect to the Securities of such Series and its consequences hereunder, except a continuing Default or Event of Default in the payment of the principal of, premium, if any, or interest on, such Securities (including in connection with an offer to purchase); provided, however, that the Holders of a majority in aggregate principal amount of the then outstanding Securities of any Series may rescind an acceleration of the Securities of such Series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u w:val="single" w:color="auto"/>
          <w:color w:val="auto"/>
        </w:rPr>
        <w:t>Control by Majority.</w:t>
      </w:r>
    </w:p>
    <w:p>
      <w:pPr>
        <w:spacing w:after="0" w:line="225" w:lineRule="exact"/>
        <w:rPr>
          <w:sz w:val="20"/>
          <w:szCs w:val="20"/>
          <w:color w:val="auto"/>
        </w:rPr>
      </w:pPr>
    </w:p>
    <w:p>
      <w:pPr>
        <w:ind w:right="460" w:firstLine="1297"/>
        <w:spacing w:after="0" w:line="342" w:lineRule="auto"/>
        <w:rPr>
          <w:sz w:val="20"/>
          <w:szCs w:val="20"/>
          <w:color w:val="auto"/>
        </w:rPr>
      </w:pPr>
      <w:r>
        <w:rPr>
          <w:rFonts w:ascii="Arial" w:cs="Arial" w:eastAsia="Arial" w:hAnsi="Arial"/>
          <w:sz w:val="16"/>
          <w:szCs w:val="16"/>
          <w:color w:val="auto"/>
        </w:rPr>
        <w:t>Holders of not less than a majority in aggregate principal amount of the then outstanding Securities of any Series may direct the time, method and place of conducting any proceeding for exercising any remedy available to the Trustee for such Securities or exercising any trust or power</w:t>
      </w:r>
    </w:p>
    <w:p>
      <w:pPr>
        <w:sectPr>
          <w:pgSz w:w="11900" w:h="16838" w:orient="portrait"/>
          <w:cols w:equalWidth="0" w:num="1">
            <w:col w:w="11380"/>
          </w:cols>
          <w:pgMar w:left="240" w:top="733" w:right="279" w:bottom="0" w:gutter="0" w:footer="0" w:header="0"/>
        </w:sectPr>
      </w:pPr>
    </w:p>
    <w:bookmarkStart w:id="51" w:name="page52"/>
    <w:bookmarkEnd w:id="51"/>
    <w:p>
      <w:pPr>
        <w:spacing w:after="0" w:line="3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conferred on it. However, the Trustee for any Series of Securities may refuse to follow any direction that conflicts with law or this Indenture that such Trustee determines may be unduly prejudicial to the rights of other Holders of such Securities or that may involve the Trustee in personal liability.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Limitation on Suits.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Holder of any Series of Securities may pursue a remedy with respect to this Indenture or such Securities only if:</w:t>
      </w:r>
    </w:p>
    <w:p>
      <w:pPr>
        <w:spacing w:after="0" w:line="225" w:lineRule="exact"/>
        <w:rPr>
          <w:sz w:val="20"/>
          <w:szCs w:val="20"/>
          <w:color w:val="auto"/>
        </w:rPr>
      </w:pPr>
    </w:p>
    <w:p>
      <w:pPr>
        <w:ind w:left="3260" w:hanging="659"/>
        <w:spacing w:after="0"/>
        <w:tabs>
          <w:tab w:leader="none" w:pos="3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gives to the Trustee for such Securities written notice that an Event of Default is continuing;</w:t>
      </w:r>
    </w:p>
    <w:p>
      <w:pPr>
        <w:spacing w:after="0" w:line="236" w:lineRule="exact"/>
        <w:rPr>
          <w:rFonts w:ascii="Arial" w:cs="Arial" w:eastAsia="Arial" w:hAnsi="Arial"/>
          <w:sz w:val="17"/>
          <w:szCs w:val="17"/>
          <w:color w:val="auto"/>
        </w:rPr>
      </w:pPr>
    </w:p>
    <w:p>
      <w:pPr>
        <w:ind w:right="180" w:firstLine="2601"/>
        <w:spacing w:after="0" w:line="277" w:lineRule="auto"/>
        <w:tabs>
          <w:tab w:leader="none" w:pos="32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Securities of such Series make a written request to the Trustee for such Securities to pursue the remedy;</w:t>
      </w:r>
    </w:p>
    <w:p>
      <w:pPr>
        <w:spacing w:after="0" w:line="170" w:lineRule="exact"/>
        <w:rPr>
          <w:rFonts w:ascii="Arial" w:cs="Arial" w:eastAsia="Arial" w:hAnsi="Arial"/>
          <w:sz w:val="18"/>
          <w:szCs w:val="18"/>
          <w:color w:val="auto"/>
        </w:rPr>
      </w:pPr>
    </w:p>
    <w:p>
      <w:pPr>
        <w:ind w:right="200" w:firstLine="2601"/>
        <w:spacing w:after="0" w:line="277" w:lineRule="auto"/>
        <w:tabs>
          <w:tab w:leader="none" w:pos="32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for such Securities security or indemnity reasonably satisfactory to such Trustee against any loss, liability or expense;</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Trustee does not comply with the request within 60 days after receipt of the request and the offer of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indemnity; and</w:t>
      </w:r>
    </w:p>
    <w:p>
      <w:pPr>
        <w:spacing w:after="0" w:line="210" w:lineRule="exact"/>
        <w:rPr>
          <w:rFonts w:ascii="Arial" w:cs="Arial" w:eastAsia="Arial" w:hAnsi="Arial"/>
          <w:sz w:val="16"/>
          <w:szCs w:val="16"/>
          <w:color w:val="auto"/>
        </w:rPr>
      </w:pPr>
    </w:p>
    <w:p>
      <w:pPr>
        <w:ind w:right="720" w:firstLine="2601"/>
        <w:spacing w:after="0" w:line="277" w:lineRule="auto"/>
        <w:tabs>
          <w:tab w:leader="none" w:pos="32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Securities of such Series do not give such Trustee a direction inconsistent with such request.</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 Holder of any Series of Securities may not use this Indenture to prejudice the rights of another Holder of such Series of Securities or to obtain a preference or priority over another Holder of a Securities of such Series.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Rights of Holders of Security to Receive Payment.</w:t>
      </w:r>
    </w:p>
    <w:p>
      <w:pPr>
        <w:spacing w:after="0" w:line="225" w:lineRule="exact"/>
        <w:rPr>
          <w:sz w:val="20"/>
          <w:szCs w:val="20"/>
          <w:color w:val="auto"/>
        </w:rPr>
      </w:pPr>
    </w:p>
    <w:p>
      <w:pPr>
        <w:jc w:val="both"/>
        <w:ind w:right="100" w:firstLine="1297"/>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Security of any Series to receive payment of principal, premium, if any, and interest on such Securities, on or after the respective due dates expressed in such Securities (including, if applicable, in connection with an offer to purchase),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Collection Suit by Trustee.</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If an Event of Default specified in Section 6.1(a), (b) or (c) hereof with respect to Securities of any Series occurs and is continuing, the Trustee for such Securities is authorized to recover judgment in its own name and as trustee of an express trust against the Company for the whole amount of principal of, premium, if any, and interest remaining unpaid on, such Securities and interest on overdue principal and, to the extent lawful, interest and such further amount as shall be sufficient to cover the costs and expenses of collection, including the reasonable compensation, expenses, disbursements and advances of such Trustee, its agents and counsel.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The Trustee for each Series of Securities is authorized to file such proofs of claim and other papers or documents as may be necessary or advisable in order to have the claims of such Trustee (including any claim for the reasonable compensation, expenses, disbursements and advances of such Trustee, its agents and counsel) and the Holders of the Securities for which it acts as trustee allowed in any judicial proceedings relative to the Company (or any other obligor upon such Securities), its creditors or its property and shall be entitled and empowered to collect, receive and distribute any money or other property payable or deliverable on any such claims and any Custodian in any such judicial proceeding is hereby authorized by each Holder of such Securities to make such payments to such Trustee, and in the event that such Trustee shall consent to the making of such payments directly to such Holders, to pay to such Trustee any amount due to it for the reasonable compensation, expenses, disbursements and advances of such Trustee, its agents and counsel, and any other amounts due such Trustee under the Indenture. To the extent that the payment of any such compensation, expenses, disbursements and advances of such Trustee, its agents and counsel, and any other amounts due such Trustee (including, without limitation, under Section 7.7 hereof) out of the estate in any such proceeding, shall be denied for any reason, payment of the same shall be secured by a Lien on, and shall be paid out of, any and all distributions, dividends, money, securities and other properties that such Holders may be entitled to receive in such proceeding whether in liquidation or under any plan of reorganization or arrangement or otherwise. Nothing herein contained shall be deemed to authorize such Trustee to authorize or consent to or accept or adopt on behalf of any Holder for which it acts as trustee any plan of reorganization, arrangement, adjustment or composition affecting the Securities or the rights of such Holder, or to authorize such Trustee to vote in respect of the claim of any such Holder in any such proceeding.</w:t>
      </w:r>
    </w:p>
    <w:p>
      <w:pPr>
        <w:spacing w:after="0" w:line="1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u w:val="single" w:color="auto"/>
          <w:color w:val="auto"/>
        </w:rPr>
        <w:t>Priorities.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the Trustee of any Series of Securities collects any money pursuant to this Article 6, it shall pay out the money in the following order:</w:t>
      </w:r>
    </w:p>
    <w:p>
      <w:pPr>
        <w:spacing w:after="0" w:line="237" w:lineRule="exact"/>
        <w:rPr>
          <w:sz w:val="20"/>
          <w:szCs w:val="20"/>
          <w:color w:val="auto"/>
        </w:rPr>
      </w:pPr>
    </w:p>
    <w:p>
      <w:pPr>
        <w:ind w:right="480" w:firstLine="1297"/>
        <w:spacing w:after="0" w:line="308"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the Trustee, its agents and attorneys for amounts due under the Indenture, including payment of all reasonable compensation, expenses, indemnities and liabilities incurred, and all advances made, by the Trustee and the costs and expenses of collection;</w:t>
      </w:r>
    </w:p>
    <w:p>
      <w:pPr>
        <w:spacing w:after="0" w:line="147"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Holders of such Securities for amounts due and unpaid on such Securities for principal, premium, if any, and interest, ratably, without preference or priority of any kind, according to the amounts due and payable on such Securities for principal, premium, if any and interest, respectively;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Company or to such party as a court of competent jurisdiction shall direct.</w:t>
      </w:r>
    </w:p>
    <w:p>
      <w:pPr>
        <w:sectPr>
          <w:pgSz w:w="11900" w:h="16874" w:orient="portrait"/>
          <w:cols w:equalWidth="0" w:num="1">
            <w:col w:w="11400"/>
          </w:cols>
          <w:pgMar w:left="240" w:top="125" w:right="259" w:bottom="0" w:gutter="0" w:footer="0" w:header="0"/>
        </w:sectPr>
      </w:pPr>
    </w:p>
    <w:bookmarkStart w:id="52" w:name="page53"/>
    <w:bookmarkEnd w:id="52"/>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Trustee may fix a record date and payment date for any payment to Holders of Securities pursuant to this Section 6.10.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Undertaking for Costs.</w:t>
      </w:r>
    </w:p>
    <w:p>
      <w:pPr>
        <w:spacing w:after="0" w:line="225"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Security pursuant to Section 6.7 hereof, or a suit by Holders of more than 10% in aggregate principal amount of the then outstanding Securities of any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p>
    <w:p>
      <w:pPr>
        <w:spacing w:after="0" w:line="225" w:lineRule="exact"/>
        <w:rPr>
          <w:sz w:val="20"/>
          <w:szCs w:val="20"/>
          <w:color w:val="auto"/>
        </w:rPr>
      </w:pPr>
    </w:p>
    <w:p>
      <w:pPr>
        <w:ind w:right="20" w:firstLine="1953"/>
        <w:spacing w:after="0" w:line="286" w:lineRule="auto"/>
        <w:tabs>
          <w:tab w:leader="none" w:pos="259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an Event of Default with respect to any Series of Securities has occurred and is continuing, of which a Responsible Officer of the Trustee has actual knowledge,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165" w:lineRule="exact"/>
        <w:rPr>
          <w:rFonts w:ascii="Arial" w:cs="Arial" w:eastAsia="Arial" w:hAnsi="Arial"/>
          <w:sz w:val="17"/>
          <w:szCs w:val="17"/>
          <w:color w:val="auto"/>
        </w:rPr>
      </w:pPr>
    </w:p>
    <w:p>
      <w:pPr>
        <w:ind w:left="2600" w:hanging="647"/>
        <w:spacing w:after="0"/>
        <w:tabs>
          <w:tab w:leader="none" w:pos="2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of which a Responsible Officer of the Trustee has actual</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knowledge:</w:t>
      </w:r>
    </w:p>
    <w:p>
      <w:pPr>
        <w:spacing w:after="0" w:line="210" w:lineRule="exact"/>
        <w:rPr>
          <w:rFonts w:ascii="Arial" w:cs="Arial" w:eastAsia="Arial" w:hAnsi="Arial"/>
          <w:sz w:val="18"/>
          <w:szCs w:val="18"/>
          <w:color w:val="auto"/>
        </w:rPr>
      </w:pPr>
    </w:p>
    <w:p>
      <w:pPr>
        <w:ind w:right="100" w:firstLine="2601"/>
        <w:spacing w:after="0" w:line="277" w:lineRule="auto"/>
        <w:tabs>
          <w:tab w:leader="none" w:pos="32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70" w:lineRule="exact"/>
        <w:rPr>
          <w:rFonts w:ascii="Arial" w:cs="Arial" w:eastAsia="Arial" w:hAnsi="Arial"/>
          <w:sz w:val="18"/>
          <w:szCs w:val="18"/>
          <w:color w:val="auto"/>
        </w:rPr>
      </w:pPr>
    </w:p>
    <w:p>
      <w:pPr>
        <w:ind w:right="60" w:firstLine="2601"/>
        <w:spacing w:after="0" w:line="297" w:lineRule="auto"/>
        <w:tabs>
          <w:tab w:leader="none" w:pos="327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58" w:lineRule="exact"/>
        <w:rPr>
          <w:rFonts w:ascii="Arial" w:cs="Arial" w:eastAsia="Arial" w:hAnsi="Arial"/>
          <w:sz w:val="16"/>
          <w:szCs w:val="16"/>
          <w:color w:val="auto"/>
        </w:rPr>
      </w:pPr>
    </w:p>
    <w:p>
      <w:pPr>
        <w:ind w:left="2620" w:hanging="667"/>
        <w:spacing w:after="0"/>
        <w:tabs>
          <w:tab w:leader="none" w:pos="2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willful misconduct, except that:</w:t>
      </w:r>
    </w:p>
    <w:p>
      <w:pPr>
        <w:spacing w:after="0" w:line="210" w:lineRule="exact"/>
        <w:rPr>
          <w:rFonts w:ascii="Arial" w:cs="Arial" w:eastAsia="Arial" w:hAnsi="Arial"/>
          <w:sz w:val="17"/>
          <w:szCs w:val="17"/>
          <w:color w:val="auto"/>
        </w:rPr>
      </w:pPr>
    </w:p>
    <w:p>
      <w:pPr>
        <w:ind w:left="3280" w:hanging="679"/>
        <w:spacing w:after="0"/>
        <w:tabs>
          <w:tab w:leader="none" w:pos="3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601"/>
        <w:spacing w:after="0" w:line="277" w:lineRule="auto"/>
        <w:tabs>
          <w:tab w:leader="none" w:pos="327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jc w:val="both"/>
        <w:ind w:right="20" w:firstLine="2601"/>
        <w:spacing w:after="0" w:line="259" w:lineRule="auto"/>
        <w:tabs>
          <w:tab w:leader="none" w:pos="328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this Article VII.</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at the request or direction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unless it receives indemnity satisfactory to it against any loss, liability or expense.</w:t>
      </w:r>
    </w:p>
    <w:p>
      <w:pPr>
        <w:spacing w:after="0" w:line="211" w:lineRule="exact"/>
        <w:rPr>
          <w:sz w:val="20"/>
          <w:szCs w:val="20"/>
          <w:color w:val="auto"/>
        </w:rPr>
      </w:pPr>
    </w:p>
    <w:p>
      <w:pPr>
        <w:ind w:right="260" w:firstLine="1953"/>
        <w:spacing w:after="0" w:line="277" w:lineRule="auto"/>
        <w:tabs>
          <w:tab w:leader="none" w:pos="25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right="200" w:firstLine="1953"/>
        <w:spacing w:after="0" w:line="264" w:lineRule="auto"/>
        <w:tabs>
          <w:tab w:leader="none" w:pos="26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1" w:lineRule="exact"/>
        <w:rPr>
          <w:rFonts w:ascii="Arial" w:cs="Arial" w:eastAsia="Arial" w:hAnsi="Arial"/>
          <w:sz w:val="18"/>
          <w:szCs w:val="18"/>
          <w:color w:val="auto"/>
        </w:rPr>
      </w:pPr>
    </w:p>
    <w:p>
      <w:pPr>
        <w:ind w:right="60" w:firstLine="1953"/>
        <w:spacing w:after="0" w:line="277" w:lineRule="auto"/>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Paying Agent, the Registrar, the Service Agent and any authenticating agent shall be entitled to the same protections, indemnities and immunities as are set forth in this Article VII with respect to the Trustee.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p>
    <w:p>
      <w:pPr>
        <w:spacing w:after="0" w:line="225" w:lineRule="exact"/>
        <w:rPr>
          <w:sz w:val="20"/>
          <w:szCs w:val="20"/>
          <w:color w:val="auto"/>
        </w:rPr>
      </w:pPr>
    </w:p>
    <w:p>
      <w:pPr>
        <w:ind w:right="140" w:firstLine="1953"/>
        <w:spacing w:after="0" w:line="264" w:lineRule="auto"/>
        <w:tabs>
          <w:tab w:leader="none" w:pos="25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fully protected in acting or refraining from acting upon any document believed by it to be genuine and to have been signed or presented by the proper person. The Trustee need not investigate any fact or matter stated in the document.</w:t>
      </w:r>
    </w:p>
    <w:p>
      <w:pPr>
        <w:spacing w:after="0" w:line="181" w:lineRule="exact"/>
        <w:rPr>
          <w:rFonts w:ascii="Arial" w:cs="Arial" w:eastAsia="Arial" w:hAnsi="Arial"/>
          <w:sz w:val="18"/>
          <w:szCs w:val="18"/>
          <w:color w:val="auto"/>
        </w:rPr>
      </w:pPr>
    </w:p>
    <w:p>
      <w:pPr>
        <w:ind w:right="160" w:firstLine="1953"/>
        <w:spacing w:after="0" w:line="277" w:lineRule="auto"/>
        <w:tabs>
          <w:tab w:leader="none" w:pos="2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shall not be liable for any action it takes or omits to take in good faith in reliance on such Officers’ Certificate.</w:t>
      </w:r>
    </w:p>
    <w:p>
      <w:pPr>
        <w:sectPr>
          <w:pgSz w:w="11900" w:h="16929" w:orient="portrait"/>
          <w:cols w:equalWidth="0" w:num="1">
            <w:col w:w="11420"/>
          </w:cols>
          <w:pgMar w:left="240" w:top="341" w:right="239" w:bottom="0" w:gutter="0" w:footer="0" w:header="0"/>
        </w:sectPr>
      </w:pPr>
    </w:p>
    <w:bookmarkStart w:id="53" w:name="page54"/>
    <w:bookmarkEnd w:id="53"/>
    <w:p>
      <w:pPr>
        <w:ind w:right="20" w:firstLine="1953"/>
        <w:spacing w:after="0" w:line="286" w:lineRule="auto"/>
        <w:tabs>
          <w:tab w:leader="none" w:pos="260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may act through agents, attorneys, custodians or nominees and shall not be responsible for the supervision of or any misconduct or negligence of any agent, attorney, custodian or nominee appointed with due care. No Depositary shall be deemed an agent, attorney, custodian or nominee of the Trustee and the Trustee shall not be responsible for any act or omission by any Depositary.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953"/>
        <w:spacing w:after="0" w:line="277" w:lineRule="auto"/>
        <w:tabs>
          <w:tab w:leader="none" w:pos="2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170" w:lineRule="exact"/>
        <w:rPr>
          <w:rFonts w:ascii="Arial" w:cs="Arial" w:eastAsia="Arial" w:hAnsi="Arial"/>
          <w:sz w:val="18"/>
          <w:szCs w:val="18"/>
          <w:color w:val="auto"/>
        </w:rPr>
      </w:pPr>
    </w:p>
    <w:p>
      <w:pPr>
        <w:ind w:right="620" w:firstLine="1953"/>
        <w:spacing w:after="0" w:line="342" w:lineRule="auto"/>
        <w:tabs>
          <w:tab w:leader="none" w:pos="260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firstLine="1953"/>
        <w:spacing w:after="0" w:line="264" w:lineRule="auto"/>
        <w:tabs>
          <w:tab w:leader="none" w:pos="25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right="100" w:firstLine="1953"/>
        <w:spacing w:after="0" w:line="264" w:lineRule="auto"/>
        <w:tabs>
          <w:tab w:leader="none" w:pos="26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81" w:lineRule="exact"/>
        <w:rPr>
          <w:rFonts w:ascii="Arial" w:cs="Arial" w:eastAsia="Arial" w:hAnsi="Arial"/>
          <w:sz w:val="18"/>
          <w:szCs w:val="18"/>
          <w:color w:val="auto"/>
        </w:rPr>
      </w:pPr>
    </w:p>
    <w:p>
      <w:pPr>
        <w:ind w:right="320" w:firstLine="1953"/>
        <w:spacing w:after="0" w:line="312" w:lineRule="auto"/>
        <w:tabs>
          <w:tab w:leader="none" w:pos="2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6" w:lineRule="exact"/>
        <w:rPr>
          <w:rFonts w:ascii="Arial" w:cs="Arial" w:eastAsia="Arial" w:hAnsi="Arial"/>
          <w:sz w:val="16"/>
          <w:szCs w:val="16"/>
          <w:color w:val="auto"/>
        </w:rPr>
      </w:pPr>
    </w:p>
    <w:p>
      <w:pPr>
        <w:jc w:val="both"/>
        <w:ind w:right="280" w:firstLine="1953"/>
        <w:spacing w:after="0" w:line="286" w:lineRule="auto"/>
        <w:tabs>
          <w:tab w:leader="none" w:pos="261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65" w:lineRule="exact"/>
        <w:rPr>
          <w:rFonts w:ascii="Arial" w:cs="Arial" w:eastAsia="Arial" w:hAnsi="Arial"/>
          <w:sz w:val="17"/>
          <w:szCs w:val="17"/>
          <w:color w:val="auto"/>
        </w:rPr>
      </w:pPr>
    </w:p>
    <w:p>
      <w:pPr>
        <w:jc w:val="both"/>
        <w:ind w:right="400" w:firstLine="1953"/>
        <w:spacing w:after="0" w:line="264" w:lineRule="auto"/>
        <w:tabs>
          <w:tab w:leader="none" w:pos="26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81" w:lineRule="exact"/>
        <w:rPr>
          <w:rFonts w:ascii="Arial" w:cs="Arial" w:eastAsia="Arial" w:hAnsi="Arial"/>
          <w:sz w:val="18"/>
          <w:szCs w:val="18"/>
          <w:color w:val="auto"/>
        </w:rPr>
      </w:pPr>
    </w:p>
    <w:p>
      <w:pPr>
        <w:ind w:right="200" w:firstLine="1953"/>
        <w:spacing w:after="0" w:line="264" w:lineRule="auto"/>
        <w:tabs>
          <w:tab w:leader="none" w:pos="2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6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58" w:lineRule="exact"/>
        <w:rPr>
          <w:sz w:val="20"/>
          <w:szCs w:val="20"/>
          <w:color w:val="auto"/>
        </w:rPr>
      </w:pPr>
    </w:p>
    <w:p>
      <w:pPr>
        <w:ind w:right="40" w:firstLine="1953"/>
        <w:spacing w:after="0" w:line="259" w:lineRule="auto"/>
        <w:tabs>
          <w:tab w:leader="none" w:pos="2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Delivery of reports and other financial information related to the Company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conclusively on Officers’ Certificates).</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construed as a duty.</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p>
    <w:p>
      <w:pPr>
        <w:spacing w:after="0" w:line="225"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p>
    <w:p>
      <w:pPr>
        <w:sectPr>
          <w:pgSz w:w="11900" w:h="16838" w:orient="portrait"/>
          <w:cols w:equalWidth="0" w:num="1">
            <w:col w:w="11380"/>
          </w:cols>
          <w:pgMar w:left="240" w:top="341" w:right="279" w:bottom="0" w:gutter="0" w:footer="0" w:header="0"/>
        </w:sectPr>
      </w:pPr>
    </w:p>
    <w:bookmarkStart w:id="54" w:name="page55"/>
    <w:bookmarkEnd w:id="54"/>
    <w:p>
      <w:pPr>
        <w:ind w:right="60" w:firstLine="1297"/>
        <w:spacing w:after="0" w:line="257"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mail to each Securityholder of the Securities of that Series notice of such Default or Event of Default within 90 days after a Responsible Officer of the Trustee has knowledge of such Default or Event of Default. Except in the case of a Default or Event of Default in payment of principal of or interest on any Security of any Series, the Trustee may withhold the notice if it in good faith determines that withholding the notice is in the interests of Securityholders of that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p>
    <w:p>
      <w:pPr>
        <w:spacing w:after="0" w:line="225"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Within 60 days after May 15 in each year, and for so long as any Securities remain outstanding, the Trustee shall transmit by mail to all Securityholders, as their names and addresses appear on the register kept by the Registrar a brief report dated as of such May 15, in accordance with, and to the extent required under, TIA § 313(a) (but if no event described in TIA §313(a) has occurred within the twelve months preceding the reporting date, no report need be transmitted). The Trustee also will comply with TIA §313(b)(2) and transmit by mail all reports as required by TIA §313(c).</w:t>
      </w:r>
    </w:p>
    <w:p>
      <w:pPr>
        <w:spacing w:after="0" w:line="154"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A copy of each report at the time of its mailing to Securityholders of any Series shall be mailed by the Trustee to the Company and filed by the Company with the SEC and each stock exchange on which the Securities of that Series are listed. The Company shall promptly notify the Trustee when Securities of any Series are listed on any stock exchange.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The Company shall pay to the Trustee from time to time compensation for its services hereunder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in addition to the compensation for its services. Such expenses shall include the reasonable compensation and expenses of the Trustee’s agents and counsel.</w:t>
      </w:r>
    </w:p>
    <w:p>
      <w:pPr>
        <w:spacing w:after="0" w:line="171"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The Company shall indemnify each of the Trustee, any predecessor Trustee (including the cost of defending itself) and each of their respective officers, directors, employees, shareholders and agents (collectively, the “Indemnified Parties”) against any loss, liability or expense, including taxes (other than taxes based upon, measured by or determined by the income of the Trustee) incurred by such Indemnified Parties directly or indirectly arising out of or in connection with the acceptance or administration of its duties under this Indenture as Trustee or Agent; provided, however, that the Company shall not be required to indemnify for any such loss, liability or expense resulting directly from an Indemnified Party’s negligence, bad faith or willful misconduct as determined by a final judgment issued by a court of competent jurisdiction. An Indemnified Party shall notify the Company promptly of any claim for which it may seek indemnity, provided however that failure by such Indemnified Party to so notify the Company shall not relieve the Company of its obligations hereunder. The Company shall defend the claim and the Indemnified Party shall cooperate in the defense. Each Indemnified Party may have one separate counsel and the Company shall pay the reasonable fees and expenses of such counsel. The Company need not pay for any settlement made without its consent, which consent shall not be unreasonably withheld or delayed.</w:t>
      </w:r>
    </w:p>
    <w:p>
      <w:pPr>
        <w:spacing w:after="0" w:line="178"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6.1(e) or (f) occurs, the expenses and the compensation for the services are intended to constitute expenses of administration under any Bankruptcy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provisions of this Section 7.7 shall survive the termination of this Indenture or the earlier resignation or removal of the Trustee.</w:t>
      </w:r>
    </w:p>
    <w:p>
      <w:pPr>
        <w:spacing w:after="0" w:line="2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aggregate principal amount of the Securities of any Series may remove the Trustee with respect to that Series by so notifying the Trustee and the Company. The Company may remove the Trustee with respect to Securities of one or more Series if:</w:t>
      </w:r>
    </w:p>
    <w:p>
      <w:pPr>
        <w:spacing w:after="0" w:line="147" w:lineRule="exact"/>
        <w:rPr>
          <w:sz w:val="20"/>
          <w:szCs w:val="20"/>
          <w:color w:val="auto"/>
        </w:rPr>
      </w:pPr>
    </w:p>
    <w:p>
      <w:pPr>
        <w:ind w:left="2600" w:hanging="647"/>
        <w:spacing w:after="0"/>
        <w:tabs>
          <w:tab w:leader="none" w:pos="2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Bankruptcy Law;</w:t>
      </w:r>
    </w:p>
    <w:p>
      <w:pPr>
        <w:spacing w:after="0" w:line="211" w:lineRule="exact"/>
        <w:rPr>
          <w:sz w:val="20"/>
          <w:szCs w:val="20"/>
          <w:color w:val="auto"/>
        </w:rPr>
      </w:pPr>
    </w:p>
    <w:p>
      <w:pPr>
        <w:ind w:left="2620" w:hanging="667"/>
        <w:spacing w:after="0"/>
        <w:tabs>
          <w:tab w:leader="none" w:pos="2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66"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10% in aggregate principal amount of the Securities of the applicable Series may petition any court of competent jurisdiction for the appointment of a successor Trustee.</w:t>
      </w:r>
    </w:p>
    <w:p>
      <w:pPr>
        <w:sectPr>
          <w:pgSz w:w="11900" w:h="16838" w:orient="portrait"/>
          <w:cols w:equalWidth="0" w:num="1">
            <w:col w:w="11400"/>
          </w:cols>
          <w:pgMar w:left="240" w:top="125" w:right="259" w:bottom="0" w:gutter="0" w:footer="0" w:header="0"/>
        </w:sectPr>
      </w:pPr>
    </w:p>
    <w:bookmarkStart w:id="55" w:name="page56"/>
    <w:bookmarkEnd w:id="55"/>
    <w:p>
      <w:pPr>
        <w:spacing w:after="0" w:line="10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Upon payment of all amounts owing to retiring Trustee hereunder, the retiring Trustee shall immediately transfer all property held by it as Trustee to the successor Trustee subject to the lien provided for in Section 7.7, and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LEGAL DEFEASANCE AND COVENANT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Option to Effect Legal Defeasance or Covenant Defeasance.</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The Company may at any time, at the option of its Board of Directors evidenced by a resolution set forth in an Officers’ Certificate, elect to have either Section 8.2 or 8.3 hereof be applied to all outstanding Securities of any Series upon compliance with the conditions set forth below in this Article 8.</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5"/>
          <w:szCs w:val="15"/>
          <w:u w:val="single" w:color="auto"/>
          <w:color w:val="auto"/>
        </w:rPr>
        <w:t>Legal Defeasance and Discharge.</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Upon the Company’s exercise under Section 8.1 hereof of the option applicable to this Section 8.2, the Company and each guarantor, if any, of such Securities will, subject to the satisfaction of the conditions set forth in Section 8.4 hereof, be deemed to have been discharged from its or their obligations with respect to all outstanding Securities of such Series (including the related guarantees, if any) on the date the conditions set forth below are satisfied (hereinafter, “Legal Defeasance”). For this purpose, Legal Defeasance means that the Company and such guarantors, if any, will be deemed to have paid and discharged the entire Indebtedness represented by the outstanding Securities of such Series (including the related guarantees, if any), which will thereafter be deemed to be “outstanding” only for the purposes of Section 8.5 hereof and the other Sections of this Indenture referred to in clauses (1) and</w:t>
      </w:r>
    </w:p>
    <w:p>
      <w:pPr>
        <w:spacing w:after="0" w:line="5" w:lineRule="exact"/>
        <w:rPr>
          <w:sz w:val="20"/>
          <w:szCs w:val="20"/>
          <w:color w:val="auto"/>
        </w:rPr>
      </w:pPr>
    </w:p>
    <w:p>
      <w:pPr>
        <w:ind w:right="320" w:firstLine="8"/>
        <w:spacing w:after="0" w:line="261"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below, and to have satisfied all its or their other obligations under such Securities, such guarantees, if any, and this Indenture (and the Trustee for such Securities, on demand of and at the expense of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shall execute proper instruments acknowledging the same), except for the following provisions which will survive until otherwise terminated or discharged hereunder:</w:t>
      </w:r>
    </w:p>
    <w:p>
      <w:pPr>
        <w:spacing w:after="0" w:line="170" w:lineRule="exact"/>
        <w:rPr>
          <w:sz w:val="20"/>
          <w:szCs w:val="20"/>
          <w:color w:val="auto"/>
        </w:rPr>
      </w:pPr>
    </w:p>
    <w:p>
      <w:pPr>
        <w:ind w:left="3260" w:hanging="659"/>
        <w:spacing w:after="0"/>
        <w:tabs>
          <w:tab w:leader="none" w:pos="3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rights of Holders of outstanding Securities of such Series to receive payments in respect of the principal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interest or premium, if any, on, such Securities when such payments are due from the trust referred to in Section 8.4 hereof;</w:t>
      </w:r>
    </w:p>
    <w:p>
      <w:pPr>
        <w:spacing w:after="0" w:line="210" w:lineRule="exact"/>
        <w:rPr>
          <w:rFonts w:ascii="Arial" w:cs="Arial" w:eastAsia="Arial" w:hAnsi="Arial"/>
          <w:sz w:val="16"/>
          <w:szCs w:val="16"/>
          <w:color w:val="auto"/>
        </w:rPr>
      </w:pPr>
    </w:p>
    <w:p>
      <w:pPr>
        <w:ind w:left="3260" w:hanging="659"/>
        <w:spacing w:after="0"/>
        <w:tabs>
          <w:tab w:leader="none" w:pos="3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obligations with respect to such Securities under Article 2 and Section 4.2 hereof;</w:t>
      </w:r>
    </w:p>
    <w:p>
      <w:pPr>
        <w:spacing w:after="0" w:line="225" w:lineRule="exact"/>
        <w:rPr>
          <w:rFonts w:ascii="Arial" w:cs="Arial" w:eastAsia="Arial" w:hAnsi="Arial"/>
          <w:sz w:val="18"/>
          <w:szCs w:val="18"/>
          <w:color w:val="auto"/>
        </w:rPr>
      </w:pPr>
    </w:p>
    <w:p>
      <w:pPr>
        <w:ind w:firstLine="2601"/>
        <w:spacing w:after="0" w:line="277" w:lineRule="auto"/>
        <w:tabs>
          <w:tab w:leader="none" w:pos="32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for such Securities hereunder and the Company’s and the guarantors’, if any, obligations in connection therewith; and</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8.2 notwithstanding the prior exercise of its option under Section 8.3 hereof.</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u w:val="single" w:color="auto"/>
          <w:color w:val="auto"/>
        </w:rPr>
        <w:t>Covenant Defeasance.</w:t>
      </w:r>
    </w:p>
    <w:p>
      <w:pPr>
        <w:spacing w:after="0" w:line="22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Upon the Company’s exercise under Section 8.1 hereof of the option applicable to this Section 8.3, the Company and each of the guarantors, if any, will, subject to the satisfaction of the conditions set forth in Section 8.4 hereof, be released from each of their or its obligations under the covenants specified in a Board Resolution, a supplemental indenture hereto or an Officers’ Certificate, in accordance with Section 2.2.18, with respect to the outstanding Securities of the applicable Series on and after the date the conditions set forth in Section 8.4 hereof are satisfied (hereinafter, “Covenant Defeasance”), and such Securities will thereafter be deemed not “outstanding” for the purposes of any direction, waiver, consent or declaration or act of</w:t>
      </w:r>
    </w:p>
    <w:p>
      <w:pPr>
        <w:sectPr>
          <w:pgSz w:w="11900" w:h="16941" w:orient="portrait"/>
          <w:cols w:equalWidth="0" w:num="1">
            <w:col w:w="11380"/>
          </w:cols>
          <w:pgMar w:left="240" w:top="125" w:right="279" w:bottom="0" w:gutter="0" w:footer="0" w:header="0"/>
        </w:sectPr>
      </w:pPr>
    </w:p>
    <w:bookmarkStart w:id="56" w:name="page57"/>
    <w:bookmarkEnd w:id="56"/>
    <w:p>
      <w:pPr>
        <w:spacing w:after="0" w:line="11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Holders of such Securities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In addition, upon the Company’s exercise under Section 8.1 hereof of the option applicable to this Section 8.3, subject to the satisfaction of the conditions set forth in Section 8.4 hereof, Sections 6.1(d) through (f) hereof will not constitute Events of Default.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Conditions to Legal or Covenant Defeasance.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order to exercise either Legal Defeasance or Covenant Defeasance under either Section 8.2 or 8.3 hereof with respect to Securities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601"/>
        <w:spacing w:after="0" w:line="276" w:lineRule="auto"/>
        <w:tabs>
          <w:tab w:leader="none" w:pos="324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for such Securities, in trust, for the benefit of the Holders of such Securities,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Securities of such Series on the stated date for payment thereof or on the applicable redemption date, as the case may be, and the Company must specify whether such Securities are being defeased to such stated date for payment or to a particular redemption date;</w:t>
      </w:r>
    </w:p>
    <w:p>
      <w:pPr>
        <w:spacing w:after="0" w:line="172" w:lineRule="exact"/>
        <w:rPr>
          <w:rFonts w:ascii="Arial" w:cs="Arial" w:eastAsia="Arial" w:hAnsi="Arial"/>
          <w:sz w:val="17"/>
          <w:szCs w:val="17"/>
          <w:color w:val="auto"/>
        </w:rPr>
      </w:pPr>
    </w:p>
    <w:p>
      <w:pPr>
        <w:ind w:left="3260" w:hanging="659"/>
        <w:spacing w:after="0"/>
        <w:tabs>
          <w:tab w:leader="none" w:pos="3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an election under Section 8.2 hereof, the Company must deliver to the Trustee for such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Opinion of Counsel confirming that:</w:t>
      </w:r>
    </w:p>
    <w:p>
      <w:pPr>
        <w:spacing w:after="0" w:line="210" w:lineRule="exact"/>
        <w:rPr>
          <w:rFonts w:ascii="Arial" w:cs="Arial" w:eastAsia="Arial" w:hAnsi="Arial"/>
          <w:sz w:val="16"/>
          <w:szCs w:val="16"/>
          <w:color w:val="auto"/>
        </w:rPr>
      </w:pPr>
    </w:p>
    <w:p>
      <w:pPr>
        <w:ind w:left="3920" w:hanging="671"/>
        <w:spacing w:after="0"/>
        <w:tabs>
          <w:tab w:leader="none" w:pos="3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Company has received from, or there has been published by, the Internal Revenue Service a ruling;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right="200" w:firstLine="3249"/>
        <w:spacing w:after="0" w:line="302" w:lineRule="auto"/>
        <w:tabs>
          <w:tab w:leader="none" w:pos="3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54" w:lineRule="exact"/>
        <w:rPr>
          <w:rFonts w:ascii="Arial" w:cs="Arial" w:eastAsia="Arial" w:hAnsi="Arial"/>
          <w:sz w:val="16"/>
          <w:szCs w:val="16"/>
          <w:color w:val="auto"/>
        </w:rPr>
      </w:pPr>
    </w:p>
    <w:p>
      <w:pPr>
        <w:ind w:right="140" w:firstLine="2601"/>
        <w:spacing w:after="0" w:line="259" w:lineRule="auto"/>
        <w:tabs>
          <w:tab w:leader="none" w:pos="32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an election under Section 8.3 hereof, the Company must deliver to the Trustee for such Securities an Opinion of Counsel confirming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3260" w:hanging="659"/>
        <w:spacing w:after="0"/>
        <w:tabs>
          <w:tab w:leader="none" w:pos="3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Default or Event of Default with respect to such Securities shall have occurred and be continuing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deposit (other than a Default or Event of Default resulting from the borrowing of funds to be applied to such deposit);</w:t>
      </w:r>
    </w:p>
    <w:p>
      <w:pPr>
        <w:spacing w:after="0" w:line="210" w:lineRule="exact"/>
        <w:rPr>
          <w:rFonts w:ascii="Arial" w:cs="Arial" w:eastAsia="Arial" w:hAnsi="Arial"/>
          <w:sz w:val="16"/>
          <w:szCs w:val="16"/>
          <w:color w:val="auto"/>
        </w:rPr>
      </w:pPr>
    </w:p>
    <w:p>
      <w:pPr>
        <w:ind w:right="100" w:firstLine="2601"/>
        <w:spacing w:after="0" w:line="264" w:lineRule="auto"/>
        <w:tabs>
          <w:tab w:leader="none" w:pos="32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1" w:lineRule="exact"/>
        <w:rPr>
          <w:rFonts w:ascii="Arial" w:cs="Arial" w:eastAsia="Arial" w:hAnsi="Arial"/>
          <w:sz w:val="18"/>
          <w:szCs w:val="18"/>
          <w:color w:val="auto"/>
        </w:rPr>
      </w:pPr>
    </w:p>
    <w:p>
      <w:pPr>
        <w:ind w:right="140" w:firstLine="2601"/>
        <w:spacing w:after="0" w:line="264" w:lineRule="auto"/>
        <w:tabs>
          <w:tab w:leader="none" w:pos="32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must deliver to the Trustee for such Securities an Officers’ Certificate stating that the deposit was not made by the Company with the intent of preferring the Holders of such Securities over the other creditors of the Company with the intent of defeating, hindering, delaying or defrauding any creditors of the Company or others; and</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must deliver to the Trustee for such Securities an Officers’ Certificate and an Opinion of Counsel,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stating that all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precedent relating to the Legal Defeasance or the Covenant Defeasance have been complied with.</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Deposited Money and Government Securities to be Held in Trust; Other Miscellaneous Provisions.</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Subject to Section 8.6 hereof, all money and non-callable Government Securities (including the proceeds thereof) deposited with the Trustee (or other qualifying trustee, collectively for purposes of this Section 8.5, the “Trustee”) pursuant to Section 8.4 hereof in respect of the outstanding Securities of any Series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93"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The Company will pay and indemnify the Trustee against any tax, fee or other charge imposed on or assessed against the cash or non-callable Government Securities deposited pursuant to Section 8.4 hereof or the principal and interest received in respect thereof other than any such tax, fee or other charge which by law is for the account of the Holders of the outstanding Securities of the applicable Series.</w:t>
      </w:r>
    </w:p>
    <w:p>
      <w:pPr>
        <w:spacing w:after="0" w:line="166"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Notwithstanding anything in this Article 8 to the contrary, the Trustee will deliver or pay to the Company from time to time upon the request of the Company any money or non-callable Government Securities held by it as provided in Section 8.4 hereof which, in the opinion of a nationally recognized firm of independent public accountants expressed in a written certification thereof delivered to the Trustee (which may be the opinion delivered</w:t>
      </w:r>
    </w:p>
    <w:p>
      <w:pPr>
        <w:sectPr>
          <w:pgSz w:w="11900" w:h="16952" w:orient="portrait"/>
          <w:cols w:equalWidth="0" w:num="1">
            <w:col w:w="11420"/>
          </w:cols>
          <w:pgMar w:left="240" w:top="125" w:right="239" w:bottom="0" w:gutter="0" w:footer="0" w:header="0"/>
        </w:sectPr>
      </w:pPr>
    </w:p>
    <w:bookmarkStart w:id="57" w:name="page58"/>
    <w:bookmarkEnd w:id="57"/>
    <w:p>
      <w:pPr>
        <w:spacing w:after="0" w:line="1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under Section 8.4(1) hereof), are in excess of the amount thereof that would then be required to be deposited to effect an equivalent Legal Defeasance or Covenant Defeasance.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Repayment to Company.</w:t>
      </w:r>
    </w:p>
    <w:p>
      <w:pPr>
        <w:spacing w:after="0" w:line="22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Series of Securities and remaining unclaimed for two years after such principal, premium, if any, or interest has become due and payable shall be paid to the Company on its request or (if then held by the Company) will be discharged from such trust; and the Holders of such Securities will thereafter be permitted to look only to the Company for payment thereof, and all liability of the Trustee or such Paying Agent with respect to such trust money, and all liability of the Company as trustee thereof, will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5"/>
          <w:szCs w:val="15"/>
          <w:u w:val="single" w:color="auto"/>
          <w:color w:val="auto"/>
        </w:rPr>
        <w:t>Reinstatement.</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If the Trustee or Paying Agent is unable to apply any U.S. dollars or non-callable Government Securities in accordance with Section 8.2 or 8.3 hereof, as the case may be, by reason of any order or judgment of any court or governmental authority enjoining, restraining or otherwise prohibiting such application, then the Company’s and any applicable guarantors’ obligations under this Indenture and the applicable Securities and the guarantees will be revived and reinstated as though no deposit had occurred pursuant to Section 8.2 or 8.3 hereof until such time as the Trustee or Paying Agent is permitted to apply all such money in accordance with Section 8.2 or 8.3 hereof, as the case may be; provided, however, that, if the Company makes any payment of principal of, premium, if any, or interest on, any such Securities following the reinstatement of its obligations, the Company will be subrogated to the rights of the Holders of such Securities to receive such payment from the money held by the Trustee or Paying Agent.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 AND WAIVERS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Notwithstanding Section 9.2 of this Indenture, the Company and the Trustee may amend or supplement this Indenture or the Securities of one or more Series without the consent of any Securityholder:</w:t>
      </w:r>
    </w:p>
    <w:p>
      <w:pPr>
        <w:spacing w:after="0" w:line="170" w:lineRule="exact"/>
        <w:rPr>
          <w:sz w:val="20"/>
          <w:szCs w:val="20"/>
          <w:color w:val="auto"/>
        </w:rPr>
      </w:pPr>
    </w:p>
    <w:p>
      <w:pPr>
        <w:ind w:right="340" w:firstLine="1953"/>
        <w:spacing w:after="0" w:line="264" w:lineRule="auto"/>
        <w:tabs>
          <w:tab w:leader="none" w:pos="25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cure any ambiguity, defect or inconsistency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right="680" w:firstLine="1953"/>
        <w:spacing w:after="0" w:line="277" w:lineRule="auto"/>
        <w:tabs>
          <w:tab w:leader="none" w:pos="26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the Holders of the Securities by a successor to the Company pursuant to Article 5 hereof;</w:t>
      </w:r>
    </w:p>
    <w:p>
      <w:pPr>
        <w:spacing w:after="0" w:line="170" w:lineRule="exact"/>
        <w:rPr>
          <w:rFonts w:ascii="Arial" w:cs="Arial" w:eastAsia="Arial" w:hAnsi="Arial"/>
          <w:sz w:val="18"/>
          <w:szCs w:val="18"/>
          <w:color w:val="auto"/>
        </w:rPr>
      </w:pPr>
    </w:p>
    <w:p>
      <w:pPr>
        <w:ind w:right="440" w:firstLine="1953"/>
        <w:spacing w:after="0" w:line="277" w:lineRule="auto"/>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Securities or that does not adversely affect the legal rights hereunder of any Securityholder;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this Indenture under the TIA;</w:t>
      </w:r>
    </w:p>
    <w:p>
      <w:pPr>
        <w:spacing w:after="0" w:line="236" w:lineRule="exact"/>
        <w:rPr>
          <w:rFonts w:ascii="Arial" w:cs="Arial" w:eastAsia="Arial" w:hAnsi="Arial"/>
          <w:sz w:val="17"/>
          <w:szCs w:val="17"/>
          <w:color w:val="auto"/>
        </w:rPr>
      </w:pPr>
    </w:p>
    <w:p>
      <w:pPr>
        <w:ind w:right="100" w:firstLine="1953"/>
        <w:spacing w:after="0" w:line="277" w:lineRule="auto"/>
        <w:tabs>
          <w:tab w:leader="none" w:pos="25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Indenture;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20" w:firstLine="1953"/>
        <w:spacing w:after="0" w:line="264" w:lineRule="auto"/>
        <w:tabs>
          <w:tab w:leader="none" w:pos="2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ind w:right="760" w:firstLine="1953"/>
        <w:spacing w:after="0" w:line="277" w:lineRule="auto"/>
        <w:tabs>
          <w:tab w:leader="none" w:pos="261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or to release guarantors of Securities in accordance with the terms of the applicable Series of Securities.</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7.2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Subject to Section 9.3, the Company and the Trustee may enter into a supplemental indenture with the written consent of the Holders of at least a majority in aggregate principal amount of the outstanding Securities of each Series affected by such supplemental indenture (including consents</w:t>
      </w:r>
    </w:p>
    <w:p>
      <w:pPr>
        <w:sectPr>
          <w:pgSz w:w="11900" w:h="16948" w:orient="portrait"/>
          <w:cols w:equalWidth="0" w:num="1">
            <w:col w:w="11400"/>
          </w:cols>
          <w:pgMar w:left="240" w:top="125" w:right="259" w:bottom="0" w:gutter="0" w:footer="0" w:header="0"/>
        </w:sectPr>
      </w:pPr>
    </w:p>
    <w:bookmarkStart w:id="58" w:name="page59"/>
    <w:bookmarkEnd w:id="58"/>
    <w:p>
      <w:pPr>
        <w:spacing w:after="0" w:line="1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9.3, the Holders of at least a majority in aggregate principal amount of the outstanding Securities of each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3"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It shall not be necessary for the consent of the Holders of Securities under this Section 9.2 to approve the particular form of any proposed supplemental indenture or waiver, but it shall be sufficient if such consent approves the substance thereof. Upon the request of the Company accompanied by a resolution of its Board of Directors authorizing the execution of any such amended or supplemental indenture, and upon the filing with the Trustee of evidence satisfactory to the Trustee of the consent of the Holders of Securities as aforesaid, and upon receipt by the Trustee of the documents described in Section 9.7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7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a supplemental indenture or waiver under this section becomes effective, the Company shall mail to the Holders of Securities affected thereby a notice briefly describing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supplemental indenture or waiver. Any failure by the Company to mail such notice, or any defect therein, shall not, however, in any way impair or affect the validity of any such supplemental indenture or waiver.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Without the consent of each Securityholder affected, an amendment or waiver may not (with respect to any Securities held by a non-consenting Holder):</w:t>
      </w:r>
    </w:p>
    <w:p>
      <w:pPr>
        <w:spacing w:after="0" w:line="170" w:lineRule="exact"/>
        <w:rPr>
          <w:sz w:val="20"/>
          <w:szCs w:val="20"/>
          <w:color w:val="auto"/>
        </w:rPr>
      </w:pPr>
    </w:p>
    <w:p>
      <w:pPr>
        <w:ind w:left="2600" w:hanging="647"/>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firstLine="1953"/>
        <w:spacing w:after="0" w:line="277" w:lineRule="auto"/>
        <w:tabs>
          <w:tab w:leader="none" w:pos="26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right="560" w:firstLine="1953"/>
        <w:spacing w:after="0" w:line="264" w:lineRule="auto"/>
        <w:tabs>
          <w:tab w:leader="none" w:pos="26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make the principal of or interest, if any, on any Security payable in any currency other than that stated in the Security;</w:t>
      </w:r>
    </w:p>
    <w:p>
      <w:pPr>
        <w:spacing w:after="0" w:line="248" w:lineRule="exact"/>
        <w:rPr>
          <w:rFonts w:ascii="Arial" w:cs="Arial" w:eastAsia="Arial" w:hAnsi="Arial"/>
          <w:sz w:val="16"/>
          <w:szCs w:val="16"/>
          <w:color w:val="auto"/>
        </w:rPr>
      </w:pPr>
    </w:p>
    <w:p>
      <w:pPr>
        <w:ind w:left="2620" w:hanging="667"/>
        <w:spacing w:after="0"/>
        <w:tabs>
          <w:tab w:leader="none" w:pos="2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in Sections 6.4 or 9.3 (this sentence); or</w:t>
      </w:r>
    </w:p>
    <w:p>
      <w:pPr>
        <w:spacing w:after="0" w:line="225" w:lineRule="exact"/>
        <w:rPr>
          <w:rFonts w:ascii="Arial" w:cs="Arial" w:eastAsia="Arial" w:hAnsi="Arial"/>
          <w:sz w:val="18"/>
          <w:szCs w:val="18"/>
          <w:color w:val="auto"/>
        </w:rPr>
      </w:pPr>
    </w:p>
    <w:p>
      <w:pPr>
        <w:ind w:right="80" w:firstLine="1953"/>
        <w:spacing w:after="0" w:line="264" w:lineRule="auto"/>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or change any of the provisions with respect to the redemption of any Securities, except as specifically set forth in the Board Resolution, supplemental indenture hereto or Officers’ Certificate delivered pursuant to Section 2.2.</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Compliance with Trust Indenture Act.</w:t>
      </w:r>
    </w:p>
    <w:p>
      <w:pPr>
        <w:spacing w:after="0" w:line="225"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Holder may revoke the consent as to his Security or portion of a Security if the Trustee receives the notice of revocation before the date the amendment or waiver becomes effective.</w:t>
      </w:r>
    </w:p>
    <w:p>
      <w:pPr>
        <w:spacing w:after="0" w:line="170"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p>
    <w:p>
      <w:pPr>
        <w:spacing w:after="0" w:line="225"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w:t>
      </w:r>
    </w:p>
    <w:p>
      <w:pPr>
        <w:sectPr>
          <w:pgSz w:w="11900" w:h="16975" w:orient="portrait"/>
          <w:cols w:equalWidth="0" w:num="1">
            <w:col w:w="11380"/>
          </w:cols>
          <w:pgMar w:left="240" w:top="125" w:right="279" w:bottom="0" w:gutter="0" w:footer="0" w:header="0"/>
        </w:sectPr>
      </w:pPr>
    </w:p>
    <w:bookmarkStart w:id="59" w:name="page60"/>
    <w:bookmarkEnd w:id="59"/>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amendment or waiver.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each stating that the execution of such supplemental indenture is authorized or permitted by this Indenture. The Trustee shall sign all supplemental indentures, except that the Trustee need not sign any supplemental indenture that adversely affects its rights, duties, liabilities, indemnities or immunities.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Satisfaction and Discharge.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Indenture will be discharged and will cease to be of further effect as to a Series of Securities issued hereunder, when:</w:t>
      </w:r>
    </w:p>
    <w:p>
      <w:pPr>
        <w:spacing w:after="0" w:line="225" w:lineRule="exact"/>
        <w:rPr>
          <w:sz w:val="20"/>
          <w:szCs w:val="20"/>
          <w:color w:val="auto"/>
        </w:rPr>
      </w:pPr>
    </w:p>
    <w:p>
      <w:pPr>
        <w:ind w:left="2600" w:hanging="647"/>
        <w:spacing w:after="0"/>
        <w:tabs>
          <w:tab w:leader="none" w:pos="2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20" w:firstLine="2601"/>
        <w:spacing w:after="0" w:line="264" w:lineRule="auto"/>
        <w:tabs>
          <w:tab w:leader="none" w:pos="32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such Securities that have been authenticated, except lost, stolen or destroyed Securities that have been replaced or paid and Securities for whose payment money has theretofore been deposited in trust and thereafter repaid to the Company, have been delivered to the Trustee for cancellation; or</w:t>
      </w:r>
    </w:p>
    <w:p>
      <w:pPr>
        <w:spacing w:after="0" w:line="181" w:lineRule="exact"/>
        <w:rPr>
          <w:rFonts w:ascii="Arial" w:cs="Arial" w:eastAsia="Arial" w:hAnsi="Arial"/>
          <w:sz w:val="18"/>
          <w:szCs w:val="18"/>
          <w:color w:val="auto"/>
        </w:rPr>
      </w:pPr>
    </w:p>
    <w:p>
      <w:pPr>
        <w:jc w:val="both"/>
        <w:ind w:right="100" w:firstLine="2601"/>
        <w:spacing w:after="0" w:line="279" w:lineRule="auto"/>
        <w:tabs>
          <w:tab w:leader="none" w:pos="3272"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such Securities that have not been delivered to the Trustee for cancellation have become due and payable by reason of the distribution of a notice of redemption or otherwise or will become due and payable within one year and the Company has irrevocably deposited or caused to be deposited with the Trustee as trust funds in trust solely for the benefit of the Holders of such Securities, cash in U.S. dollars, non-callable Government Securities, or a combination thereof, in such amounts as will be sufficient, without consideration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any reinvestment of interest, to pay and discharge the entire Indebtedness on such Securities not delivered to the Trustee for cancellation for principal, premium, if any, and accrued interest to the date of maturity or redemption;</w:t>
      </w:r>
    </w:p>
    <w:p>
      <w:pPr>
        <w:spacing w:after="0" w:line="170" w:lineRule="exact"/>
        <w:rPr>
          <w:sz w:val="20"/>
          <w:szCs w:val="20"/>
          <w:color w:val="auto"/>
        </w:rPr>
      </w:pPr>
    </w:p>
    <w:p>
      <w:pPr>
        <w:ind w:firstLine="1953"/>
        <w:spacing w:after="0" w:line="259" w:lineRule="auto"/>
        <w:tabs>
          <w:tab w:leader="none" w:pos="2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as applicable, of such Securities is a party or by which the Company or any such guarantor, as applicable, is bound;</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or any guarantor of such Securities has paid or caused to be paid all sums payable by it under this Indenture;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300" w:firstLine="1953"/>
        <w:spacing w:after="0" w:line="277" w:lineRule="auto"/>
        <w:tabs>
          <w:tab w:leader="none" w:pos="2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for such Securities under this Indenture to apply the deposited money toward the payment of such Securities at maturity or on the redemption date, as the case may be.</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for such Securities stating that all conditions precedent to satisfaction and discharge have been satisfied.</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subclause (b) of this Section 10.1, the provisions of Sections 10.2 and 8.6 hereof will survive. In addition, nothing in this Section 10.1 will be deemed to discharge those provisions of Section 7.7 hereof, that, by their terms, survive the satisfaction and discharge of this Indenture.</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Application of Trust Money.</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Subject to the provisions of Section 8.6 hereof, all money deposited with a Trustee pursuant to Section 10.1 hereof shall be held in trust and applied by it, in accordance with the provisions of the Securities with respect to which such deposit was made and this Indenture, to the payment, either directly or through any Paying Agent (including the Company acting as its own Paying Agent) as such Trustee may determine, to the persons entitled thereto, of the principal (and premium, if any) and interest for whose payment such money has been deposited with such Trustee; but such money need not be segregated from other funds except to the extent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Trust Indenture Act Controls.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Indenture is hereby made subject to, and shall be governed by, the provisions of the TIA required or deemed to be part of and to govern indentures qualified under the TIA. If any provision of this Indenture limits, qualifies, or conflicts with another provision which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or deemed to be included in this Indenture by the TIA, such required or deemed provision shall control.</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Notices.</w:t>
      </w:r>
    </w:p>
    <w:p>
      <w:pPr>
        <w:sectPr>
          <w:pgSz w:w="11900" w:h="16874" w:orient="portrait"/>
          <w:cols w:equalWidth="0" w:num="1">
            <w:col w:w="11420"/>
          </w:cols>
          <w:pgMar w:left="240" w:top="125" w:right="239" w:bottom="0" w:gutter="0" w:footer="0" w:header="0"/>
        </w:sectPr>
      </w:pPr>
    </w:p>
    <w:bookmarkStart w:id="60" w:name="page61"/>
    <w:bookmarkEnd w:id="60"/>
    <w:p>
      <w:pPr>
        <w:spacing w:after="0" w:line="6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 Carnegie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(609) 524-4500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(609) 524-4589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251 Little Falls Drive, Wilmington, DE 19808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1-877-374-6010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Securityholder receives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Company mails a notice or communication to Securityholders, it shall mail a copy to the Trustee and each Agent at the same time.</w:t>
      </w:r>
    </w:p>
    <w:p>
      <w:pPr>
        <w:spacing w:after="0" w:line="24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40" w:firstLine="1953"/>
        <w:spacing w:after="0" w:line="277" w:lineRule="auto"/>
        <w:tabs>
          <w:tab w:leader="none" w:pos="25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Opinion of Counsel stating that, in the opinion of such counsel, all such conditions precedent have been complied with.</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11.5</w:t>
      </w:r>
      <w:r>
        <w:rPr>
          <w:rFonts w:ascii="Arial" w:cs="Arial" w:eastAsia="Arial" w:hAnsi="Arial"/>
          <w:sz w:val="16"/>
          <w:szCs w:val="16"/>
          <w:u w:val="single" w:color="auto"/>
          <w:color w:val="auto"/>
        </w:rPr>
        <w:t>Statements Required in Certificate or Opinion.</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2600" w:hanging="647"/>
        <w:spacing w:after="0"/>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320" w:firstLine="1953"/>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40" w:firstLine="1953"/>
        <w:spacing w:after="0" w:line="277" w:lineRule="auto"/>
        <w:tabs>
          <w:tab w:leader="none" w:pos="26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condition or covenant has been complied with.</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11.6</w:t>
      </w:r>
      <w:r>
        <w:rPr>
          <w:rFonts w:ascii="Arial" w:cs="Arial" w:eastAsia="Arial" w:hAnsi="Arial"/>
          <w:sz w:val="16"/>
          <w:szCs w:val="16"/>
          <w:u w:val="single" w:color="auto"/>
          <w:color w:val="auto"/>
        </w:rPr>
        <w:t>Rules by Trustee and Agents.</w:t>
      </w:r>
    </w:p>
    <w:p>
      <w:pPr>
        <w:spacing w:after="0" w:line="225"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Legal Holidays.</w:t>
      </w:r>
    </w:p>
    <w:p>
      <w:pPr>
        <w:spacing w:after="0" w:line="225"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w:t>
      </w:r>
    </w:p>
    <w:p>
      <w:pPr>
        <w:sectPr>
          <w:pgSz w:w="11900" w:h="16908" w:orient="portrait"/>
          <w:cols w:equalWidth="0" w:num="1">
            <w:col w:w="11420"/>
          </w:cols>
          <w:pgMar w:left="240" w:top="341" w:right="239" w:bottom="0" w:gutter="0" w:footer="0" w:header="0"/>
        </w:sectPr>
      </w:pPr>
    </w:p>
    <w:bookmarkStart w:id="61" w:name="page62"/>
    <w:bookmarkEnd w:id="61"/>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succeeding day that is not a Legal Holiday, and no interest shall accrue for the intervening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No Recourse Against Others.</w:t>
      </w:r>
    </w:p>
    <w:p>
      <w:pPr>
        <w:spacing w:after="0" w:line="225"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Counterparts.</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u w:val="single" w:color="auto"/>
          <w:color w:val="auto"/>
        </w:rPr>
        <w:t>Governing Laws.</w:t>
      </w:r>
    </w:p>
    <w:p>
      <w:pPr>
        <w:spacing w:after="0" w:line="22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THE INTERNAL LAW OF THE STATE OF NEW YORK WILL GOVERN AND BE USED TO CONSTRUE THIS INDENTURE, THE SECURITIES AND ANY GUARANTEES OF THE SECURITIES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SINKING FUNDS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225"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w:t>
      </w:r>
    </w:p>
    <w:p>
      <w:pPr>
        <w:sectPr>
          <w:pgSz w:w="11900" w:h="16930" w:orient="portrait"/>
          <w:cols w:equalWidth="0" w:num="1">
            <w:col w:w="11400"/>
          </w:cols>
          <w:pgMar w:left="240" w:top="125" w:right="259" w:bottom="0" w:gutter="0" w:footer="0" w:header="0"/>
        </w:sectPr>
      </w:pPr>
    </w:p>
    <w:bookmarkStart w:id="62" w:name="page63"/>
    <w:bookmarkEnd w:id="62"/>
    <w:p>
      <w:pPr>
        <w:ind w:right="420"/>
        <w:spacing w:after="0" w:line="286" w:lineRule="auto"/>
        <w:rPr>
          <w:sz w:val="20"/>
          <w:szCs w:val="20"/>
          <w:color w:val="auto"/>
        </w:rPr>
      </w:pPr>
      <w:r>
        <w:rPr>
          <w:rFonts w:ascii="Arial" w:cs="Arial" w:eastAsia="Arial" w:hAnsi="Arial"/>
          <w:sz w:val="17"/>
          <w:szCs w:val="17"/>
          <w:color w:val="auto"/>
        </w:rPr>
        <w:t>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optional amount, if any, to be added in cash to the next ensuing mandatory sinking fund payment, and the Company shall thereupon be obligated to pay the amount therein specified.</w:t>
      </w:r>
    </w:p>
    <w:p>
      <w:pPr>
        <w:spacing w:after="0" w:line="193"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6"/>
          <w:szCs w:val="16"/>
          <w:u w:val="single" w:color="auto"/>
          <w:color w:val="auto"/>
        </w:rPr>
        <w:t>Compliance with Applicable Anti-Terrorism and Anti-Money Laundering Regulations.</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(“Relevant Law”),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Indenture to be duly executed and attested, all as of the day and year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line="5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95120"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15951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1577975" cy="643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5779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NRG Yield,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acted as counsel to NRG Yield,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Company’s Registration Statement on Form S-3, dated the date hereof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issuance and/or sale by the Company from time to time of (i) shares of Class A Common Stock, par value $0.01 per share, of the Company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(ii) shares of Class C Common Stock, par value $0.01 per share, of the Company (the “</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and, together with the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(iii) one or more series of senior or subordinated debt securities of the Company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 (iv) one or more series of preferred stock, par value $0.01 per share, of the Company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The Common Stock, the Debt Securities, and the Preferred Stock are collectively referred to in this opinion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has informed us that the Securities will be sold or delivered on a delayed or continuous basis from time to time as set forth in the Registration Statement (and any amendments thereto), the prospectus contained therein and any prospectus supplement. We understand that prior to the sale of any Securities under the Registration Statement, the Company will afford us an opportunity to review the operative documents pursuant to which such Securities are to be sold and will file any applicable amendment to the Registration Statement or Current Report on Form 8-K (which may include as an exhibit an amendment to this opinion) or prospectus supplement as we may reasonably consider necessary or appropriate by reason of the terms of the sale of such Securities.</w:t>
      </w:r>
    </w:p>
    <w:p>
      <w:pPr>
        <w:spacing w:after="0" w:line="19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so acting, we have examined originals or copies (certified or otherwise identified to our satisfaction) of (i) the Restated Certificate of Incorporation of the Company; (ii) the Third Amended and Restated Bylaws of the Company; (iii) the Registration Statement and the exhibits thereto; (iv) the prospectus contained within the Registration Statement; (v) such corporate records, agreements, documents and other instruments; and (vi) such certificates or comparable documents of public officials and other sources believed by us to be reliable, and of officers and representatives of the Company, and have made such inquiries of such officers and representatives, as we have deemed relevant and necessary as a basis for the opinions hereinafter set forth.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20"/>
                <w:szCs w:val="20"/>
                <w:color w:val="auto"/>
              </w:rPr>
            </w:pPr>
            <w:r>
              <w:rPr>
                <w:rFonts w:ascii="Arial" w:cs="Arial" w:eastAsia="Arial" w:hAnsi="Arial"/>
                <w:sz w:val="13"/>
                <w:szCs w:val="13"/>
                <w:color w:val="auto"/>
              </w:rPr>
              <w:t>Atlanta  |</w:t>
            </w: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Baltimore  |  Bethesda</w:t>
            </w:r>
          </w:p>
        </w:tc>
        <w:tc>
          <w:tcPr>
            <w:tcW w:w="700" w:type="dxa"/>
            <w:vAlign w:val="bottom"/>
          </w:tcPr>
          <w:p>
            <w:pPr>
              <w:ind w:left="80"/>
              <w:spacing w:after="0"/>
              <w:rPr>
                <w:sz w:val="20"/>
                <w:szCs w:val="20"/>
                <w:color w:val="auto"/>
              </w:rPr>
            </w:pPr>
            <w:r>
              <w:rPr>
                <w:rFonts w:ascii="Arial" w:cs="Arial" w:eastAsia="Arial" w:hAnsi="Arial"/>
                <w:sz w:val="13"/>
                <w:szCs w:val="13"/>
                <w:color w:val="auto"/>
                <w:w w:val="94"/>
              </w:rPr>
              <w:t>|  Denver  |</w:t>
            </w:r>
          </w:p>
        </w:tc>
        <w:tc>
          <w:tcPr>
            <w:tcW w:w="8980" w:type="dxa"/>
            <w:vAlign w:val="bottom"/>
          </w:tcPr>
          <w:p>
            <w:pPr>
              <w:ind w:left="100"/>
              <w:spacing w:after="0"/>
              <w:rPr>
                <w:sz w:val="20"/>
                <w:szCs w:val="20"/>
                <w:color w:val="auto"/>
              </w:rPr>
            </w:pPr>
            <w:r>
              <w:rPr>
                <w:rFonts w:ascii="Arial" w:cs="Arial" w:eastAsia="Arial" w:hAnsi="Arial"/>
                <w:sz w:val="13"/>
                <w:szCs w:val="13"/>
                <w:color w:val="auto"/>
              </w:rPr>
              <w:t>Las Vegas  |  Los Angeles  |  New Jersey  |  New York  |  Philadelphia  |  Phoenix  |  Salt Lake City  |</w:t>
            </w:r>
          </w:p>
        </w:tc>
      </w:tr>
      <w:tr>
        <w:trPr>
          <w:trHeight w:val="160"/>
        </w:trPr>
        <w:tc>
          <w:tcPr>
            <w:tcW w:w="560" w:type="dxa"/>
            <w:vAlign w:val="bottom"/>
          </w:tcPr>
          <w:p>
            <w:pPr>
              <w:spacing w:after="0"/>
              <w:rPr>
                <w:sz w:val="20"/>
                <w:szCs w:val="20"/>
                <w:color w:val="auto"/>
              </w:rPr>
            </w:pPr>
            <w:r>
              <w:rPr>
                <w:rFonts w:ascii="Arial" w:cs="Arial" w:eastAsia="Arial" w:hAnsi="Arial"/>
                <w:sz w:val="13"/>
                <w:szCs w:val="13"/>
                <w:color w:val="auto"/>
                <w:w w:val="88"/>
              </w:rPr>
              <w:t>San Diego</w:t>
            </w:r>
          </w:p>
        </w:tc>
        <w:tc>
          <w:tcPr>
            <w:tcW w:w="1220" w:type="dxa"/>
            <w:vAlign w:val="bottom"/>
          </w:tcPr>
          <w:p>
            <w:pPr>
              <w:jc w:val="center"/>
              <w:spacing w:after="0"/>
              <w:rPr>
                <w:sz w:val="20"/>
                <w:szCs w:val="20"/>
                <w:color w:val="auto"/>
              </w:rPr>
            </w:pPr>
            <w:r>
              <w:rPr>
                <w:rFonts w:ascii="Arial" w:cs="Arial" w:eastAsia="Arial" w:hAnsi="Arial"/>
                <w:sz w:val="13"/>
                <w:szCs w:val="13"/>
                <w:color w:val="auto"/>
                <w:w w:val="91"/>
              </w:rPr>
              <w:t>|  Washington, DC  |</w:t>
            </w:r>
          </w:p>
        </w:tc>
        <w:tc>
          <w:tcPr>
            <w:tcW w:w="700" w:type="dxa"/>
            <w:vAlign w:val="bottom"/>
          </w:tcPr>
          <w:p>
            <w:pPr>
              <w:ind w:left="20"/>
              <w:spacing w:after="0"/>
              <w:rPr>
                <w:sz w:val="20"/>
                <w:szCs w:val="20"/>
                <w:color w:val="auto"/>
              </w:rPr>
            </w:pPr>
            <w:r>
              <w:rPr>
                <w:rFonts w:ascii="Arial" w:cs="Arial" w:eastAsia="Arial" w:hAnsi="Arial"/>
                <w:sz w:val="13"/>
                <w:szCs w:val="13"/>
                <w:color w:val="auto"/>
              </w:rPr>
              <w:t>Wilmington</w:t>
            </w:r>
          </w:p>
        </w:tc>
        <w:tc>
          <w:tcPr>
            <w:tcW w:w="8980" w:type="dxa"/>
            <w:vAlign w:val="bottom"/>
          </w:tcPr>
          <w:p>
            <w:pPr>
              <w:ind w:left="20"/>
              <w:spacing w:after="0"/>
              <w:rPr>
                <w:sz w:val="20"/>
                <w:szCs w:val="20"/>
                <w:color w:val="auto"/>
              </w:rPr>
            </w:pPr>
            <w:r>
              <w:rPr>
                <w:rFonts w:ascii="Arial" w:cs="Arial" w:eastAsia="Arial" w:hAnsi="Arial"/>
                <w:sz w:val="13"/>
                <w:szCs w:val="13"/>
                <w:color w:val="auto"/>
              </w:rPr>
              <w:t>|  www.ballardspahr.com</w:t>
            </w:r>
          </w:p>
        </w:tc>
      </w:tr>
      <w:tr>
        <w:trPr>
          <w:trHeight w:val="337"/>
        </w:trPr>
        <w:tc>
          <w:tcPr>
            <w:tcW w:w="5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have also assumed that (i) the Registration Statement and any amendments or supplements thereto (including any post-effective amendments) will have become effective and comply with all applicable laws and no stop order suspending the Registration Statement’s effectiveness will have been issued and remain in effect, in each case, at the time the Securities are offered or issued as contemplated by the Registration Statement, (ii) a prospectus supplement will have been prepared and filed with the Commission describing the Securities offered thereby and will at all relevant times comply with all applicable laws,</w:t>
      </w:r>
    </w:p>
    <w:p>
      <w:pPr>
        <w:spacing w:after="0" w:line="2" w:lineRule="exact"/>
        <w:rPr>
          <w:sz w:val="20"/>
          <w:szCs w:val="20"/>
          <w:color w:val="auto"/>
        </w:rPr>
      </w:pPr>
    </w:p>
    <w:p>
      <w:pPr>
        <w:ind w:right="180" w:firstLine="8"/>
        <w:spacing w:after="0" w:line="270" w:lineRule="auto"/>
        <w:tabs>
          <w:tab w:leader="none" w:pos="31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has timely filed all necessary reports pursuant to the Securities Exchange Act of 1934, as amended, which are incorporated into the Registration Statement by reference, (iv) all Securities will be issued and sold in compliance with applicable federal and state securities laws and in the manner stated in the Registration Statement and the appropriate prospectus supplement, (v) a definitive purchase, underwriting or similar agreement and any other necessary agreement with respect to any Securities will have been duly authorized and validly executed and delivered by the Company and the other party or parties thereto and (vi) any Securities issuable upon conversion, exercise or exchange of any Securities being offered or issued will be duly authorized, created and, if appropriate, reserved for issuance upon such conversion, exercise or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qualifications stated herein, we are of the opinion that:</w:t>
      </w:r>
    </w:p>
    <w:p>
      <w:pPr>
        <w:spacing w:after="0" w:line="225" w:lineRule="exact"/>
        <w:rPr>
          <w:sz w:val="20"/>
          <w:szCs w:val="20"/>
          <w:color w:val="auto"/>
        </w:rPr>
      </w:pPr>
    </w:p>
    <w:p>
      <w:pPr>
        <w:ind w:right="320" w:firstLine="656"/>
        <w:spacing w:after="0" w:line="293" w:lineRule="auto"/>
        <w:tabs>
          <w:tab w:leader="none" w:pos="129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Assuming that the issuance and terms of any Common Stock and the terms of the offering thereof have been duly authorized, when (i) the Company has received the consideration therefor specified in any applicable underwriting agreement or purchase agreement approved by the Company’s board of directors or any authorized committee thereof, (ii) the consideration for such Common Stock is at least equal to the aggregate par value of such Common Stock, and (iii) in the case of any Common Stock to be issued upon the exchange or conversion of Debt Securities, Preferred Stock, and other rights that are exchangeable for or convertible into Common Stock, there has been due exercise of such exchange or conversion rights in accordance with the terms of the applicable instruments, such Common Stock will be validly issued, fully paid and non-assessable.</w:t>
      </w:r>
    </w:p>
    <w:p>
      <w:pPr>
        <w:spacing w:after="0" w:line="164" w:lineRule="exact"/>
        <w:rPr>
          <w:rFonts w:ascii="Arial" w:cs="Arial" w:eastAsia="Arial" w:hAnsi="Arial"/>
          <w:sz w:val="16"/>
          <w:szCs w:val="16"/>
          <w:color w:val="auto"/>
        </w:rPr>
      </w:pPr>
    </w:p>
    <w:p>
      <w:pPr>
        <w:ind w:right="320" w:firstLine="656"/>
        <w:spacing w:after="0" w:line="342" w:lineRule="auto"/>
        <w:tabs>
          <w:tab w:leader="none" w:pos="129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Debt Securities</w:t>
      </w:r>
      <w:r>
        <w:rPr>
          <w:rFonts w:ascii="Arial" w:cs="Arial" w:eastAsia="Arial" w:hAnsi="Arial"/>
          <w:sz w:val="16"/>
          <w:szCs w:val="16"/>
          <w:color w:val="auto"/>
        </w:rPr>
        <w:t>. Assuming that the issuance and terms of any Debt Securities and the terms of the offering thereof have been duly authorized, when (i) an indenture filed as an exhibit to the Registration Statement (an “</w:t>
      </w:r>
      <w:r>
        <w:rPr>
          <w:rFonts w:ascii="Arial" w:cs="Arial" w:eastAsia="Arial" w:hAnsi="Arial"/>
          <w:sz w:val="16"/>
          <w:szCs w:val="16"/>
          <w:u w:val="single" w:color="auto"/>
          <w:color w:val="auto"/>
        </w:rPr>
        <w:t>Indenture</w:t>
      </w:r>
      <w:r>
        <w:rPr>
          <w:rFonts w:ascii="Arial" w:cs="Arial" w:eastAsia="Arial" w:hAnsi="Arial"/>
          <w:sz w:val="16"/>
          <w:szCs w:val="16"/>
          <w:color w:val="auto"/>
        </w:rPr>
        <w:t>”) has been duly executed, authorized and delivered by all</w:t>
      </w:r>
    </w:p>
    <w:p>
      <w:pPr>
        <w:sectPr>
          <w:pgSz w:w="11900" w:h="16894" w:orient="portrait"/>
          <w:cols w:equalWidth="0" w:num="1">
            <w:col w:w="11460"/>
          </w:cols>
          <w:pgMar w:left="240" w:top="364" w:right="199" w:bottom="0" w:gutter="0" w:footer="0" w:header="0"/>
        </w:sectPr>
      </w:pPr>
    </w:p>
    <w:bookmarkStart w:id="64" w:name="page65"/>
    <w:bookmarkEnd w:id="64"/>
    <w:p>
      <w:pPr>
        <w:ind w:right="780"/>
        <w:spacing w:after="0" w:line="264" w:lineRule="auto"/>
        <w:rPr>
          <w:sz w:val="20"/>
          <w:szCs w:val="20"/>
          <w:color w:val="auto"/>
        </w:rPr>
      </w:pPr>
      <w:r>
        <w:rPr>
          <w:rFonts w:ascii="Arial" w:cs="Arial" w:eastAsia="Arial" w:hAnsi="Arial"/>
          <w:sz w:val="18"/>
          <w:szCs w:val="18"/>
          <w:color w:val="auto"/>
        </w:rPr>
        <w:t>parties thereto substantially in the form so filed, and any applicable supplemental indenture relating to such Debt Securities has been duly executed, authorized and delivered by all parties thereto, (ii) the terms of the Debt Securities to be issued under the applicable Indenture and any applicable supplemental indenture and of their issuance and sale have been duly established in conformity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such Indenture and any applicable supplemental indenture so as not to violate any applicable law, affect the enforceability of such Debt Securities or result in a default under or breach of any agreement or instrument binding on the Company, and so as to comply with any requirement or restriction imposed by any court or governmental body having jurisdiction over the Company, and (iii) the Debt Securities have been duly executed and authenticated in accordance with such applicable Indenture and any applicable supplemental indenture and issued and sold as contemplated in the Registration Statement and any prospectus supplement relating thereto, and in accordance with any underwriting agreement, purchase agreement or similar arrangement approved by the Company’s board of directors or any authorized committee thereof, as applicable, such Debt Securities will constitute valid and binding obligations of the Company, enforceable against the Company, in accordance with their terms.</w:t>
      </w:r>
    </w:p>
    <w:p>
      <w:pPr>
        <w:spacing w:after="0" w:line="178" w:lineRule="exact"/>
        <w:rPr>
          <w:sz w:val="20"/>
          <w:szCs w:val="20"/>
          <w:color w:val="auto"/>
        </w:rPr>
      </w:pPr>
    </w:p>
    <w:p>
      <w:pPr>
        <w:jc w:val="both"/>
        <w:ind w:right="20" w:firstLine="656"/>
        <w:spacing w:after="0" w:line="297" w:lineRule="auto"/>
        <w:tabs>
          <w:tab w:leader="none" w:pos="129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Assuming that the issuance and terms of any series of Preferred Stock and the terms of the offering thereof have been duly authorized, when (i) a Certificate of Designation fixing and determining the terms of the Preferred Stock has been duly filed with the Secretary of State of the State of Delaware and accepted for recording, (ii) the Company has received the consideration therefor specified in any applicable underwriting agreement or purchase agreement approved by the Company’s board of directors or any authorized committee thereof, and (iii) the consideration for such Preferred Stock is at least equal to the aggregate par value of such Preferred Stock, such Preferred Stock will be validly issued, fully paid and non-assessable.</w:t>
      </w:r>
    </w:p>
    <w:p>
      <w:pPr>
        <w:spacing w:after="0" w:line="158"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opinions expressed above with respect to validity, binding effect and enforceability are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federal or state securities laws or public policy relating thereto.</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express no opinion as to the laws of any jurisdiction other than the federal laws of the United States of America and the laws of the State of Delaware and the State of New York.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use of this letter as an exhibit to the Registration Statement and to any and all references to our firm in the prospectus which is a part of the Registration Statement. In giving this consent, we do not admit that we are within the category of persons whose consent is required by Section 7 of the Securities Act and the rules and regulations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Ballard Spahr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left="1030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NRG YIELD,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8"/>
            <w:vMerge w:val="restart"/>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7"/>
          </w:tcPr>
          <w:p>
            <w:pPr>
              <w:jc w:val="right"/>
              <w:ind w:right="580"/>
              <w:spacing w:after="0" w:line="142" w:lineRule="exact"/>
              <w:rPr>
                <w:sz w:val="20"/>
                <w:szCs w:val="20"/>
                <w:color w:val="auto"/>
              </w:rPr>
            </w:pPr>
            <w:r>
              <w:rPr>
                <w:rFonts w:ascii="Arial" w:cs="Arial" w:eastAsia="Arial" w:hAnsi="Arial"/>
                <w:sz w:val="14"/>
                <w:szCs w:val="14"/>
                <w:b w:val="1"/>
                <w:bCs w:val="1"/>
                <w:color w:val="auto"/>
                <w:w w:val="95"/>
              </w:rPr>
              <w:t>(in millions, except ratio)</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w w:val="99"/>
              </w:rPr>
              <w:t>(Loss) Income from continuing operations before income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Distributions from unconsolidated affiliates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Fixed Charges: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Amortization of debt discounts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Approximation of interest in rental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Ratio of Earnings to Combined 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NRG Yield, Inc.:</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consent to the use of our reports with respect to the consolidated financial statements and the effectiveness of internal control over financial reporting incorporated by reference herein and to the reference to our firm under the heading “Experts” in the prospectus.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 CHECK IF AN APPLICATION TO DETERMINE ELIGIBILITY OF A TRUSTEE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305(b) (2)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Delaware Trust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67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51-0011500</w:t>
            </w:r>
          </w:p>
        </w:tc>
      </w:tr>
      <w:tr>
        <w:trPr>
          <w:trHeight w:val="216"/>
        </w:trPr>
        <w:tc>
          <w:tcPr>
            <w:tcW w:w="6780" w:type="dxa"/>
            <w:vAlign w:val="bottom"/>
          </w:tcPr>
          <w:p>
            <w:pPr>
              <w:jc w:val="center"/>
              <w:ind w:right="3290"/>
              <w:spacing w:after="0"/>
              <w:rPr>
                <w:sz w:val="20"/>
                <w:szCs w:val="20"/>
                <w:color w:val="auto"/>
              </w:rPr>
            </w:pPr>
            <w:r>
              <w:rPr>
                <w:rFonts w:ascii="Arial" w:cs="Arial" w:eastAsia="Arial" w:hAnsi="Arial"/>
                <w:sz w:val="18"/>
                <w:szCs w:val="18"/>
                <w:color w:val="auto"/>
                <w:w w:val="93"/>
              </w:rPr>
              <w:t>(Jurisdiction of incorporation or organization if</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6780" w:type="dxa"/>
            <w:vAlign w:val="bottom"/>
          </w:tcPr>
          <w:p>
            <w:pPr>
              <w:jc w:val="center"/>
              <w:ind w:right="3290"/>
              <w:spacing w:after="0"/>
              <w:rPr>
                <w:sz w:val="20"/>
                <w:szCs w:val="20"/>
                <w:color w:val="auto"/>
              </w:rPr>
            </w:pPr>
            <w:r>
              <w:rPr>
                <w:rFonts w:ascii="Arial" w:cs="Arial" w:eastAsia="Arial" w:hAnsi="Arial"/>
                <w:sz w:val="18"/>
                <w:szCs w:val="18"/>
                <w:color w:val="auto"/>
                <w:w w:val="90"/>
              </w:rPr>
              <w:t>not a U.S. national bank)</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3"/>
              </w:rPr>
              <w:t>251 Little Falls Drive</w:t>
            </w:r>
          </w:p>
        </w:tc>
        <w:tc>
          <w:tcPr>
            <w:tcW w:w="1400" w:type="dxa"/>
            <w:vAlign w:val="bottom"/>
          </w:tcPr>
          <w:p>
            <w:pPr>
              <w:spacing w:after="0"/>
              <w:rPr>
                <w:sz w:val="24"/>
                <w:szCs w:val="24"/>
                <w:color w:val="auto"/>
              </w:rPr>
            </w:pPr>
          </w:p>
        </w:tc>
      </w:tr>
      <w:tr>
        <w:trPr>
          <w:trHeight w:val="220"/>
        </w:trPr>
        <w:tc>
          <w:tcPr>
            <w:tcW w:w="67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3"/>
              </w:rPr>
              <w:t>Wilmington, Delaware</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19808</w:t>
            </w:r>
          </w:p>
        </w:tc>
      </w:tr>
      <w:tr>
        <w:trPr>
          <w:trHeight w:val="230"/>
        </w:trPr>
        <w:tc>
          <w:tcPr>
            <w:tcW w:w="6780" w:type="dxa"/>
            <w:vAlign w:val="bottom"/>
          </w:tcPr>
          <w:p>
            <w:pPr>
              <w:jc w:val="center"/>
              <w:ind w:right="3310"/>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(Zip code)</w:t>
            </w:r>
          </w:p>
        </w:tc>
      </w:tr>
      <w:tr>
        <w:trPr>
          <w:trHeight w:val="630"/>
        </w:trPr>
        <w:tc>
          <w:tcPr>
            <w:tcW w:w="67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Corporation Service Company</w:t>
            </w:r>
          </w:p>
        </w:tc>
        <w:tc>
          <w:tcPr>
            <w:tcW w:w="1400" w:type="dxa"/>
            <w:vAlign w:val="bottom"/>
          </w:tcPr>
          <w:p>
            <w:pPr>
              <w:spacing w:after="0"/>
              <w:rPr>
                <w:sz w:val="24"/>
                <w:szCs w:val="24"/>
                <w:color w:val="auto"/>
              </w:rPr>
            </w:pPr>
          </w:p>
        </w:tc>
      </w:tr>
      <w:tr>
        <w:trPr>
          <w:trHeight w:val="216"/>
        </w:trPr>
        <w:tc>
          <w:tcPr>
            <w:tcW w:w="6780" w:type="dxa"/>
            <w:vAlign w:val="bottom"/>
          </w:tcPr>
          <w:p>
            <w:pPr>
              <w:jc w:val="center"/>
              <w:ind w:left="2310"/>
              <w:spacing w:after="0"/>
              <w:rPr>
                <w:sz w:val="20"/>
                <w:szCs w:val="20"/>
                <w:color w:val="auto"/>
              </w:rPr>
            </w:pPr>
            <w:r>
              <w:rPr>
                <w:rFonts w:ascii="Arial" w:cs="Arial" w:eastAsia="Arial" w:hAnsi="Arial"/>
                <w:sz w:val="18"/>
                <w:szCs w:val="18"/>
                <w:b w:val="1"/>
                <w:bCs w:val="1"/>
                <w:color w:val="auto"/>
                <w:w w:val="93"/>
              </w:rPr>
              <w:t>251 Little Falls Drive</w:t>
            </w:r>
          </w:p>
        </w:tc>
        <w:tc>
          <w:tcPr>
            <w:tcW w:w="1400" w:type="dxa"/>
            <w:vAlign w:val="bottom"/>
          </w:tcPr>
          <w:p>
            <w:pPr>
              <w:spacing w:after="0"/>
              <w:rPr>
                <w:sz w:val="18"/>
                <w:szCs w:val="18"/>
                <w:color w:val="auto"/>
              </w:rPr>
            </w:pPr>
          </w:p>
        </w:tc>
      </w:tr>
      <w:tr>
        <w:trPr>
          <w:trHeight w:val="216"/>
        </w:trPr>
        <w:tc>
          <w:tcPr>
            <w:tcW w:w="6780" w:type="dxa"/>
            <w:vAlign w:val="bottom"/>
          </w:tcPr>
          <w:p>
            <w:pPr>
              <w:jc w:val="center"/>
              <w:ind w:left="2310"/>
              <w:spacing w:after="0"/>
              <w:rPr>
                <w:sz w:val="20"/>
                <w:szCs w:val="20"/>
                <w:color w:val="auto"/>
              </w:rPr>
            </w:pPr>
            <w:r>
              <w:rPr>
                <w:rFonts w:ascii="Arial" w:cs="Arial" w:eastAsia="Arial" w:hAnsi="Arial"/>
                <w:sz w:val="18"/>
                <w:szCs w:val="18"/>
                <w:b w:val="1"/>
                <w:bCs w:val="1"/>
                <w:color w:val="auto"/>
                <w:w w:val="93"/>
              </w:rPr>
              <w:t>Wilmington, Delaware</w:t>
            </w:r>
          </w:p>
        </w:tc>
        <w:tc>
          <w:tcPr>
            <w:tcW w:w="1400" w:type="dxa"/>
            <w:vAlign w:val="bottom"/>
          </w:tcPr>
          <w:p>
            <w:pPr>
              <w:spacing w:after="0"/>
              <w:rPr>
                <w:sz w:val="18"/>
                <w:szCs w:val="18"/>
                <w:color w:val="auto"/>
              </w:rPr>
            </w:pPr>
          </w:p>
        </w:tc>
      </w:tr>
      <w:tr>
        <w:trPr>
          <w:trHeight w:val="220"/>
        </w:trPr>
        <w:tc>
          <w:tcPr>
            <w:tcW w:w="6780" w:type="dxa"/>
            <w:vAlign w:val="bottom"/>
          </w:tcPr>
          <w:p>
            <w:pPr>
              <w:jc w:val="center"/>
              <w:ind w:left="2330"/>
              <w:spacing w:after="0"/>
              <w:rPr>
                <w:sz w:val="20"/>
                <w:szCs w:val="20"/>
                <w:color w:val="auto"/>
              </w:rPr>
            </w:pPr>
            <w:r>
              <w:rPr>
                <w:rFonts w:ascii="Arial" w:cs="Arial" w:eastAsia="Arial" w:hAnsi="Arial"/>
                <w:sz w:val="18"/>
                <w:szCs w:val="18"/>
                <w:b w:val="1"/>
                <w:bCs w:val="1"/>
                <w:color w:val="auto"/>
                <w:w w:val="90"/>
              </w:rPr>
              <w:t>(800) 927-9801</w:t>
            </w:r>
          </w:p>
        </w:tc>
        <w:tc>
          <w:tcPr>
            <w:tcW w:w="1400" w:type="dxa"/>
            <w:vAlign w:val="bottom"/>
          </w:tcPr>
          <w:p>
            <w:pPr>
              <w:spacing w:after="0"/>
              <w:rPr>
                <w:sz w:val="19"/>
                <w:szCs w:val="19"/>
                <w:color w:val="auto"/>
              </w:rPr>
            </w:pPr>
          </w:p>
        </w:tc>
      </w:tr>
      <w:tr>
        <w:trPr>
          <w:trHeight w:val="230"/>
        </w:trPr>
        <w:tc>
          <w:tcPr>
            <w:tcW w:w="6780" w:type="dxa"/>
            <w:vAlign w:val="bottom"/>
          </w:tcPr>
          <w:p>
            <w:pPr>
              <w:jc w:val="center"/>
              <w:ind w:left="2310"/>
              <w:spacing w:after="0"/>
              <w:rPr>
                <w:sz w:val="20"/>
                <w:szCs w:val="20"/>
                <w:color w:val="auto"/>
              </w:rPr>
            </w:pPr>
            <w:r>
              <w:rPr>
                <w:rFonts w:ascii="Arial" w:cs="Arial" w:eastAsia="Arial" w:hAnsi="Arial"/>
                <w:sz w:val="18"/>
                <w:szCs w:val="18"/>
                <w:color w:val="auto"/>
                <w:w w:val="89"/>
              </w:rPr>
              <w:t>(Name, address and telephone number of agent for service)</w:t>
            </w:r>
          </w:p>
        </w:tc>
        <w:tc>
          <w:tcPr>
            <w:tcW w:w="1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3"/>
              </w:rPr>
              <w:t>Delaware</w:t>
            </w:r>
          </w:p>
        </w:tc>
        <w:tc>
          <w:tcPr>
            <w:tcW w:w="698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46-1777204</w:t>
            </w:r>
          </w:p>
        </w:tc>
        <w:tc>
          <w:tcPr>
            <w:tcW w:w="40" w:type="dxa"/>
            <w:vAlign w:val="bottom"/>
          </w:tcPr>
          <w:p>
            <w:pPr>
              <w:spacing w:after="0"/>
              <w:rPr>
                <w:sz w:val="19"/>
                <w:szCs w:val="19"/>
                <w:color w:val="auto"/>
              </w:rPr>
            </w:pPr>
          </w:p>
        </w:tc>
      </w:tr>
      <w:tr>
        <w:trPr>
          <w:trHeight w:val="216"/>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2"/>
              </w:rPr>
              <w:t>(State or other jurisdiction of incorporation</w:t>
            </w:r>
          </w:p>
        </w:tc>
        <w:tc>
          <w:tcPr>
            <w:tcW w:w="272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of organization)</w:t>
            </w:r>
          </w:p>
        </w:tc>
        <w:tc>
          <w:tcPr>
            <w:tcW w:w="272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0"/>
              </w:rPr>
              <w:t>804 Carnegie Center</w:t>
            </w:r>
          </w:p>
        </w:tc>
        <w:tc>
          <w:tcPr>
            <w:tcW w:w="2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44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89"/>
              </w:rPr>
              <w:t>Princeton, NJ 08540</w:t>
            </w:r>
          </w:p>
        </w:tc>
        <w:tc>
          <w:tcPr>
            <w:tcW w:w="698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08540</w:t>
            </w:r>
          </w:p>
        </w:tc>
        <w:tc>
          <w:tcPr>
            <w:tcW w:w="40" w:type="dxa"/>
            <w:vAlign w:val="bottom"/>
          </w:tcPr>
          <w:p>
            <w:pPr>
              <w:spacing w:after="0"/>
              <w:rPr>
                <w:sz w:val="19"/>
                <w:szCs w:val="19"/>
                <w:color w:val="auto"/>
              </w:rPr>
            </w:pPr>
          </w:p>
        </w:tc>
      </w:tr>
      <w:tr>
        <w:trPr>
          <w:trHeight w:val="230"/>
        </w:trPr>
        <w:tc>
          <w:tcPr>
            <w:tcW w:w="4440" w:type="dxa"/>
            <w:vAlign w:val="bottom"/>
            <w:gridSpan w:val="2"/>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2720" w:type="dxa"/>
            <w:vAlign w:val="bottom"/>
          </w:tcPr>
          <w:p>
            <w:pPr>
              <w:spacing w:after="0"/>
              <w:rPr>
                <w:sz w:val="20"/>
                <w:szCs w:val="20"/>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(Zip code)</w:t>
            </w:r>
          </w:p>
        </w:tc>
        <w:tc>
          <w:tcPr>
            <w:tcW w:w="40" w:type="dxa"/>
            <w:vAlign w:val="bottom"/>
          </w:tcPr>
          <w:p>
            <w:pPr>
              <w:spacing w:after="0"/>
              <w:rPr>
                <w:sz w:val="20"/>
                <w:szCs w:val="20"/>
                <w:color w:val="auto"/>
              </w:rPr>
            </w:pPr>
          </w:p>
        </w:tc>
      </w:tr>
      <w:tr>
        <w:trPr>
          <w:trHeight w:val="324"/>
        </w:trPr>
        <w:tc>
          <w:tcPr>
            <w:tcW w:w="42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gridSpan w:val="2"/>
          </w:tcPr>
          <w:p>
            <w:pPr>
              <w:jc w:val="center"/>
              <w:ind w:right="4330"/>
              <w:spacing w:after="0"/>
              <w:rPr>
                <w:sz w:val="20"/>
                <w:szCs w:val="20"/>
                <w:color w:val="auto"/>
              </w:rPr>
            </w:pPr>
            <w:r>
              <w:rPr>
                <w:rFonts w:ascii="Arial" w:cs="Arial" w:eastAsia="Arial" w:hAnsi="Arial"/>
                <w:sz w:val="18"/>
                <w:szCs w:val="18"/>
                <w:b w:val="1"/>
                <w:bCs w:val="1"/>
                <w:color w:val="auto"/>
                <w:w w:val="88"/>
              </w:rPr>
              <w:t>Debt Securities</w:t>
            </w:r>
          </w:p>
        </w:tc>
        <w:tc>
          <w:tcPr>
            <w:tcW w:w="40" w:type="dxa"/>
            <w:vAlign w:val="bottom"/>
          </w:tcPr>
          <w:p>
            <w:pPr>
              <w:spacing w:after="0"/>
              <w:rPr>
                <w:sz w:val="24"/>
                <w:szCs w:val="24"/>
                <w:color w:val="auto"/>
              </w:rPr>
            </w:pPr>
          </w:p>
        </w:tc>
      </w:tr>
      <w:tr>
        <w:trPr>
          <w:trHeight w:val="230"/>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gridSpan w:val="2"/>
          </w:tcPr>
          <w:p>
            <w:pPr>
              <w:jc w:val="center"/>
              <w:ind w:right="4330"/>
              <w:spacing w:after="0"/>
              <w:rPr>
                <w:sz w:val="20"/>
                <w:szCs w:val="20"/>
                <w:color w:val="auto"/>
              </w:rPr>
            </w:pPr>
            <w:r>
              <w:rPr>
                <w:rFonts w:ascii="Arial" w:cs="Arial" w:eastAsia="Arial" w:hAnsi="Arial"/>
                <w:sz w:val="18"/>
                <w:szCs w:val="18"/>
                <w:color w:val="auto"/>
                <w:w w:val="91"/>
              </w:rPr>
              <w:t>(Title of the indenture securities)</w:t>
            </w:r>
          </w:p>
        </w:tc>
        <w:tc>
          <w:tcPr>
            <w:tcW w:w="40" w:type="dxa"/>
            <w:vAlign w:val="bottom"/>
          </w:tcPr>
          <w:p>
            <w:pPr>
              <w:spacing w:after="0"/>
              <w:rPr>
                <w:sz w:val="20"/>
                <w:szCs w:val="20"/>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4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General Information.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Furnish the following information as to the trustee:</w:t>
      </w:r>
    </w:p>
    <w:p>
      <w:pPr>
        <w:spacing w:after="0" w:line="225" w:lineRule="exact"/>
        <w:rPr>
          <w:sz w:val="20"/>
          <w:szCs w:val="20"/>
          <w:color w:val="auto"/>
        </w:rPr>
      </w:pPr>
    </w:p>
    <w:p>
      <w:pPr>
        <w:ind w:left="1960" w:hanging="591"/>
        <w:spacing w:after="0"/>
        <w:tabs>
          <w:tab w:leader="none" w:pos="19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29" w:lineRule="exact"/>
        <w:rPr>
          <w:rFonts w:ascii="Arial" w:cs="Arial" w:eastAsia="Arial" w:hAnsi="Arial"/>
          <w:sz w:val="18"/>
          <w:szCs w:val="18"/>
          <w:b w:val="1"/>
          <w:bCs w:val="1"/>
          <w:color w:val="auto"/>
        </w:rPr>
      </w:pPr>
    </w:p>
    <w:p>
      <w:pPr>
        <w:ind w:left="1960" w:right="64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Office of the State Banking Commissioner State of Delaware</w:t>
      </w:r>
    </w:p>
    <w:p>
      <w:pPr>
        <w:spacing w:after="0" w:line="1" w:lineRule="exact"/>
        <w:rPr>
          <w:rFonts w:ascii="Arial" w:cs="Arial" w:eastAsia="Arial" w:hAnsi="Arial"/>
          <w:sz w:val="18"/>
          <w:szCs w:val="18"/>
          <w:b w:val="1"/>
          <w:bCs w:val="1"/>
          <w:color w:val="auto"/>
        </w:rPr>
      </w:pPr>
    </w:p>
    <w:p>
      <w:pPr>
        <w:ind w:left="1960" w:right="7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555 East Loockerman Street Dover, DE 19901</w:t>
      </w:r>
    </w:p>
    <w:p>
      <w:pPr>
        <w:spacing w:after="0" w:line="179" w:lineRule="exact"/>
        <w:rPr>
          <w:rFonts w:ascii="Arial" w:cs="Arial" w:eastAsia="Arial" w:hAnsi="Arial"/>
          <w:sz w:val="18"/>
          <w:szCs w:val="18"/>
          <w:b w:val="1"/>
          <w:bCs w:val="1"/>
          <w:color w:val="auto"/>
        </w:rPr>
      </w:pPr>
    </w:p>
    <w:p>
      <w:pPr>
        <w:ind w:left="1960" w:hanging="591"/>
        <w:spacing w:after="0"/>
        <w:tabs>
          <w:tab w:leader="none" w:pos="19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ectPr>
          <w:pgSz w:w="11900" w:h="16838" w:orient="portrait"/>
          <w:cols w:equalWidth="0" w:num="1">
            <w:col w:w="11460"/>
          </w:cols>
          <w:pgMar w:left="240" w:top="364" w:right="199" w:bottom="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40" w:type="dxa"/>
            <w:vAlign w:val="bottom"/>
            <w:gridSpan w:val="3"/>
          </w:tcPr>
          <w:p>
            <w:pPr>
              <w:ind w:left="64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4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Affiliations with Obligor.</w:t>
            </w:r>
          </w:p>
        </w:tc>
        <w:tc>
          <w:tcPr>
            <w:tcW w:w="8220" w:type="dxa"/>
            <w:vAlign w:val="bottom"/>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10380" w:type="dxa"/>
            <w:vAlign w:val="bottom"/>
            <w:gridSpan w:val="4"/>
          </w:tcPr>
          <w:p>
            <w:pPr>
              <w:ind w:left="220"/>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tc>
      </w:tr>
      <w:tr>
        <w:trPr>
          <w:trHeight w:val="432"/>
        </w:trPr>
        <w:tc>
          <w:tcPr>
            <w:tcW w:w="1080" w:type="dxa"/>
            <w:vAlign w:val="bottom"/>
          </w:tcPr>
          <w:p>
            <w:pPr>
              <w:spacing w:after="0"/>
              <w:rPr>
                <w:sz w:val="24"/>
                <w:szCs w:val="24"/>
                <w:color w:val="auto"/>
              </w:rPr>
            </w:pPr>
          </w:p>
        </w:tc>
        <w:tc>
          <w:tcPr>
            <w:tcW w:w="10380" w:type="dxa"/>
            <w:vAlign w:val="bottom"/>
            <w:gridSpan w:val="4"/>
          </w:tcPr>
          <w:p>
            <w:pPr>
              <w:ind w:left="22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Items 3-14.</w:t>
            </w:r>
          </w:p>
        </w:tc>
        <w:tc>
          <w:tcPr>
            <w:tcW w:w="24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No responses are included for Items 3-14 because the obligor is not in default as provided under Item 13.</w:t>
            </w:r>
          </w:p>
        </w:tc>
      </w:tr>
      <w:tr>
        <w:trPr>
          <w:trHeight w:val="39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24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Foreign Trustee.</w:t>
            </w:r>
          </w:p>
        </w:tc>
        <w:tc>
          <w:tcPr>
            <w:tcW w:w="8880" w:type="dxa"/>
            <w:vAlign w:val="bottom"/>
            <w:gridSpan w:val="2"/>
          </w:tcPr>
          <w:p>
            <w:pPr>
              <w:spacing w:after="0"/>
              <w:rPr>
                <w:sz w:val="24"/>
                <w:szCs w:val="24"/>
                <w:color w:val="auto"/>
              </w:rPr>
            </w:pPr>
          </w:p>
        </w:tc>
      </w:tr>
      <w:tr>
        <w:trPr>
          <w:trHeight w:val="453"/>
        </w:trPr>
        <w:tc>
          <w:tcPr>
            <w:tcW w:w="1080" w:type="dxa"/>
            <w:vAlign w:val="bottom"/>
          </w:tcPr>
          <w:p>
            <w:pPr>
              <w:spacing w:after="0"/>
              <w:rPr>
                <w:sz w:val="24"/>
                <w:szCs w:val="24"/>
                <w:color w:val="auto"/>
              </w:rPr>
            </w:pPr>
          </w:p>
        </w:tc>
        <w:tc>
          <w:tcPr>
            <w:tcW w:w="10380" w:type="dxa"/>
            <w:vAlign w:val="bottom"/>
            <w:gridSpan w:val="4"/>
          </w:tcPr>
          <w:p>
            <w:pPr>
              <w:ind w:left="22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24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1080" w:type="dxa"/>
            <w:vAlign w:val="bottom"/>
          </w:tcPr>
          <w:p>
            <w:pPr>
              <w:spacing w:after="0"/>
              <w:rPr>
                <w:sz w:val="24"/>
                <w:szCs w:val="24"/>
                <w:color w:val="auto"/>
              </w:rPr>
            </w:pPr>
          </w:p>
        </w:tc>
        <w:tc>
          <w:tcPr>
            <w:tcW w:w="10380" w:type="dxa"/>
            <w:vAlign w:val="bottom"/>
            <w:gridSpan w:val="4"/>
          </w:tcPr>
          <w:p>
            <w:pPr>
              <w:ind w:left="2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1.</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A copy of the Articles of Association of the trustee now in effect is contained in the Certificate of Incorporation.</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2.</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A copy of the Certificate of Incorporation.</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3.</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See Exhibit 2.</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4.</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A copy of by-laws of the trustee as now in effect.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5.</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6.</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Exhibit 7.</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w w:val="98"/>
              </w:rPr>
              <w:t>A copy of the latest report of condition of the trustee published pursuant to law or the requirements of its supervising or examining</w:t>
            </w:r>
          </w:p>
        </w:tc>
      </w:tr>
      <w:tr>
        <w:trPr>
          <w:trHeight w:val="230"/>
        </w:trPr>
        <w:tc>
          <w:tcPr>
            <w:tcW w:w="1080" w:type="dxa"/>
            <w:vAlign w:val="bottom"/>
          </w:tcPr>
          <w:p>
            <w:pPr>
              <w:spacing w:after="0"/>
              <w:rPr>
                <w:sz w:val="20"/>
                <w:szCs w:val="20"/>
                <w:color w:val="auto"/>
              </w:rPr>
            </w:pPr>
          </w:p>
        </w:tc>
        <w:tc>
          <w:tcPr>
            <w:tcW w:w="10380" w:type="dxa"/>
            <w:vAlign w:val="bottom"/>
            <w:gridSpan w:val="4"/>
          </w:tcPr>
          <w:p>
            <w:pPr>
              <w:ind w:left="220"/>
              <w:spacing w:after="0"/>
              <w:rPr>
                <w:sz w:val="20"/>
                <w:szCs w:val="20"/>
                <w:color w:val="auto"/>
              </w:rPr>
            </w:pPr>
            <w:r>
              <w:rPr>
                <w:rFonts w:ascii="Arial" w:cs="Arial" w:eastAsia="Arial" w:hAnsi="Arial"/>
                <w:sz w:val="18"/>
                <w:szCs w:val="18"/>
                <w:color w:val="auto"/>
              </w:rPr>
              <w:t>authority.</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8.</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Exhibit 9.</w:t>
            </w:r>
          </w:p>
        </w:tc>
        <w:tc>
          <w:tcPr>
            <w:tcW w:w="10380" w:type="dxa"/>
            <w:vAlign w:val="bottom"/>
            <w:gridSpan w:val="4"/>
          </w:tcPr>
          <w:p>
            <w:pPr>
              <w:ind w:left="240"/>
              <w:spacing w:after="0"/>
              <w:rPr>
                <w:sz w:val="20"/>
                <w:szCs w:val="20"/>
                <w:color w:val="auto"/>
              </w:rPr>
            </w:pPr>
            <w:r>
              <w:rPr>
                <w:rFonts w:ascii="Arial" w:cs="Arial" w:eastAsia="Arial" w:hAnsi="Arial"/>
                <w:sz w:val="18"/>
                <w:szCs w:val="18"/>
                <w:color w:val="auto"/>
              </w:rPr>
              <w:t>Not applicable.</w:t>
            </w:r>
          </w:p>
        </w:tc>
      </w:tr>
      <w:tr>
        <w:trPr>
          <w:trHeight w:val="348"/>
        </w:trPr>
        <w:tc>
          <w:tcPr>
            <w:tcW w:w="10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Trust Indenture Act of 1939, as amended, the trustee,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3rd day of May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William G. Popeo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G. Popeo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Apostille</w:t>
      </w:r>
    </w:p>
    <w:p>
      <w:pPr>
        <w:spacing w:after="0" w:line="229" w:lineRule="exact"/>
        <w:rPr>
          <w:sz w:val="20"/>
          <w:szCs w:val="20"/>
          <w:color w:val="auto"/>
        </w:rPr>
      </w:pPr>
    </w:p>
    <w:p>
      <w:pPr>
        <w:ind w:left="8200"/>
        <w:spacing w:after="0"/>
        <w:rPr>
          <w:sz w:val="20"/>
          <w:szCs w:val="20"/>
          <w:color w:val="auto"/>
        </w:rPr>
      </w:pPr>
      <w:r>
        <w:rPr>
          <w:rFonts w:ascii="Arial" w:cs="Arial" w:eastAsia="Arial" w:hAnsi="Arial"/>
          <w:sz w:val="16"/>
          <w:szCs w:val="16"/>
          <w:i w:val="1"/>
          <w:iCs w:val="1"/>
          <w:color w:val="auto"/>
        </w:rPr>
        <w:t>(Convention de La Haye du 5 October 1961)</w:t>
      </w:r>
    </w:p>
    <w:p>
      <w:pPr>
        <w:spacing w:after="0" w:line="248" w:lineRule="exact"/>
        <w:rPr>
          <w:sz w:val="20"/>
          <w:szCs w:val="20"/>
          <w:color w:val="auto"/>
        </w:rPr>
      </w:pPr>
    </w:p>
    <w:p>
      <w:pPr>
        <w:ind w:left="660" w:right="8300" w:hanging="652"/>
        <w:spacing w:after="0" w:line="501" w:lineRule="auto"/>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Country: </w:t>
      </w:r>
      <w:r>
        <w:rPr>
          <w:rFonts w:ascii="Arial" w:cs="Arial" w:eastAsia="Arial" w:hAnsi="Arial"/>
          <w:sz w:val="18"/>
          <w:szCs w:val="18"/>
          <w:color w:val="auto"/>
        </w:rPr>
        <w:t>United States</w:t>
      </w:r>
      <w:r>
        <w:rPr>
          <w:rFonts w:ascii="Arial" w:cs="Arial" w:eastAsia="Arial" w:hAnsi="Arial"/>
          <w:sz w:val="18"/>
          <w:szCs w:val="18"/>
          <w:i w:val="1"/>
          <w:iCs w:val="1"/>
          <w:color w:val="auto"/>
        </w:rPr>
        <w:t xml:space="preserve"> of America This public document:</w:t>
      </w: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has been signed by Jeffrey W. Bullock</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acting in the capacity of Secretary of State of Delaware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bears the seal/stamp of Office of Secretary of State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Certified</w:t>
      </w:r>
    </w:p>
    <w:p>
      <w:pPr>
        <w:spacing w:after="0" w:line="229"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at Dover, Delaware</w:t>
      </w:r>
    </w:p>
    <w:p>
      <w:pPr>
        <w:sectPr>
          <w:pgSz w:w="11900" w:h="16838" w:orient="portrait"/>
          <w:cols w:equalWidth="0" w:num="1">
            <w:col w:w="11460"/>
          </w:cols>
          <w:pgMar w:left="240" w:top="341" w:right="199" w:bottom="0" w:gutter="0" w:footer="0" w:header="0"/>
        </w:sectPr>
      </w:pPr>
    </w:p>
    <w:bookmarkStart w:id="69" w:name="page70"/>
    <w:bookmarkEnd w:id="69"/>
    <w:p>
      <w:pPr>
        <w:ind w:left="660" w:hanging="652"/>
        <w:spacing w:after="0"/>
        <w:tabs>
          <w:tab w:leader="none" w:pos="660" w:val="left"/>
        </w:tabs>
        <w:numPr>
          <w:ilvl w:val="0"/>
          <w:numId w:val="77"/>
        </w:numPr>
        <w:rPr>
          <w:rFonts w:ascii="Arial" w:cs="Arial" w:eastAsia="Arial" w:hAnsi="Arial"/>
          <w:sz w:val="18"/>
          <w:szCs w:val="18"/>
          <w:i w:val="1"/>
          <w:iCs w:val="1"/>
          <w:color w:val="auto"/>
        </w:rPr>
      </w:pPr>
      <w:r>
        <w:rPr>
          <w:rFonts w:ascii="Arial" w:cs="Arial" w:eastAsia="Arial" w:hAnsi="Arial"/>
          <w:sz w:val="18"/>
          <w:szCs w:val="18"/>
          <w:color w:val="auto"/>
        </w:rPr>
        <w:t xml:space="preserve">the thirtieth </w:t>
      </w:r>
      <w:r>
        <w:rPr>
          <w:rFonts w:ascii="Arial" w:cs="Arial" w:eastAsia="Arial" w:hAnsi="Arial"/>
          <w:sz w:val="18"/>
          <w:szCs w:val="18"/>
          <w:i w:val="1"/>
          <w:iCs w:val="1"/>
          <w:color w:val="auto"/>
        </w:rPr>
        <w:t>day of June, A.D. 2009</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by Secretary of State, Delaware Department of State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No. 0389366</w:t>
      </w:r>
    </w:p>
    <w:p>
      <w:pPr>
        <w:spacing w:after="0" w:line="225" w:lineRule="exact"/>
        <w:rPr>
          <w:sz w:val="20"/>
          <w:szCs w:val="20"/>
          <w:color w:val="auto"/>
        </w:rPr>
      </w:pPr>
    </w:p>
    <w:p>
      <w:pPr>
        <w:spacing w:after="0"/>
        <w:tabs>
          <w:tab w:leader="none" w:pos="640" w:val="left"/>
          <w:tab w:leader="none" w:pos="7980" w:val="left"/>
          <w:tab w:leader="none" w:pos="8620" w:val="left"/>
        </w:tabs>
        <w:rPr>
          <w:sz w:val="20"/>
          <w:szCs w:val="20"/>
          <w:color w:val="auto"/>
        </w:rPr>
      </w:pPr>
      <w:r>
        <w:rPr>
          <w:rFonts w:ascii="Arial" w:cs="Arial" w:eastAsia="Arial" w:hAnsi="Arial"/>
          <w:sz w:val="18"/>
          <w:szCs w:val="18"/>
          <w:i w:val="1"/>
          <w:iCs w:val="1"/>
          <w:color w:val="auto"/>
        </w:rPr>
        <w:t>9.</w:t>
      </w:r>
      <w:r>
        <w:rPr>
          <w:sz w:val="20"/>
          <w:szCs w:val="20"/>
          <w:color w:val="auto"/>
        </w:rPr>
        <w:tab/>
      </w:r>
      <w:r>
        <w:rPr>
          <w:rFonts w:ascii="Arial" w:cs="Arial" w:eastAsia="Arial" w:hAnsi="Arial"/>
          <w:sz w:val="18"/>
          <w:szCs w:val="18"/>
          <w:i w:val="1"/>
          <w:iCs w:val="1"/>
          <w:color w:val="auto"/>
        </w:rPr>
        <w:t>Seal/Stamp:</w:t>
      </w:r>
      <w:r>
        <w:rPr>
          <w:sz w:val="20"/>
          <w:szCs w:val="20"/>
          <w:color w:val="auto"/>
        </w:rPr>
        <w:tab/>
      </w:r>
      <w:r>
        <w:rPr>
          <w:rFonts w:ascii="Arial" w:cs="Arial" w:eastAsia="Arial" w:hAnsi="Arial"/>
          <w:sz w:val="18"/>
          <w:szCs w:val="18"/>
          <w:i w:val="1"/>
          <w:iCs w:val="1"/>
          <w:color w:val="auto"/>
        </w:rPr>
        <w:t>10.</w:t>
      </w:r>
      <w:r>
        <w:rPr>
          <w:sz w:val="20"/>
          <w:szCs w:val="20"/>
          <w:color w:val="auto"/>
        </w:rPr>
        <w:tab/>
      </w:r>
      <w:r>
        <w:rPr>
          <w:rFonts w:ascii="Arial" w:cs="Arial" w:eastAsia="Arial" w:hAnsi="Arial"/>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-121920</wp:posOffset>
            </wp:positionV>
            <wp:extent cx="1637665" cy="1603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63766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Delaware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first State</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INCORPORATION OF “DELAWARE CHARTER COMPANY”, FILED IN THIS OFFICE ON THE NINETEENTH DAY OF MARCH, A.D. 1917, AT 9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261620</wp:posOffset>
            </wp:positionV>
            <wp:extent cx="2675890" cy="1706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267589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AUTHENTICATION:  7391399</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i w:val="1"/>
          <w:iCs w:val="1"/>
          <w:color w:val="auto"/>
        </w:rPr>
        <w:t>DATE:  06-30-09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DELAWARE CHARTER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220980</wp:posOffset>
            </wp:positionV>
            <wp:extent cx="11061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u w:val="single" w:color="auto"/>
          <w:color w:val="auto"/>
        </w:rPr>
        <w:t>FIRST.</w:t>
      </w:r>
      <w:r>
        <w:rPr>
          <w:sz w:val="20"/>
          <w:szCs w:val="20"/>
          <w:color w:val="auto"/>
        </w:rPr>
        <w:tab/>
      </w:r>
      <w:r>
        <w:rPr>
          <w:rFonts w:ascii="Arial" w:cs="Arial" w:eastAsia="Arial" w:hAnsi="Arial"/>
          <w:sz w:val="18"/>
          <w:szCs w:val="18"/>
          <w:color w:val="auto"/>
        </w:rPr>
        <w:t>The name of this corporation is “DELAWARE CHARTER COMPANY”.</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The location of its principal office in the State of Delaware is in the City of Wilmington, County of New Castle, The name of the resident agent therein, and in charge thereof, is ROBERT PENINGTON. The street and number of said principal office and the address by street and number of said resident agent is 900-904 Market Street.</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That the objects for which this company is formed are to do any and all of the things herein set forth to the said extent as natural persons might or could do, and in any part of the world, as principals, agents, contractors, trustees, or otherwise and either alone or in company with others, and this corporation Shall have the following powers: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To the same extent and in the same manner as a natural person being an actual resident in the State of Delaware, or elsewhere, might now or could hereafter do, to act as the agent of, and to represent in Delaware and elsewhere domestic and foreign corporations and to act as the agent upon whom process against all such corporations and all notices, official or otherwise, may be served.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51"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For and in behalf of such corporations to apply, to obtain and procure to be issued by the Secretary of State of Delaware, or by like officers in other states of the United States of America, and elsewhere, or by other officials in accordance with the law, certificate or certificates authorizing such corporations to transact business in the State of Delaware or elsewhere.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To provide, to keep, to maintain for and in behalf of and as the agent of such corporations, whether organized under the laws of the State of Delaware or elsewhere, offices principal or otherwise, and therein to keep transfer or other books and documents, records and property of every sort and kind, of such corporations, for all purposes, including the transfer of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520" w:firstLine="1297"/>
        <w:spacing w:after="0" w:line="342" w:lineRule="auto"/>
        <w:rPr>
          <w:sz w:val="20"/>
          <w:szCs w:val="20"/>
          <w:color w:val="auto"/>
        </w:rPr>
      </w:pPr>
      <w:r>
        <w:rPr>
          <w:rFonts w:ascii="Arial" w:cs="Arial" w:eastAsia="Arial" w:hAnsi="Arial"/>
          <w:sz w:val="16"/>
          <w:szCs w:val="16"/>
          <w:color w:val="auto"/>
        </w:rPr>
        <w:t>To keep and maintain safe deposit vaults and books and to take and receive upon deposit for safe keeping and storage, stocks, bonds, securities, papers, books and documentary record and personal property of every kind or sort, and to let out vaults, safes and other receptacles.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To promote, act as fiscal agent for, and to organize, reorganize, merge, consolidate, dissolve or otherwise assist, and afford facilities to any company or companies organized or to be organized under the laws of the State of Delaware, or elsewhere, and to act as the agent, trustee or to any other capacity for and in behalf of such corporation.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To act as the fiscal or transfer agent of any state, municipality, body politic or corporation and in such capacity to receive and disburse money and to transfer, register and countersign certificates of stock, receipts, bonds or other evidences of indebtedness.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act as the trustee for the holders of, or otherwise, in relation to any bonds, stocks, certificates or debentures issued or to be issued by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To act as trustee under any mortgage or bond issued by any municipality, body politic, corporation, person or association, and accept and execute any other municipal or corporate trust not inconsistent with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act as the registrar of stocks, bonds, certificates and debentures, and transfer agent thereof for corporations and others.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w:t>
      </w:r>
    </w:p>
    <w:p>
      <w:pPr>
        <w:spacing w:after="0" w:line="225"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To take, accept and execute any and all such trusts, powers or receiverships of whatever nature or description as may be conferred upon or intrusted or committed to it by any person or persons or any body politic, corporation or other authority by grant, assignment, transfer, devise, bequest or otherwise (or which may be intrusted or committed or transferred to it or Vested in it by order of any Court of record) and to receive and take and hold any property or estate, real or personal, which may be the subject or any such trust or receivership.</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enter, into, make, perform and carry contracts of every kind with any person, firm, association or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w:t>
      </w:r>
    </w:p>
    <w:p>
      <w:pPr>
        <w:spacing w:after="0" w:line="225"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To purchase or otherwise acquire, to hold, sell, assign, transfer, mortgage, pledge, exchange or otherwise dispose of and to guarantee, underwrite, register and transfer bonds, mortgages, debentures, obligations or shares of the capital stock of any corporation, to exercise, while the owner or trustee thereof, all the rights, powers end privileges including the right to vote thereon which natural persons being the owner of such stock and property, might, could or would exercise.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p>
    <w:p>
      <w:pPr>
        <w:spacing w:after="0" w:line="225" w:lineRule="exact"/>
        <w:rPr>
          <w:sz w:val="20"/>
          <w:szCs w:val="20"/>
          <w:color w:val="auto"/>
        </w:rPr>
      </w:pPr>
    </w:p>
    <w:p>
      <w:pPr>
        <w:ind w:right="480" w:firstLine="1297"/>
        <w:spacing w:after="0" w:line="342" w:lineRule="auto"/>
        <w:rPr>
          <w:sz w:val="20"/>
          <w:szCs w:val="20"/>
          <w:color w:val="auto"/>
        </w:rPr>
      </w:pPr>
      <w:r>
        <w:rPr>
          <w:rFonts w:ascii="Arial" w:cs="Arial" w:eastAsia="Arial" w:hAnsi="Arial"/>
          <w:sz w:val="16"/>
          <w:szCs w:val="16"/>
          <w:color w:val="auto"/>
        </w:rPr>
        <w:t>To the same extent as natural persons might or could do, to purchase or otherwise acquire, to hold, own, to mortgage, Bell, convey or otherwise dispose of, without limit as to amount, within or without the State of Delaware, real and personal property of any class or description.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p>
    <w:p>
      <w:pPr>
        <w:sectPr>
          <w:pgSz w:w="11900" w:h="16838" w:orient="portrait"/>
          <w:cols w:equalWidth="0" w:num="1">
            <w:col w:w="11380"/>
          </w:cols>
          <w:pgMar w:left="240" w:top="125" w:right="279" w:bottom="32" w:gutter="0" w:footer="0" w:header="0"/>
        </w:sectPr>
      </w:pPr>
    </w:p>
    <w:bookmarkStart w:id="71" w:name="page72"/>
    <w:bookmarkEnd w:id="71"/>
    <w:p>
      <w:pPr>
        <w:ind w:right="480" w:firstLine="1297"/>
        <w:spacing w:after="0" w:line="286" w:lineRule="auto"/>
        <w:rPr>
          <w:sz w:val="20"/>
          <w:szCs w:val="20"/>
          <w:color w:val="auto"/>
        </w:rPr>
      </w:pPr>
      <w:r>
        <w:rPr>
          <w:rFonts w:ascii="Arial" w:cs="Arial" w:eastAsia="Arial" w:hAnsi="Arial"/>
          <w:sz w:val="17"/>
          <w:szCs w:val="17"/>
          <w:color w:val="auto"/>
        </w:rPr>
        <w:t>To perform the business of appraisal or audit companies and to examine, audit, appraise and report upon the accounts and financial condition of corporation, co-partnerships and individuals and to appraise or examine and report upon the condition of railroad, manufacturing and other properties and for the information of innovators, financial institutes, borrowers of money or purchasers of property.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do all and everything suitable or proper for the accomplishment of any of the purposes or attainment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of the objects hereinbefore enumerated, or which shall at the time appear conducive or expedient for the protection or benefits of the company and in general to engage in any and all lawful businesses whatever and wherever necessary or convenient.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w:t>
      </w:r>
    </w:p>
    <w:p>
      <w:pPr>
        <w:spacing w:after="0" w:line="225" w:lineRule="exact"/>
        <w:rPr>
          <w:sz w:val="20"/>
          <w:szCs w:val="20"/>
          <w:color w:val="auto"/>
        </w:rPr>
      </w:pPr>
    </w:p>
    <w:p>
      <w:pPr>
        <w:ind w:right="140" w:firstLine="1297"/>
        <w:spacing w:after="0" w:line="271" w:lineRule="auto"/>
        <w:rPr>
          <w:sz w:val="20"/>
          <w:szCs w:val="20"/>
          <w:color w:val="auto"/>
        </w:rPr>
      </w:pPr>
      <w:r>
        <w:rPr>
          <w:rFonts w:ascii="Arial" w:cs="Arial" w:eastAsia="Arial" w:hAnsi="Arial"/>
          <w:sz w:val="17"/>
          <w:szCs w:val="17"/>
          <w:color w:val="auto"/>
        </w:rPr>
        <w:t>To act as the agent, attorney, factor, proxy or broker of any person or persons, corporation or corporations, for any and all purposes whatever to the same extent as a natural person might or could do, and to provide natural persons or corporations to act in any and all such capacities. To obtain and acquire by purchase or any other lawful manner, information, statistics, facts and circumstances of, relating to, or affecting the business, capital, deeds, solvenoy, credit, responsibility and commercial condition and standing of any and all individuals, firms, associations and corporations engaged in, or connected with, any business, occupation, industry or employment in any part of the world and particularly in and throughout the United States of America and Canada, and to dispose of, sell, loan, pledge, hire and use in any and all lawful ways, the information, statistics, facts and circumstances so obtained and acquired. To act as the attorney, agent or proxy of the holders of stocks, bonds or debentures in any corporation or corporations organized or which may hereafter be organized, and as such to provide natural parsons to so not.</w:t>
      </w:r>
    </w:p>
    <w:p>
      <w:pPr>
        <w:spacing w:after="0" w:line="179"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u w:val="single" w:color="auto"/>
          <w:color w:val="auto"/>
        </w:rPr>
        <w:t>IN FURTHERANCE AND NOT IN LIMITATION</w:t>
      </w:r>
      <w:r>
        <w:rPr>
          <w:rFonts w:ascii="Arial" w:cs="Arial" w:eastAsia="Arial" w:hAnsi="Arial"/>
          <w:sz w:val="18"/>
          <w:szCs w:val="18"/>
          <w:color w:val="auto"/>
        </w:rPr>
        <w:t xml:space="preserve"> of the general powers conferred by the laws of Delaware, it is expressly provided that the corporation shall also have the following powers, via:-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To take, own, hold, deal in, mortgage or otherwise, lien and to lease, Bell, exchange, transfer or in any manner whatever dispose of real property wherever situated.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To manufacture, purchase or acquire in any lawful manner and to hold, own, mortgage, pledge, sell, transfer or in any manner dispose of and to deal and trade in goods, wares, merchandise and property of any and every class and description.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To acquire the good will, rights and property of any person, firm, association or corporation, to pay for the sane in cash, the stock of this company, bonds or otherwise; to hold or in any manner to dispose of the whole or any part of the property so purchased; to conduct in any lawful manner, the whole or any part of any business so acquired, and to exercise all powers, necessary or convenient in and about the conduct and management of such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To apply for or in any manner to acquire, and to hold, own, use and operate or to Bell or in any manner dispose of, and to grant licenses or other rights in respect of and in any manner deal with any and all rights, inventions, and employments and processes used in connection with or secured under Letters Paten., or copyrights of the United states or other countries, and to work, operate or develop the same and to carry on any business, manufacturing or otherwise, which may directly or indirectly effectuate these objects, or any of them.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To enter into, make and perform contracts of every kind with any person, firm, association or corporation and without limit as to amount, to draw, make, accept, endorse, discount, execute and issue promissory notes, drafts, bills of exchange, warrants, bonds, debentures, and other negotiable or transferrable instruments as far as may be permitted by the laws of the State of Delaware.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have offices and carry on business without restrictions as to plane or amount.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w:t>
      </w:r>
    </w:p>
    <w:p>
      <w:pPr>
        <w:spacing w:after="0" w:line="225"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To do any or all of the things herein set forth to the same extent as natural persons might or could do and in any part of the world as principals, agents, contractors, trustees or otherwise.</w:t>
      </w:r>
    </w:p>
    <w:p>
      <w:pPr>
        <w:sectPr>
          <w:pgSz w:w="11900" w:h="16838" w:orient="portrait"/>
          <w:cols w:equalWidth="0" w:num="1">
            <w:col w:w="11400"/>
          </w:cols>
          <w:pgMar w:left="240" w:top="125" w:right="259" w:bottom="0" w:gutter="0" w:footer="0" w:header="0"/>
        </w:sectPr>
      </w:pPr>
    </w:p>
    <w:bookmarkStart w:id="72" w:name="page73"/>
    <w:bookmarkEnd w:id="72"/>
    <w:p>
      <w:pPr>
        <w:ind w:right="180" w:firstLine="1297"/>
        <w:spacing w:after="0" w:line="277" w:lineRule="auto"/>
        <w:rPr>
          <w:sz w:val="20"/>
          <w:szCs w:val="20"/>
          <w:color w:val="auto"/>
        </w:rPr>
      </w:pPr>
      <w:r>
        <w:rPr>
          <w:rFonts w:ascii="Arial" w:cs="Arial" w:eastAsia="Arial" w:hAnsi="Arial"/>
          <w:sz w:val="18"/>
          <w:szCs w:val="18"/>
          <w:color w:val="auto"/>
        </w:rPr>
        <w:t>In general to carry on any other business in connection therewith whether manufacturing or otherwise, and use all the powers conferred by the laws of Delaware upon corporations under the act hereinafter referred to.</w:t>
      </w:r>
    </w:p>
    <w:p>
      <w:pPr>
        <w:spacing w:after="0" w:line="170"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The amount of the total authorized capital stock shall be One Hundred and Twenty-five Thousand ($125,000.00) Dollars, which shall be divided into Twelve Hundred and Fifty Shares (1250) of the par value of One Hundred ($100.00) Dollars each.</w:t>
      </w:r>
    </w:p>
    <w:p>
      <w:pPr>
        <w:spacing w:after="0" w:line="14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The amount of the capital stock with which it will commence business is One Thousand Dollars ($1,000.00) being ten shares of the per value of One Hundred Dollars </w:t>
      </w:r>
      <w:r>
        <w:rPr>
          <w:rFonts w:ascii="Arial" w:cs="Arial" w:eastAsia="Arial" w:hAnsi="Arial"/>
          <w:sz w:val="17"/>
          <w:szCs w:val="17"/>
          <w:color w:val="auto"/>
        </w:rPr>
        <w:t>($</w:t>
      </w:r>
      <w:r>
        <w:rPr>
          <w:rFonts w:ascii="Arial" w:cs="Arial" w:eastAsia="Arial" w:hAnsi="Arial"/>
          <w:sz w:val="18"/>
          <w:szCs w:val="18"/>
          <w:color w:val="auto"/>
        </w:rPr>
        <w:t>100.00)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99"/>
              </w:rPr>
              <w:t>FIFTH.</w:t>
            </w:r>
          </w:p>
        </w:tc>
        <w:tc>
          <w:tcPr>
            <w:tcW w:w="8340" w:type="dxa"/>
            <w:vAlign w:val="bottom"/>
            <w:gridSpan w:val="4"/>
          </w:tcPr>
          <w:p>
            <w:pPr>
              <w:ind w:left="400"/>
              <w:spacing w:after="0"/>
              <w:rPr>
                <w:sz w:val="20"/>
                <w:szCs w:val="20"/>
                <w:color w:val="auto"/>
              </w:rPr>
            </w:pPr>
            <w:r>
              <w:rPr>
                <w:rFonts w:ascii="Arial" w:cs="Arial" w:eastAsia="Arial" w:hAnsi="Arial"/>
                <w:sz w:val="18"/>
                <w:szCs w:val="18"/>
                <w:color w:val="auto"/>
              </w:rPr>
              <w:t>The names and places of residence of each of the subscribers to the capital stock are as follows;</w:t>
            </w: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Pr>
          <w:p>
            <w:pPr>
              <w:jc w:val="center"/>
              <w:ind w:right="1576"/>
              <w:spacing w:after="0"/>
              <w:rPr>
                <w:sz w:val="20"/>
                <w:szCs w:val="20"/>
                <w:color w:val="auto"/>
              </w:rPr>
            </w:pPr>
            <w:r>
              <w:rPr>
                <w:rFonts w:ascii="Arial" w:cs="Arial" w:eastAsia="Arial" w:hAnsi="Arial"/>
                <w:sz w:val="14"/>
                <w:szCs w:val="14"/>
                <w:b w:val="1"/>
                <w:bCs w:val="1"/>
                <w:color w:val="auto"/>
              </w:rPr>
              <w:t>RESIDENCE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Robert Penington,</w:t>
            </w:r>
          </w:p>
        </w:tc>
        <w:tc>
          <w:tcPr>
            <w:tcW w:w="4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Wilmington, 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Samuel H. Beynard, Jr.,</w:t>
            </w:r>
          </w:p>
        </w:tc>
        <w:tc>
          <w:tcPr>
            <w:tcW w:w="1660" w:type="dxa"/>
            <w:vAlign w:val="bottom"/>
          </w:tcPr>
          <w:p>
            <w:pPr>
              <w:ind w:left="1580"/>
              <w:spacing w:after="0"/>
              <w:rPr>
                <w:sz w:val="20"/>
                <w:szCs w:val="20"/>
                <w:color w:val="auto"/>
              </w:rPr>
            </w:pPr>
            <w:r>
              <w:rPr>
                <w:rFonts w:ascii="Arial" w:cs="Arial" w:eastAsia="Arial" w:hAnsi="Arial"/>
                <w:sz w:val="18"/>
                <w:szCs w:val="18"/>
                <w:color w:val="auto"/>
                <w:w w:val="99"/>
              </w:rPr>
              <w:t>”</w:t>
            </w:r>
          </w:p>
        </w:tc>
        <w:tc>
          <w:tcPr>
            <w:tcW w:w="250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Lillian A. Brownhill,</w:t>
            </w:r>
          </w:p>
        </w:tc>
        <w:tc>
          <w:tcPr>
            <w:tcW w:w="1660" w:type="dxa"/>
            <w:vAlign w:val="bottom"/>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SIXTH.</w:t>
            </w:r>
          </w:p>
        </w:tc>
        <w:tc>
          <w:tcPr>
            <w:tcW w:w="4180" w:type="dxa"/>
            <w:vAlign w:val="bottom"/>
            <w:gridSpan w:val="2"/>
          </w:tcPr>
          <w:p>
            <w:pPr>
              <w:ind w:left="400"/>
              <w:spacing w:after="0"/>
              <w:rPr>
                <w:sz w:val="20"/>
                <w:szCs w:val="20"/>
                <w:color w:val="auto"/>
              </w:rPr>
            </w:pPr>
            <w:r>
              <w:rPr>
                <w:rFonts w:ascii="Arial" w:cs="Arial" w:eastAsia="Arial" w:hAnsi="Arial"/>
                <w:sz w:val="18"/>
                <w:szCs w:val="18"/>
                <w:color w:val="auto"/>
                <w:w w:val="92"/>
              </w:rPr>
              <w:t>The existence of this corporation is to be perpetual.</w:t>
            </w:r>
          </w:p>
        </w:tc>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The affairs of the corporation are to be conducted by the officers and persons vested by the Bylaws; and such persons are to be chosen at the times and planes fixed by the By-laws.</w:t>
      </w:r>
    </w:p>
    <w:p>
      <w:pPr>
        <w:spacing w:after="0" w:line="170"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The said corporation shall have power to acquire and become seized and possessed of real and personal property without limit or restriction as to amount and to hold, purchase, mortgage, lease and convey such real and personal property in any state or territory of the United States, and in any foreign country or place.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NINTH.</w:t>
            </w:r>
          </w:p>
        </w:tc>
        <w:tc>
          <w:tcPr>
            <w:tcW w:w="9200" w:type="dxa"/>
            <w:vAlign w:val="bottom"/>
          </w:tcPr>
          <w:p>
            <w:pPr>
              <w:ind w:left="160"/>
              <w:spacing w:after="0"/>
              <w:rPr>
                <w:sz w:val="20"/>
                <w:szCs w:val="20"/>
                <w:color w:val="auto"/>
              </w:rPr>
            </w:pPr>
            <w:r>
              <w:rPr>
                <w:rFonts w:ascii="Arial" w:cs="Arial" w:eastAsia="Arial" w:hAnsi="Arial"/>
                <w:sz w:val="18"/>
                <w:szCs w:val="18"/>
                <w:color w:val="auto"/>
                <w:w w:val="95"/>
              </w:rPr>
              <w:t>The amount of the indebtedness or liability which the corporation may at any time inour shall be unlimited unless a limit</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380" w:type="dxa"/>
            <w:vAlign w:val="bottom"/>
            <w:gridSpan w:val="2"/>
          </w:tcPr>
          <w:p>
            <w:pPr>
              <w:spacing w:after="0" w:line="20" w:lineRule="exact"/>
              <w:rPr>
                <w:sz w:val="1"/>
                <w:szCs w:val="1"/>
                <w:color w:val="auto"/>
              </w:rPr>
            </w:pPr>
          </w:p>
        </w:tc>
      </w:tr>
      <w:tr>
        <w:trPr>
          <w:trHeight w:val="237"/>
        </w:trPr>
        <w:tc>
          <w:tcPr>
            <w:tcW w:w="11320" w:type="dxa"/>
            <w:vAlign w:val="bottom"/>
            <w:gridSpan w:val="5"/>
          </w:tcPr>
          <w:p>
            <w:pPr>
              <w:spacing w:after="0"/>
              <w:rPr>
                <w:sz w:val="20"/>
                <w:szCs w:val="20"/>
                <w:color w:val="auto"/>
              </w:rPr>
            </w:pPr>
            <w:r>
              <w:rPr>
                <w:rFonts w:ascii="Arial" w:cs="Arial" w:eastAsia="Arial" w:hAnsi="Arial"/>
                <w:sz w:val="18"/>
                <w:szCs w:val="18"/>
                <w:color w:val="auto"/>
              </w:rPr>
              <w:t>thereto be fixed by the By-laws.</w:t>
            </w:r>
          </w:p>
        </w:tc>
      </w:tr>
      <w:tr>
        <w:trPr>
          <w:trHeight w:val="392"/>
        </w:trPr>
        <w:tc>
          <w:tcPr>
            <w:tcW w:w="130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TENTH.</w:t>
            </w:r>
          </w:p>
        </w:tc>
        <w:tc>
          <w:tcPr>
            <w:tcW w:w="180" w:type="dxa"/>
            <w:vAlign w:val="bottom"/>
          </w:tcPr>
          <w:p>
            <w:pPr>
              <w:spacing w:after="0"/>
              <w:rPr>
                <w:sz w:val="24"/>
                <w:szCs w:val="24"/>
                <w:color w:val="auto"/>
              </w:rPr>
            </w:pPr>
          </w:p>
        </w:tc>
        <w:tc>
          <w:tcPr>
            <w:tcW w:w="9200" w:type="dxa"/>
            <w:vAlign w:val="bottom"/>
          </w:tcPr>
          <w:p>
            <w:pPr>
              <w:ind w:left="180"/>
              <w:spacing w:after="0"/>
              <w:rPr>
                <w:sz w:val="20"/>
                <w:szCs w:val="20"/>
                <w:color w:val="auto"/>
              </w:rPr>
            </w:pPr>
            <w:r>
              <w:rPr>
                <w:rFonts w:ascii="Arial" w:cs="Arial" w:eastAsia="Arial" w:hAnsi="Arial"/>
                <w:sz w:val="18"/>
                <w:szCs w:val="18"/>
                <w:color w:val="auto"/>
                <w:w w:val="90"/>
              </w:rPr>
              <w:t>The private property of the stockholders shall not be subject to the payment of corporate debts to any extent or in any manner</w:t>
            </w:r>
          </w:p>
        </w:tc>
      </w:tr>
      <w:tr>
        <w:trPr>
          <w:trHeight w:val="237"/>
        </w:trPr>
        <w:tc>
          <w:tcPr>
            <w:tcW w:w="2120" w:type="dxa"/>
            <w:vAlign w:val="bottom"/>
            <w:gridSpan w:val="4"/>
          </w:tcPr>
          <w:p>
            <w:pPr>
              <w:spacing w:after="0"/>
              <w:rPr>
                <w:sz w:val="20"/>
                <w:szCs w:val="20"/>
                <w:color w:val="auto"/>
              </w:rPr>
            </w:pPr>
            <w:r>
              <w:rPr>
                <w:rFonts w:ascii="Arial" w:cs="Arial" w:eastAsia="Arial" w:hAnsi="Arial"/>
                <w:sz w:val="18"/>
                <w:szCs w:val="18"/>
                <w:color w:val="auto"/>
              </w:rPr>
              <w:t>whatever.</w:t>
            </w:r>
          </w:p>
        </w:tc>
        <w:tc>
          <w:tcPr>
            <w:tcW w:w="9200" w:type="dxa"/>
            <w:vAlign w:val="bottom"/>
          </w:tcPr>
          <w:p>
            <w:pPr>
              <w:spacing w:after="0"/>
              <w:rPr>
                <w:sz w:val="20"/>
                <w:szCs w:val="20"/>
                <w:color w:val="auto"/>
              </w:rPr>
            </w:pPr>
          </w:p>
        </w:tc>
      </w:tr>
    </w:tbl>
    <w:p>
      <w:pPr>
        <w:spacing w:after="0" w:line="202"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 xml:space="preserve"> The directors shall have power to make and alter the By-laws; to fix the amount to be reserved as working capital and to authorise and cause to be executed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mortgages and liens without limit as to amount upon the property and franchises of the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The By-laws shall determine whether and to what extent the accounts and books of the corporation, or any of them, shall be open to the inspection of the stockholders; and no stockholder shall have any right of inspecting any account or book or document of the corporation except as conferred by law or the By-laws or by resolutions of the stockholders.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The stockholders or directors shall have power to hold their meetings and keep the hooks outside of the State of Delaware, at such places as may be from time to time designated.</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xml:space="preserve"> It is the intention that the objects specified in the third paragraph hereof shall, except where otherwise expressed in said paragraph, be nowise limited or restricted by reference to or inference from the terms of any other clause or paragraph, in the Certificate of Incorporation, but that the object specified in each of the clauses of this charter shall Le regarded as independent objects.</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u w:val="single" w:color="auto"/>
          <w:color w:val="auto"/>
        </w:rPr>
        <w:t>WE, THE UNDERSIGNED.</w:t>
      </w:r>
      <w:r>
        <w:rPr>
          <w:rFonts w:ascii="Arial" w:cs="Arial" w:eastAsia="Arial" w:hAnsi="Arial"/>
          <w:sz w:val="18"/>
          <w:szCs w:val="18"/>
          <w:color w:val="auto"/>
        </w:rPr>
        <w:t xml:space="preserve"> for the purpose of forming corporation under the laws of the State of Delaware, do make, record and filo this certificate and do certify to the facts herein stated are rue; and we have accordingly hereunto act our respective hands and seals. Dated at Wilmington, Delaware, this </w:t>
      </w:r>
      <w:r>
        <w:rPr>
          <w:rFonts w:ascii="Arial" w:cs="Arial" w:eastAsia="Arial" w:hAnsi="Arial"/>
          <w:sz w:val="18"/>
          <w:szCs w:val="18"/>
          <w:i w:val="1"/>
          <w:iCs w:val="1"/>
          <w:color w:val="auto"/>
        </w:rPr>
        <w:t>Seventeenth</w:t>
      </w:r>
      <w:r>
        <w:rPr>
          <w:rFonts w:ascii="Arial" w:cs="Arial" w:eastAsia="Arial" w:hAnsi="Arial"/>
          <w:sz w:val="18"/>
          <w:szCs w:val="18"/>
          <w:color w:val="auto"/>
        </w:rPr>
        <w:t xml:space="preserve"> day of </w:t>
      </w:r>
      <w:r>
        <w:rPr>
          <w:rFonts w:ascii="Arial" w:cs="Arial" w:eastAsia="Arial" w:hAnsi="Arial"/>
          <w:sz w:val="18"/>
          <w:szCs w:val="18"/>
          <w:i w:val="1"/>
          <w:iCs w:val="1"/>
          <w:color w:val="auto"/>
        </w:rPr>
        <w:t>March</w:t>
      </w:r>
      <w:r>
        <w:rPr>
          <w:rFonts w:ascii="Arial" w:cs="Arial" w:eastAsia="Arial" w:hAnsi="Arial"/>
          <w:sz w:val="18"/>
          <w:szCs w:val="18"/>
          <w:color w:val="auto"/>
        </w:rPr>
        <w:t xml:space="preserve"> A.D. 1917.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 the presence of:</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[ILLEGBILE]</w:t>
            </w:r>
          </w:p>
        </w:tc>
        <w:tc>
          <w:tcPr>
            <w:tcW w:w="3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[ILLEGBILE]</w:t>
            </w:r>
          </w:p>
        </w:tc>
        <w:tc>
          <w:tcPr>
            <w:tcW w:w="1100" w:type="dxa"/>
            <w:vAlign w:val="bottom"/>
          </w:tcPr>
          <w:p>
            <w:pPr>
              <w:ind w:left="200"/>
              <w:spacing w:after="0"/>
              <w:rPr>
                <w:sz w:val="20"/>
                <w:szCs w:val="20"/>
                <w:color w:val="auto"/>
              </w:rPr>
            </w:pPr>
            <w:r>
              <w:rPr>
                <w:rFonts w:ascii="Arial" w:cs="Arial" w:eastAsia="Arial" w:hAnsi="Arial"/>
                <w:sz w:val="18"/>
                <w:szCs w:val="18"/>
                <w:color w:val="auto"/>
              </w:rPr>
              <w:t>(SEAL)</w:t>
            </w:r>
          </w:p>
        </w:tc>
      </w:tr>
      <w:tr>
        <w:trPr>
          <w:trHeight w:val="426"/>
        </w:trPr>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[ILLEGBILE]</w:t>
            </w:r>
          </w:p>
        </w:tc>
        <w:tc>
          <w:tcPr>
            <w:tcW w:w="1100" w:type="dxa"/>
            <w:vAlign w:val="bottom"/>
          </w:tcPr>
          <w:p>
            <w:pPr>
              <w:ind w:left="200"/>
              <w:spacing w:after="0"/>
              <w:rPr>
                <w:sz w:val="20"/>
                <w:szCs w:val="20"/>
                <w:color w:val="auto"/>
              </w:rPr>
            </w:pPr>
            <w:r>
              <w:rPr>
                <w:rFonts w:ascii="Arial" w:cs="Arial" w:eastAsia="Arial" w:hAnsi="Arial"/>
                <w:sz w:val="18"/>
                <w:szCs w:val="18"/>
                <w:color w:val="auto"/>
              </w:rPr>
              <w:t>(SEAL)</w:t>
            </w:r>
          </w:p>
        </w:tc>
      </w:tr>
      <w:tr>
        <w:trPr>
          <w:trHeight w:val="426"/>
        </w:trPr>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[ILLEGBILE]</w:t>
            </w:r>
          </w:p>
        </w:tc>
        <w:tc>
          <w:tcPr>
            <w:tcW w:w="1100" w:type="dxa"/>
            <w:vAlign w:val="bottom"/>
          </w:tcPr>
          <w:p>
            <w:pPr>
              <w:ind w:left="200"/>
              <w:spacing w:after="0"/>
              <w:rPr>
                <w:sz w:val="20"/>
                <w:szCs w:val="20"/>
                <w:color w:val="auto"/>
              </w:rPr>
            </w:pPr>
            <w:r>
              <w:rPr>
                <w:rFonts w:ascii="Arial" w:cs="Arial" w:eastAsia="Arial" w:hAnsi="Arial"/>
                <w:sz w:val="18"/>
                <w:szCs w:val="18"/>
                <w:color w:val="auto"/>
              </w:rPr>
              <w:t>(SEAL)</w:t>
            </w:r>
          </w:p>
        </w:tc>
      </w:tr>
      <w:tr>
        <w:trPr>
          <w:trHeight w:val="341"/>
        </w:trPr>
        <w:tc>
          <w:tcPr>
            <w:tcW w:w="230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r>
      <w:tr>
        <w:trPr>
          <w:trHeight w:val="537"/>
        </w:trPr>
        <w:tc>
          <w:tcPr>
            <w:tcW w:w="2300" w:type="dxa"/>
            <w:vAlign w:val="bottom"/>
          </w:tcPr>
          <w:p>
            <w:pPr>
              <w:spacing w:after="0"/>
              <w:rPr>
                <w:sz w:val="20"/>
                <w:szCs w:val="20"/>
                <w:color w:val="auto"/>
              </w:rPr>
            </w:pPr>
            <w:r>
              <w:rPr>
                <w:rFonts w:ascii="Arial" w:cs="Arial" w:eastAsia="Arial" w:hAnsi="Arial"/>
                <w:sz w:val="18"/>
                <w:szCs w:val="18"/>
                <w:color w:val="auto"/>
              </w:rPr>
              <w:t>STATE OF DELAWARE</w:t>
            </w:r>
          </w:p>
        </w:tc>
        <w:tc>
          <w:tcPr>
            <w:tcW w:w="3320" w:type="dxa"/>
            <w:vAlign w:val="bottom"/>
          </w:tcPr>
          <w:p>
            <w:pPr>
              <w:jc w:val="right"/>
              <w:ind w:right="27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-370205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73" w:name="page74"/>
    <w:bookmarkEnd w:id="73"/>
    <w:p>
      <w:pPr>
        <w:ind w:left="3060"/>
        <w:spacing w:after="0"/>
        <w:rPr>
          <w:sz w:val="20"/>
          <w:szCs w:val="20"/>
          <w:color w:val="auto"/>
        </w:rPr>
      </w:pPr>
      <w:r>
        <w:rPr>
          <w:rFonts w:ascii="Arial" w:cs="Arial" w:eastAsia="Arial" w:hAnsi="Arial"/>
          <w:sz w:val="18"/>
          <w:szCs w:val="18"/>
          <w:color w:val="auto"/>
        </w:rPr>
        <w:t>SS</w:t>
      </w:r>
    </w:p>
    <w:p>
      <w:pPr>
        <w:spacing w:after="0" w:line="23"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COUNTY OF NEW CASTLE</w:t>
      </w:r>
      <w:r>
        <w:rPr>
          <w:sz w:val="20"/>
          <w:szCs w:val="20"/>
          <w:color w:val="auto"/>
        </w:rPr>
        <w:tab/>
      </w:r>
      <w:r>
        <w:rPr>
          <w:rFonts w:ascii="Arial" w:cs="Arial" w:eastAsia="Arial" w:hAnsi="Arial"/>
          <w:sz w:val="15"/>
          <w:szCs w:val="15"/>
          <w:color w:val="auto"/>
        </w:rPr>
        <w:t>|</w:t>
      </w:r>
    </w:p>
    <w:p>
      <w:pPr>
        <w:spacing w:after="0" w:line="211" w:lineRule="exact"/>
        <w:rPr>
          <w:sz w:val="20"/>
          <w:szCs w:val="20"/>
          <w:color w:val="auto"/>
        </w:rPr>
      </w:pPr>
    </w:p>
    <w:p>
      <w:pPr>
        <w:ind w:left="1300"/>
        <w:spacing w:after="0"/>
        <w:tabs>
          <w:tab w:leader="none" w:pos="8920" w:val="left"/>
          <w:tab w:leader="none" w:pos="10080" w:val="left"/>
        </w:tabs>
        <w:rPr>
          <w:sz w:val="20"/>
          <w:szCs w:val="20"/>
          <w:color w:val="auto"/>
        </w:rPr>
      </w:pPr>
      <w:r>
        <w:rPr>
          <w:rFonts w:ascii="Arial" w:cs="Arial" w:eastAsia="Arial" w:hAnsi="Arial"/>
          <w:sz w:val="18"/>
          <w:szCs w:val="18"/>
          <w:color w:val="auto"/>
        </w:rPr>
        <w:t>BE IT REMEMBERED, that on this Seventeenth day of March, A.D. 1917, personally came before me</w:t>
        <w:tab/>
        <w:t>[illegible]</w:t>
      </w:r>
      <w:r>
        <w:rPr>
          <w:sz w:val="20"/>
          <w:szCs w:val="20"/>
          <w:color w:val="auto"/>
        </w:rPr>
        <w:tab/>
      </w:r>
      <w:r>
        <w:rPr>
          <w:rFonts w:ascii="Arial" w:cs="Arial" w:eastAsia="Arial" w:hAnsi="Arial"/>
          <w:sz w:val="16"/>
          <w:szCs w:val="16"/>
          <w:color w:val="auto"/>
        </w:rPr>
        <w:t>a Notary Public</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State of Delaware, Robert Penington. Samuel H. Baynard, Jr. and Lillian A. Erownhill, parties to the foregoing Certificate of Incorporation, known to me personally to be such, and severally acknowledged the said certificate to be the sot and deed of the signers respectively, and that the facts therein stated are truly set forth.</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GIVEN under my hand and seal of office the day and year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152400</wp:posOffset>
            </wp:positionV>
            <wp:extent cx="909320" cy="875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9093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/s/ [ILLEGIBLE]</w:t>
      </w:r>
    </w:p>
    <w:p>
      <w:pPr>
        <w:spacing w:after="0" w:line="36" w:lineRule="exact"/>
        <w:rPr>
          <w:sz w:val="20"/>
          <w:szCs w:val="20"/>
          <w:color w:val="auto"/>
        </w:rPr>
      </w:pPr>
    </w:p>
    <w:p>
      <w:pPr>
        <w:jc w:val="center"/>
        <w:ind w:left="41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24872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Apostille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(Convention de La Haye du 5 Octobre 1961)</w:t>
      </w:r>
    </w:p>
    <w:p>
      <w:pPr>
        <w:spacing w:after="0" w:line="225" w:lineRule="exact"/>
        <w:rPr>
          <w:sz w:val="20"/>
          <w:szCs w:val="20"/>
          <w:color w:val="auto"/>
        </w:rPr>
      </w:pPr>
    </w:p>
    <w:p>
      <w:pPr>
        <w:ind w:left="460" w:right="8460" w:hanging="452"/>
        <w:spacing w:after="0" w:line="501" w:lineRule="auto"/>
        <w:tabs>
          <w:tab w:leader="none" w:pos="465"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Country: United States of America This public document:</w:t>
      </w:r>
    </w:p>
    <w:p>
      <w:pPr>
        <w:ind w:left="460" w:hanging="452"/>
        <w:spacing w:after="0"/>
        <w:tabs>
          <w:tab w:leader="none" w:pos="4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has been signed by Jeffrey W. Bullock</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acting in the capacity of Secretary of State of Delaware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bears the seal/stamp of Office of Secretary of State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Certified</w:t>
      </w:r>
    </w:p>
    <w:p>
      <w:pPr>
        <w:spacing w:after="0" w:line="229"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at Dover, Delaware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the thirtieth day of June, A.D. 2009</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by Secretary of State, Delaware Department of State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No. 0389367</w:t>
      </w:r>
    </w:p>
    <w:p>
      <w:pPr>
        <w:spacing w:after="0" w:line="225" w:lineRule="exact"/>
        <w:rPr>
          <w:sz w:val="20"/>
          <w:szCs w:val="20"/>
          <w:color w:val="auto"/>
        </w:rPr>
      </w:pPr>
    </w:p>
    <w:p>
      <w:pPr>
        <w:spacing w:after="0"/>
        <w:tabs>
          <w:tab w:leader="none" w:pos="440" w:val="left"/>
          <w:tab w:leader="none" w:pos="8600" w:val="left"/>
          <w:tab w:leader="none" w:pos="9060" w:val="left"/>
        </w:tabs>
        <w:rPr>
          <w:sz w:val="20"/>
          <w:szCs w:val="20"/>
          <w:color w:val="auto"/>
        </w:rPr>
      </w:pPr>
      <w:r>
        <w:rPr>
          <w:rFonts w:ascii="Arial" w:cs="Arial" w:eastAsia="Arial" w:hAnsi="Arial"/>
          <w:sz w:val="18"/>
          <w:szCs w:val="18"/>
          <w:i w:val="1"/>
          <w:iCs w:val="1"/>
          <w:color w:val="auto"/>
        </w:rPr>
        <w:t>9.</w:t>
      </w:r>
      <w:r>
        <w:rPr>
          <w:sz w:val="20"/>
          <w:szCs w:val="20"/>
          <w:color w:val="auto"/>
        </w:rPr>
        <w:tab/>
      </w:r>
      <w:r>
        <w:rPr>
          <w:rFonts w:ascii="Arial" w:cs="Arial" w:eastAsia="Arial" w:hAnsi="Arial"/>
          <w:sz w:val="18"/>
          <w:szCs w:val="18"/>
          <w:i w:val="1"/>
          <w:iCs w:val="1"/>
          <w:color w:val="auto"/>
        </w:rPr>
        <w:t>Seal/Stamp:</w:t>
      </w:r>
      <w:r>
        <w:rPr>
          <w:sz w:val="20"/>
          <w:szCs w:val="20"/>
          <w:color w:val="auto"/>
        </w:rPr>
        <w:tab/>
      </w:r>
      <w:r>
        <w:rPr>
          <w:rFonts w:ascii="Arial" w:cs="Arial" w:eastAsia="Arial" w:hAnsi="Arial"/>
          <w:sz w:val="18"/>
          <w:szCs w:val="18"/>
          <w:i w:val="1"/>
          <w:iCs w:val="1"/>
          <w:color w:val="auto"/>
        </w:rPr>
        <w:t>10.</w:t>
      </w:r>
      <w:r>
        <w:rPr>
          <w:sz w:val="20"/>
          <w:szCs w:val="20"/>
          <w:color w:val="auto"/>
        </w:rPr>
        <w:tab/>
      </w:r>
      <w:r>
        <w:rPr>
          <w:rFonts w:ascii="Arial" w:cs="Arial" w:eastAsia="Arial" w:hAnsi="Arial"/>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-121920</wp:posOffset>
            </wp:positionV>
            <wp:extent cx="943610" cy="943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94361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-130810</wp:posOffset>
            </wp:positionV>
            <wp:extent cx="17754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Delaware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first State</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CHANGE OF REGISTERED AGENT OF “DELAWARE CHARTER COMPANY”, FILED IN THIS OFFICE ON THE EIGHTH DAY OF NOVEMBER, A.D. 1963, AT 9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809750" cy="11322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180975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AUTHENTICATION:  7391400</w:t>
      </w:r>
    </w:p>
    <w:p>
      <w:pPr>
        <w:spacing w:after="0" w:line="224" w:lineRule="exact"/>
        <w:rPr>
          <w:sz w:val="20"/>
          <w:szCs w:val="20"/>
          <w:color w:val="auto"/>
        </w:rPr>
      </w:pPr>
    </w:p>
    <w:p>
      <w:pPr>
        <w:ind w:left="8120"/>
        <w:spacing w:after="0"/>
        <w:rPr>
          <w:sz w:val="20"/>
          <w:szCs w:val="20"/>
          <w:color w:val="auto"/>
        </w:rPr>
      </w:pPr>
      <w:r>
        <w:rPr>
          <w:rFonts w:ascii="Arial" w:cs="Arial" w:eastAsia="Arial" w:hAnsi="Arial"/>
          <w:sz w:val="18"/>
          <w:szCs w:val="18"/>
          <w:i w:val="1"/>
          <w:iCs w:val="1"/>
          <w:color w:val="auto"/>
        </w:rPr>
        <w:t>DATE:  06-30-09</w:t>
      </w:r>
    </w:p>
    <w:p>
      <w:pPr>
        <w:sectPr>
          <w:pgSz w:w="11900" w:h="16838" w:orient="portrait"/>
          <w:cols w:equalWidth="0" w:num="1">
            <w:col w:w="11420"/>
          </w:cols>
          <w:pgMar w:left="240" w:top="125" w:right="239" w:bottom="111"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74" w:name="page75"/>
    <w:bookmarkEnd w:id="74"/>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CHANGE OF LOCATION OF PRINCIPAL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AND RESIDENT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CHARTER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The board of directors of the , DELAWARE CHARTER COMPANY a corporation of Delaware, on this Seventh day of November A. D. 1963. do hereby resolve and order that the location of the principal office of this corporation within this State be and the same hereby is 900 Market Street</w:t>
      </w:r>
      <w:r>
        <w:rPr>
          <w:rFonts w:ascii="Arial" w:cs="Arial" w:eastAsia="Arial" w:hAnsi="Arial"/>
          <w:sz w:val="18"/>
          <w:szCs w:val="18"/>
          <w:i w:val="1"/>
          <w:iCs w:val="1"/>
          <w:color w:val="auto"/>
        </w:rPr>
        <w:t>,</w:t>
      </w:r>
      <w:r>
        <w:rPr>
          <w:rFonts w:ascii="Arial" w:cs="Arial" w:eastAsia="Arial" w:hAnsi="Arial"/>
          <w:sz w:val="18"/>
          <w:szCs w:val="18"/>
          <w:color w:val="auto"/>
        </w:rPr>
        <w:t xml:space="preserve"> in the City of Wilmington in the County of New Castle.</w:t>
      </w:r>
    </w:p>
    <w:p>
      <w:pPr>
        <w:spacing w:after="0" w:line="181"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The name of the agent therein and in charge thereof upon whom process against this Corporation may be served is CORPORATION SERVICE COMPANY.</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The DELAWARE CHARTER COMPANY, a corporation of Delaware, doth hereby certify that the foregoing is a true copy of a resolution adopted by the board of directors at a meeting held as herein stated.</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said corporation has caused this certificate to be signed by its President Asst. and/Secretary, and its corporate seal to be hereto affixed, the seventh day of November, A. D. 1963.</w:t>
      </w:r>
    </w:p>
    <w:p>
      <w:pPr>
        <w:spacing w:after="0" w:line="170" w:lineRule="exact"/>
        <w:rPr>
          <w:sz w:val="20"/>
          <w:szCs w:val="20"/>
          <w:color w:val="auto"/>
        </w:rPr>
      </w:pPr>
    </w:p>
    <w:p>
      <w:pPr>
        <w:ind w:left="58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43610" cy="1475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943610" cy="147510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[ILLEGIBLE]</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Asst.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-130175</wp:posOffset>
            </wp:positionV>
            <wp:extent cx="32073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810260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Apostille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(Convention de La Haye du 5 Octobre 1961)</w:t>
      </w:r>
    </w:p>
    <w:p>
      <w:pPr>
        <w:spacing w:after="0" w:line="225" w:lineRule="exact"/>
        <w:rPr>
          <w:sz w:val="20"/>
          <w:szCs w:val="20"/>
          <w:color w:val="auto"/>
        </w:rPr>
      </w:pPr>
    </w:p>
    <w:p>
      <w:pPr>
        <w:ind w:left="460" w:right="8460" w:hanging="452"/>
        <w:spacing w:after="0" w:line="501" w:lineRule="auto"/>
        <w:tabs>
          <w:tab w:leader="none" w:pos="465"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Country: United States of America This public document:</w:t>
      </w:r>
    </w:p>
    <w:p>
      <w:pPr>
        <w:ind w:left="460" w:hanging="452"/>
        <w:spacing w:after="0"/>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has been signed by Jeffrey w. Bullock</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acting in the capacity of Secretary of State of Delaware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bears the seal/stamp of Office of Secretary of State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Certified</w:t>
      </w:r>
    </w:p>
    <w:p>
      <w:pPr>
        <w:spacing w:after="0" w:line="22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at Dover, Delaware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the thirtieth day of June, A.D. 2009</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by Secretary of State, Delaware Department of State</w:t>
      </w:r>
    </w:p>
    <w:p>
      <w:pPr>
        <w:spacing w:after="0" w:line="225" w:lineRule="exact"/>
        <w:rPr>
          <w:rFonts w:ascii="Arial" w:cs="Arial" w:eastAsia="Arial" w:hAnsi="Arial"/>
          <w:sz w:val="18"/>
          <w:szCs w:val="18"/>
          <w:i w:val="1"/>
          <w:iCs w:val="1"/>
          <w:color w:val="auto"/>
        </w:rPr>
      </w:pPr>
    </w:p>
    <w:p>
      <w:pPr>
        <w:ind w:left="460" w:hanging="452"/>
        <w:spacing w:after="0"/>
        <w:tabs>
          <w:tab w:leader="none" w:pos="4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No. 0389368</w:t>
      </w:r>
    </w:p>
    <w:p>
      <w:pPr>
        <w:spacing w:after="0" w:line="225" w:lineRule="exact"/>
        <w:rPr>
          <w:sz w:val="20"/>
          <w:szCs w:val="20"/>
          <w:color w:val="auto"/>
        </w:rPr>
      </w:pPr>
    </w:p>
    <w:p>
      <w:pPr>
        <w:spacing w:after="0"/>
        <w:tabs>
          <w:tab w:leader="none" w:pos="440" w:val="left"/>
          <w:tab w:leader="none" w:pos="8600" w:val="left"/>
          <w:tab w:leader="none" w:pos="9060" w:val="left"/>
        </w:tabs>
        <w:rPr>
          <w:sz w:val="20"/>
          <w:szCs w:val="20"/>
          <w:color w:val="auto"/>
        </w:rPr>
      </w:pPr>
      <w:r>
        <w:rPr>
          <w:rFonts w:ascii="Arial" w:cs="Arial" w:eastAsia="Arial" w:hAnsi="Arial"/>
          <w:sz w:val="18"/>
          <w:szCs w:val="18"/>
          <w:i w:val="1"/>
          <w:iCs w:val="1"/>
          <w:color w:val="auto"/>
        </w:rPr>
        <w:t>9.</w:t>
      </w:r>
      <w:r>
        <w:rPr>
          <w:sz w:val="20"/>
          <w:szCs w:val="20"/>
          <w:color w:val="auto"/>
        </w:rPr>
        <w:tab/>
      </w:r>
      <w:r>
        <w:rPr>
          <w:rFonts w:ascii="Arial" w:cs="Arial" w:eastAsia="Arial" w:hAnsi="Arial"/>
          <w:sz w:val="18"/>
          <w:szCs w:val="18"/>
          <w:i w:val="1"/>
          <w:iCs w:val="1"/>
          <w:color w:val="auto"/>
        </w:rPr>
        <w:t>Seal/Stamp:</w:t>
      </w:r>
      <w:r>
        <w:rPr>
          <w:sz w:val="20"/>
          <w:szCs w:val="20"/>
          <w:color w:val="auto"/>
        </w:rPr>
        <w:tab/>
      </w:r>
      <w:r>
        <w:rPr>
          <w:rFonts w:ascii="Arial" w:cs="Arial" w:eastAsia="Arial" w:hAnsi="Arial"/>
          <w:sz w:val="18"/>
          <w:szCs w:val="18"/>
          <w:i w:val="1"/>
          <w:iCs w:val="1"/>
          <w:color w:val="auto"/>
        </w:rPr>
        <w:t>10.</w:t>
      </w:r>
      <w:r>
        <w:rPr>
          <w:sz w:val="20"/>
          <w:szCs w:val="20"/>
          <w:color w:val="auto"/>
        </w:rPr>
        <w:tab/>
      </w:r>
      <w:r>
        <w:rPr>
          <w:rFonts w:ascii="Arial" w:cs="Arial" w:eastAsia="Arial" w:hAnsi="Arial"/>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-121920</wp:posOffset>
            </wp:positionV>
            <wp:extent cx="943610" cy="926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94361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-130810</wp:posOffset>
            </wp:positionV>
            <wp:extent cx="17754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Delaware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first State</w:t>
      </w:r>
    </w:p>
    <w:p>
      <w:pPr>
        <w:sectPr>
          <w:pgSz w:w="11900" w:h="16861" w:orient="portrait"/>
          <w:cols w:equalWidth="0" w:num="1">
            <w:col w:w="11420"/>
          </w:cols>
          <w:pgMar w:left="240" w:top="337" w:right="239" w:bottom="0" w:gutter="0" w:footer="0" w:header="0"/>
        </w:sectPr>
      </w:pPr>
    </w:p>
    <w:bookmarkStart w:id="75" w:name="page76"/>
    <w:bookmarkEnd w:id="75"/>
    <w:p>
      <w:pPr>
        <w:ind w:right="8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RESTATED CERTIFICATE OF “DELAWARE CHARTER COMPANY”, CHANGING ITS NAME FROM “DELAWARE CHARTER COMPANY” TO “CSC TRUST COMPANY OF DELAWARE”, FILED IN THIS OFFICE ON THE SIXTH DAY OF FEBRUARY, A.D. 2006, AT 12:01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809750" cy="11404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180975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AUTHENTICATION:  7391401</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i w:val="1"/>
          <w:iCs w:val="1"/>
          <w:color w:val="auto"/>
        </w:rPr>
        <w:t>DATE:  06-30-09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 xml:space="preserve">State of </w:t>
      </w:r>
      <w:r>
        <w:rPr>
          <w:rFonts w:ascii="Arial" w:cs="Arial" w:eastAsia="Arial" w:hAnsi="Arial"/>
          <w:sz w:val="18"/>
          <w:szCs w:val="18"/>
          <w:i w:val="1"/>
          <w:iCs w:val="1"/>
          <w:color w:val="auto"/>
        </w:rPr>
        <w:t>Delaware</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 xml:space="preserve">Division </w:t>
      </w:r>
      <w:r>
        <w:rPr>
          <w:rFonts w:ascii="Arial" w:cs="Arial" w:eastAsia="Arial" w:hAnsi="Arial"/>
          <w:sz w:val="18"/>
          <w:szCs w:val="18"/>
          <w:color w:val="auto"/>
        </w:rPr>
        <w:t>of</w:t>
      </w:r>
      <w:r>
        <w:rPr>
          <w:rFonts w:ascii="Arial" w:cs="Arial" w:eastAsia="Arial" w:hAnsi="Arial"/>
          <w:sz w:val="18"/>
          <w:szCs w:val="18"/>
          <w:i w:val="1"/>
          <w:iCs w:val="1"/>
          <w:color w:val="auto"/>
        </w:rPr>
        <w:t xml:space="preserve"> Corporations</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Delivered 12:03 FM 02/06/2006</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FILED 12:01 FM 02/06/2006</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[ILLEGIBLE] 060109789 - 0061202 FILE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RESTATED CERTIFICATE OF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DELAWARE CHARTER COMPANY</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(Originally incorporated on March 19, 1917</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under the name Delaware Charter Company)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The name of the corporation is “CSC TRUST COMPANY OF DELAWARE” (the “Company”).</w:t>
      </w:r>
    </w:p>
    <w:p>
      <w:pPr>
        <w:spacing w:after="0" w:line="225" w:lineRule="exact"/>
        <w:rPr>
          <w:sz w:val="20"/>
          <w:szCs w:val="20"/>
          <w:color w:val="auto"/>
        </w:rPr>
      </w:pPr>
    </w:p>
    <w:p>
      <w:pPr>
        <w:ind w:right="320" w:firstLine="972"/>
        <w:spacing w:after="0" w:line="277"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The location of the Company’s registered office in the State of Delaware shall be 2711 Centerville Road, Suite 210, Wilmington, County of New Castle, Delaware. The Company shall be its own registered agent at such address.</w:t>
      </w:r>
    </w:p>
    <w:p>
      <w:pPr>
        <w:spacing w:after="0" w:line="170" w:lineRule="exact"/>
        <w:rPr>
          <w:sz w:val="20"/>
          <w:szCs w:val="20"/>
          <w:color w:val="auto"/>
        </w:rPr>
      </w:pPr>
    </w:p>
    <w:p>
      <w:pPr>
        <w:ind w:right="160" w:firstLine="972"/>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That the objects for which the Company is formed are to do any and all of the things herein set forth to the said extent as natural persons might or could do, and in any part of the world, as principals, agents, contractors, trustees, or otherwise and either alone or in company with others, and the Company shall have the following powers:</w:t>
      </w:r>
    </w:p>
    <w:p>
      <w:pPr>
        <w:spacing w:after="0" w:line="181" w:lineRule="exact"/>
        <w:rPr>
          <w:sz w:val="20"/>
          <w:szCs w:val="20"/>
          <w:color w:val="auto"/>
        </w:rPr>
      </w:pPr>
    </w:p>
    <w:p>
      <w:pPr>
        <w:ind w:right="80" w:firstLine="1045"/>
        <w:spacing w:after="0" w:line="264" w:lineRule="auto"/>
        <w:tabs>
          <w:tab w:leader="none" w:pos="16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same extent and in the same manner as a natural person might now or could hereafter do, to act as the agent of, and to represent domestic and foreign corporations or other entities and to act as the agent upon whom process against all such corporations or other entities and all notices, official or otherwise, may be served.</w:t>
      </w:r>
    </w:p>
    <w:p>
      <w:pPr>
        <w:spacing w:after="0" w:line="181" w:lineRule="exact"/>
        <w:rPr>
          <w:rFonts w:ascii="Arial" w:cs="Arial" w:eastAsia="Arial" w:hAnsi="Arial"/>
          <w:sz w:val="18"/>
          <w:szCs w:val="18"/>
          <w:color w:val="auto"/>
        </w:rPr>
      </w:pPr>
    </w:p>
    <w:p>
      <w:pPr>
        <w:ind w:right="340" w:firstLine="1045"/>
        <w:spacing w:after="0" w:line="264" w:lineRule="auto"/>
        <w:tabs>
          <w:tab w:leader="none" w:pos="16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and in behalf of such corporations or other entities to apply, to obtain and procure to be issued by the Secretary of State of Delaware, or by like officers in other states of the United States of America, and elsewhere, or by other officials in accordance with the law, certificate or certificates authorizing such corporations or other entities to transact business.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60" w:firstLine="1045"/>
        <w:spacing w:after="0" w:line="264" w:lineRule="auto"/>
        <w:tabs>
          <w:tab w:leader="none" w:pos="16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provide, to keep, to maintain for and on behalf of and as the agent of such corporations and other entities offices principal or otherwise, and therein to keep transfer or other books and documents, records and property of every sort and kind, of such corporations and other entities, for all purposes, including, without limitation, the transfer of stock.</w:t>
      </w:r>
    </w:p>
    <w:p>
      <w:pPr>
        <w:spacing w:after="0" w:line="181" w:lineRule="exact"/>
        <w:rPr>
          <w:rFonts w:ascii="Arial" w:cs="Arial" w:eastAsia="Arial" w:hAnsi="Arial"/>
          <w:sz w:val="18"/>
          <w:szCs w:val="18"/>
          <w:color w:val="auto"/>
        </w:rPr>
      </w:pPr>
    </w:p>
    <w:p>
      <w:pPr>
        <w:ind w:right="180" w:firstLine="1045"/>
        <w:spacing w:after="0" w:line="342" w:lineRule="auto"/>
        <w:tabs>
          <w:tab w:leader="none" w:pos="16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keep and maintain safe deposit vaults and books and to take and receive upon deposit for safe keeping and storage, stocks, bonds, securities, papers, books and documentary record and personal property of every kind or sort, and to let out vaults, safes and other receptacles.</w:t>
      </w:r>
    </w:p>
    <w:p>
      <w:pPr>
        <w:spacing w:after="0" w:line="123" w:lineRule="exact"/>
        <w:rPr>
          <w:rFonts w:ascii="Arial" w:cs="Arial" w:eastAsia="Arial" w:hAnsi="Arial"/>
          <w:sz w:val="16"/>
          <w:szCs w:val="16"/>
          <w:color w:val="auto"/>
        </w:rPr>
      </w:pPr>
    </w:p>
    <w:p>
      <w:pPr>
        <w:jc w:val="both"/>
        <w:ind w:right="80" w:firstLine="1045"/>
        <w:spacing w:after="0" w:line="264" w:lineRule="auto"/>
        <w:tabs>
          <w:tab w:leader="none" w:pos="16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promote, act as fiscal agent for, and to organize, reorganize, merge, consolidate, dissolve or otherwise assist, and afford facilities to any corporation or other entities organized or to be organized under the laws of the State of Delaware, or elsewhere, and to act as the agent, trustee or in any other capacity for and in behalf of such corporations or other entities.</w:t>
      </w:r>
    </w:p>
    <w:p>
      <w:pPr>
        <w:spacing w:after="0" w:line="181" w:lineRule="exact"/>
        <w:rPr>
          <w:rFonts w:ascii="Arial" w:cs="Arial" w:eastAsia="Arial" w:hAnsi="Arial"/>
          <w:sz w:val="18"/>
          <w:szCs w:val="18"/>
          <w:color w:val="auto"/>
        </w:rPr>
      </w:pPr>
    </w:p>
    <w:p>
      <w:pPr>
        <w:ind w:right="120" w:firstLine="1045"/>
        <w:spacing w:after="0" w:line="308" w:lineRule="auto"/>
        <w:tabs>
          <w:tab w:leader="none" w:pos="162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act as the fiscal or transfer agent of any state, municipality, body politic, corporation or other entity and in such capacity to receive and disburse money and to transfer, register and countersign certificates of stock, receipts, bonds or other evidences of indebtedness.</w:t>
      </w:r>
    </w:p>
    <w:p>
      <w:pPr>
        <w:spacing w:after="0" w:line="146" w:lineRule="exact"/>
        <w:rPr>
          <w:rFonts w:ascii="Arial" w:cs="Arial" w:eastAsia="Arial" w:hAnsi="Arial"/>
          <w:sz w:val="17"/>
          <w:szCs w:val="17"/>
          <w:color w:val="auto"/>
        </w:rPr>
      </w:pPr>
    </w:p>
    <w:p>
      <w:pPr>
        <w:ind w:firstLine="1045"/>
        <w:spacing w:after="0" w:line="277" w:lineRule="auto"/>
        <w:tabs>
          <w:tab w:leader="none" w:pos="16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act as the trustee for the holders of, or otherwise, in relation to any bonds, stocks, certificates or debentures issued or to be issued by any corporation or other entity.</w:t>
      </w:r>
    </w:p>
    <w:p>
      <w:pPr>
        <w:spacing w:after="0" w:line="170" w:lineRule="exact"/>
        <w:rPr>
          <w:rFonts w:ascii="Arial" w:cs="Arial" w:eastAsia="Arial" w:hAnsi="Arial"/>
          <w:sz w:val="18"/>
          <w:szCs w:val="18"/>
          <w:color w:val="auto"/>
        </w:rPr>
      </w:pPr>
    </w:p>
    <w:p>
      <w:pPr>
        <w:ind w:right="440" w:firstLine="1045"/>
        <w:spacing w:after="0" w:line="277" w:lineRule="auto"/>
        <w:tabs>
          <w:tab w:leader="none" w:pos="16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act as trustee under any mortgage or bond issued by any municipality, body politic, corporation, person or association or other entity, and accept and execute any other municipal or corporate trust not inconsistent with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-3014345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76" w:name="page77"/>
    <w:bookmarkEnd w:id="76"/>
    <w:p>
      <w:pPr>
        <w:ind w:left="5660" w:right="540" w:hanging="4615"/>
        <w:spacing w:after="0" w:line="528" w:lineRule="auto"/>
        <w:tabs>
          <w:tab w:leader="none" w:pos="16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act as the registrar of stocks, bonds, certificates and debentures, and transfer agent thereof for corporations and other entities. 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20" w:firstLine="1045"/>
        <w:spacing w:after="0" w:line="279" w:lineRule="auto"/>
        <w:tabs>
          <w:tab w:leader="none" w:pos="162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take, accept and execute any and all such trusts, powers or receiverships of whatever nature or description as may be conferred upon or entrusted or committed to the Company by any person or persons or any body politic, corporation, other entity or other authority by grant, assignment, transfer, devise, bequest or otherwise (or which may be entrusted or committed or transferred to it or vested in it by order of any Court of record) and to receive and take and hold any property or estate, real or personal, which may be the subject or any such trust or receivership.</w:t>
      </w:r>
    </w:p>
    <w:p>
      <w:pPr>
        <w:spacing w:after="0" w:line="171" w:lineRule="exact"/>
        <w:rPr>
          <w:rFonts w:ascii="Arial" w:cs="Arial" w:eastAsia="Arial" w:hAnsi="Arial"/>
          <w:sz w:val="17"/>
          <w:szCs w:val="17"/>
          <w:color w:val="auto"/>
        </w:rPr>
      </w:pPr>
    </w:p>
    <w:p>
      <w:pPr>
        <w:ind w:left="1640" w:hanging="595"/>
        <w:spacing w:after="0"/>
        <w:tabs>
          <w:tab w:leader="none" w:pos="1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enter into, make, perform and carry on contracts of every kind with any person, firm, association, corporation or other entity.</w:t>
      </w:r>
    </w:p>
    <w:p>
      <w:pPr>
        <w:spacing w:after="0" w:line="236" w:lineRule="exact"/>
        <w:rPr>
          <w:rFonts w:ascii="Arial" w:cs="Arial" w:eastAsia="Arial" w:hAnsi="Arial"/>
          <w:sz w:val="17"/>
          <w:szCs w:val="17"/>
          <w:color w:val="auto"/>
        </w:rPr>
      </w:pPr>
    </w:p>
    <w:p>
      <w:pPr>
        <w:ind w:right="80" w:firstLine="1045"/>
        <w:spacing w:after="0" w:line="259" w:lineRule="auto"/>
        <w:tabs>
          <w:tab w:leader="none" w:pos="16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purchase or otherwise acquire, to hold, sell, assign, transfer, mortgage, pledge, exchange or otherwise dispose of and to guarantee, underwrite, register and transfer bonds, mortgages, debentures, obligations or shares of any corporation or other entity, to exercise, while the owner or trustee thereof, all the rights, powers and privileges including the right to vote thereon which natural persons being the owner of such shares and property, might, could or would exercise.</w:t>
      </w:r>
    </w:p>
    <w:p>
      <w:pPr>
        <w:spacing w:after="0" w:line="186" w:lineRule="exact"/>
        <w:rPr>
          <w:rFonts w:ascii="Arial" w:cs="Arial" w:eastAsia="Arial" w:hAnsi="Arial"/>
          <w:sz w:val="18"/>
          <w:szCs w:val="18"/>
          <w:color w:val="auto"/>
        </w:rPr>
      </w:pPr>
    </w:p>
    <w:p>
      <w:pPr>
        <w:ind w:right="260" w:firstLine="1045"/>
        <w:spacing w:after="0" w:line="277" w:lineRule="auto"/>
        <w:tabs>
          <w:tab w:leader="none" w:pos="16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same extent as natural persons might or could do, to purchase or otherwise acquire, to hold, own, to mortgage, sell, convey or otherwise dispose of, without limit as to amount, real and personal property of any class or description.</w:t>
      </w:r>
    </w:p>
    <w:p>
      <w:pPr>
        <w:spacing w:after="0" w:line="170" w:lineRule="exact"/>
        <w:rPr>
          <w:rFonts w:ascii="Arial" w:cs="Arial" w:eastAsia="Arial" w:hAnsi="Arial"/>
          <w:sz w:val="18"/>
          <w:szCs w:val="18"/>
          <w:color w:val="auto"/>
        </w:rPr>
      </w:pPr>
    </w:p>
    <w:p>
      <w:pPr>
        <w:ind w:right="40" w:firstLine="1045"/>
        <w:spacing w:after="0" w:line="286" w:lineRule="auto"/>
        <w:tabs>
          <w:tab w:leader="none" w:pos="16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perform the business of appraisal or audit companies and to examine, audit, appraise and report upon the accounts and financial condition of corporations, partnerships, other entities and individuals and to appraise or examine and report upon the condition of railroad, manufacturing and other properties and for the information of investors, financial institutes, borrowers of money or purchasers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-2880360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045"/>
        <w:spacing w:after="0" w:line="264" w:lineRule="auto"/>
        <w:tabs>
          <w:tab w:leader="none" w:pos="16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do all and everything suitable or proper for the accomplishment of any of the purposes or attainment of any of the objects hereinbefore enumerated, or which shall at the time appear conducive or expedient for the protection or benefits of the company and in general to engage in any and all lawful businesses whatever and wherever necessary or convenient.</w:t>
      </w:r>
    </w:p>
    <w:p>
      <w:pPr>
        <w:spacing w:after="0" w:line="181" w:lineRule="exact"/>
        <w:rPr>
          <w:rFonts w:ascii="Arial" w:cs="Arial" w:eastAsia="Arial" w:hAnsi="Arial"/>
          <w:sz w:val="18"/>
          <w:szCs w:val="18"/>
          <w:color w:val="auto"/>
        </w:rPr>
      </w:pPr>
    </w:p>
    <w:p>
      <w:pPr>
        <w:ind w:firstLine="1045"/>
        <w:spacing w:after="0" w:line="290" w:lineRule="auto"/>
        <w:tabs>
          <w:tab w:leader="none" w:pos="16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act as the agent, attorney, factor, proxy or broker of any person or persons, corporation or corporations or other entities, for any and all purposes whatever to the same extent as a natural person might or could do, and to provide natural persons, corporations or other entities to act in any and all such capacities. To obtain and acquire by purchase or any other lawful manner, information, statistics, facts and circumstances of, relating to, or affecting the business, capital, deeds, solvency, credit, responsibility and commercial condition and standing of any and all individuals, firms, associations, corporations and other entities engaged in, or connected with, any business, occupation, industry or employment in any part of the world and particularly in and throughout the United States of America and Canada, and to dispose of, sell, loan, pledge, hire and use in any and all lawful ways, the information, statistics, facts and circumstances so obtained and acquired. To act as the attorney, agent or proxy of the holders of stocks, bonds or debentures in any corporation or corporations or other entities organized or which may hereafter be organized, and as such to provide natural persons to so act.</w:t>
      </w: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7"/>
          <w:szCs w:val="17"/>
          <w:u w:val="single" w:color="auto"/>
          <w:color w:val="auto"/>
        </w:rPr>
        <w:t>IN FURTHERANCE AND NOT IN LIMITATION</w:t>
      </w:r>
      <w:r>
        <w:rPr>
          <w:rFonts w:ascii="Arial" w:cs="Arial" w:eastAsia="Arial" w:hAnsi="Arial"/>
          <w:sz w:val="17"/>
          <w:szCs w:val="17"/>
          <w:color w:val="auto"/>
        </w:rPr>
        <w:t xml:space="preserve"> of the general powers conferred by the laws of Delaware, it is expressly provided that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also have the following powers:</w:t>
      </w:r>
    </w:p>
    <w:p>
      <w:pPr>
        <w:spacing w:after="0" w:line="211" w:lineRule="exact"/>
        <w:rPr>
          <w:sz w:val="20"/>
          <w:szCs w:val="20"/>
          <w:color w:val="auto"/>
        </w:rPr>
      </w:pPr>
    </w:p>
    <w:p>
      <w:pPr>
        <w:ind w:right="100" w:firstLine="1045"/>
        <w:spacing w:after="0" w:line="277" w:lineRule="auto"/>
        <w:tabs>
          <w:tab w:leader="none" w:pos="16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take, own, hold, deal in, mortgage or otherwise, lien and to lease, sell, exchange, transfer or in any manner whatever dispose of real property wherever situated.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045"/>
        <w:spacing w:after="0" w:line="277" w:lineRule="auto"/>
        <w:tabs>
          <w:tab w:leader="none" w:pos="16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manufacture, purchase or acquire in any lawful manner and to hold, own, mortgage, pledge, sell, transfer or in any manner dispose of and to deal and trade in goods, wares, merchandise and property of any and every class and description.</w:t>
      </w:r>
    </w:p>
    <w:p>
      <w:pPr>
        <w:spacing w:after="0" w:line="170" w:lineRule="exact"/>
        <w:rPr>
          <w:rFonts w:ascii="Arial" w:cs="Arial" w:eastAsia="Arial" w:hAnsi="Arial"/>
          <w:sz w:val="18"/>
          <w:szCs w:val="18"/>
          <w:color w:val="auto"/>
        </w:rPr>
      </w:pPr>
    </w:p>
    <w:p>
      <w:pPr>
        <w:jc w:val="both"/>
        <w:ind w:right="240" w:firstLine="1045"/>
        <w:spacing w:after="0" w:line="259" w:lineRule="auto"/>
        <w:tabs>
          <w:tab w:leader="none" w:pos="1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acquire the good will, rights and property of any person, firm, association, corporation or other entity to pay for the same in cash, the stock of the Company, bonds or otherwise; to hold or in any manner to dispose of the whole or any part of the property so purchased; to conduct in any lawful manner the whole or any part of any business so acquired, and to exercise all powers, necessary or convenient in and about the conduct and management of such business.</w:t>
      </w:r>
    </w:p>
    <w:p>
      <w:pPr>
        <w:spacing w:after="0" w:line="186" w:lineRule="exact"/>
        <w:rPr>
          <w:rFonts w:ascii="Arial" w:cs="Arial" w:eastAsia="Arial" w:hAnsi="Arial"/>
          <w:sz w:val="18"/>
          <w:szCs w:val="18"/>
          <w:color w:val="auto"/>
        </w:rPr>
      </w:pPr>
    </w:p>
    <w:p>
      <w:pPr>
        <w:ind w:right="80" w:firstLine="1045"/>
        <w:spacing w:after="0" w:line="259" w:lineRule="auto"/>
        <w:tabs>
          <w:tab w:leader="none" w:pos="16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apply for or in any manner to acquire, and to hold, own, use and operate or to sell or in any manner dispose of, and to grant licenses or other rights in respect of and in any manner deal with any and all rights, inventions, and employments and processes used in connection with or secured under Letters Patent or Copyrights of the United States or other countries, and to work, operate or develop the same and to carry on any business, manufacturing or otherwise, which may directly or indirectly effectuate these objects, or any of them.</w:t>
      </w:r>
    </w:p>
    <w:p>
      <w:pPr>
        <w:spacing w:after="0" w:line="186" w:lineRule="exact"/>
        <w:rPr>
          <w:rFonts w:ascii="Arial" w:cs="Arial" w:eastAsia="Arial" w:hAnsi="Arial"/>
          <w:sz w:val="18"/>
          <w:szCs w:val="18"/>
          <w:color w:val="auto"/>
        </w:rPr>
      </w:pPr>
    </w:p>
    <w:p>
      <w:pPr>
        <w:ind w:firstLine="1045"/>
        <w:spacing w:after="0" w:line="264" w:lineRule="auto"/>
        <w:tabs>
          <w:tab w:leader="none" w:pos="1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enter into, make and perform contracts of every kind with any person, firm, association, corporation or other entity and without limit as to amount, to draw, make, accept, endorse, discount, execute and issue promissory notes, drafts, bills of exchange, warrants, bonds, debentures, and other negotiable or transferable instruments.</w:t>
      </w:r>
    </w:p>
    <w:p>
      <w:pPr>
        <w:spacing w:after="0" w:line="181" w:lineRule="exact"/>
        <w:rPr>
          <w:rFonts w:ascii="Arial" w:cs="Arial" w:eastAsia="Arial" w:hAnsi="Arial"/>
          <w:sz w:val="18"/>
          <w:szCs w:val="18"/>
          <w:color w:val="auto"/>
        </w:rPr>
      </w:pPr>
    </w:p>
    <w:p>
      <w:pPr>
        <w:ind w:left="1640" w:hanging="595"/>
        <w:spacing w:after="0"/>
        <w:tabs>
          <w:tab w:leader="none" w:pos="1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have offices and carry on business without restrictions as to place or amount.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97" w:gutter="0" w:footer="0" w:header="0"/>
        </w:sectPr>
      </w:pPr>
    </w:p>
    <w:bookmarkStart w:id="77" w:name="page78"/>
    <w:bookmarkEnd w:id="77"/>
    <w:p>
      <w:pPr>
        <w:ind w:right="280" w:firstLine="1045"/>
        <w:spacing w:after="0" w:line="277" w:lineRule="auto"/>
        <w:tabs>
          <w:tab w:leader="none" w:pos="16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do any or all of the things herein set forth to the same extent as natural persons might or could do and in any part of the world as principals, agents, contractors, trustees or otherwise.</w:t>
      </w:r>
    </w:p>
    <w:p>
      <w:pPr>
        <w:spacing w:after="0" w:line="170" w:lineRule="exact"/>
        <w:rPr>
          <w:sz w:val="20"/>
          <w:szCs w:val="20"/>
          <w:color w:val="auto"/>
        </w:rPr>
      </w:pPr>
    </w:p>
    <w:p>
      <w:pPr>
        <w:ind w:right="120" w:firstLine="1037"/>
        <w:spacing w:after="0" w:line="277" w:lineRule="auto"/>
        <w:rPr>
          <w:sz w:val="20"/>
          <w:szCs w:val="20"/>
          <w:color w:val="auto"/>
        </w:rPr>
      </w:pPr>
      <w:r>
        <w:rPr>
          <w:rFonts w:ascii="Arial" w:cs="Arial" w:eastAsia="Arial" w:hAnsi="Arial"/>
          <w:sz w:val="18"/>
          <w:szCs w:val="18"/>
          <w:color w:val="auto"/>
        </w:rPr>
        <w:t>In general to carry on any other business in connection therewith whether manufacturing or otherwise, and use all the powers conferred by the laws of Delaware upon corporations under the Delaware General Corporation Law.</w:t>
      </w:r>
    </w:p>
    <w:p>
      <w:pPr>
        <w:spacing w:after="0" w:line="170" w:lineRule="exact"/>
        <w:rPr>
          <w:sz w:val="20"/>
          <w:szCs w:val="20"/>
          <w:color w:val="auto"/>
        </w:rPr>
      </w:pPr>
    </w:p>
    <w:p>
      <w:pPr>
        <w:ind w:right="260" w:firstLine="1037"/>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The amount of the total authorized capital stock shall be Five Hundred Thousand ($500,000) Dollars, which shall be divided into One-Thousand Shares (1,000) of the par value of Five-Hundred ($500) Dollars each.</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The existence of this corporation is to be perpetual.</w:t>
      </w:r>
    </w:p>
    <w:p>
      <w:pPr>
        <w:spacing w:after="0" w:line="225" w:lineRule="exact"/>
        <w:rPr>
          <w:sz w:val="20"/>
          <w:szCs w:val="20"/>
          <w:color w:val="auto"/>
        </w:rPr>
      </w:pPr>
    </w:p>
    <w:p>
      <w:pPr>
        <w:ind w:right="280" w:firstLine="1037"/>
        <w:spacing w:after="0" w:line="342"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xml:space="preserve"> The business and affairs of the Company are to be managed by or under a board of directors, which shall be comprised of seven persons or such other number of persons as may be designated from time to time by resolution of the board of directors or in the By-laws of the Company.</w:t>
      </w:r>
    </w:p>
    <w:p>
      <w:pPr>
        <w:spacing w:after="0" w:line="124" w:lineRule="exact"/>
        <w:rPr>
          <w:sz w:val="20"/>
          <w:szCs w:val="20"/>
          <w:color w:val="auto"/>
        </w:rPr>
      </w:pPr>
    </w:p>
    <w:p>
      <w:pPr>
        <w:ind w:right="20" w:firstLine="1037"/>
        <w:spacing w:after="0" w:line="264"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The Company shall have power to acquire and become seized and possessed of real and personal property without limit or restriction as to amount and to hold, purchase, mortgage, lease and convey such real and personal property in any state or territory of the United States, and in any foreign country or place.</w:t>
      </w:r>
    </w:p>
    <w:p>
      <w:pPr>
        <w:spacing w:after="0" w:line="181" w:lineRule="exact"/>
        <w:rPr>
          <w:sz w:val="20"/>
          <w:szCs w:val="20"/>
          <w:color w:val="auto"/>
        </w:rPr>
      </w:pPr>
    </w:p>
    <w:p>
      <w:pPr>
        <w:ind w:right="300" w:firstLine="1037"/>
        <w:spacing w:after="0" w:line="277"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The private property of the stockholders of the Company from time to time shall not be subject to the payment of the debts of the Company to any extent or in any manner whatever.</w:t>
      </w:r>
    </w:p>
    <w:p>
      <w:pPr>
        <w:spacing w:after="0" w:line="170" w:lineRule="exact"/>
        <w:rPr>
          <w:sz w:val="20"/>
          <w:szCs w:val="20"/>
          <w:color w:val="auto"/>
        </w:rPr>
      </w:pPr>
    </w:p>
    <w:p>
      <w:pPr>
        <w:ind w:right="200" w:firstLine="1037"/>
        <w:spacing w:after="0" w:line="277"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xml:space="preserve"> The board of directors shall have power to adopt, amend or repeal any or all of the By-laws of the Company; to fix the amount to be reserved as working capital and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authorize and cause to be executed mortgages and liens without limit as to amount upon the property and franchises of the Company.</w:t>
      </w:r>
    </w:p>
    <w:p>
      <w:pPr>
        <w:spacing w:after="0" w:line="225" w:lineRule="exact"/>
        <w:rPr>
          <w:sz w:val="20"/>
          <w:szCs w:val="20"/>
          <w:color w:val="auto"/>
        </w:rPr>
      </w:pPr>
    </w:p>
    <w:p>
      <w:pPr>
        <w:ind w:right="100" w:firstLine="1045"/>
        <w:spacing w:after="0" w:line="264" w:lineRule="auto"/>
        <w:tabs>
          <w:tab w:leader="none" w:pos="16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By-laws of the Company shall determine whether and to what extent the accounts and books of the corporation, or any of them, shall be open to the inspection of the stockholders; and no stockholder shall have any right of inspecting any account or book or document of the corporation except as conferred by law or the By-laws of the Company or by resolutions of the stockholders.</w:t>
      </w:r>
    </w:p>
    <w:p>
      <w:pPr>
        <w:spacing w:after="0" w:line="181" w:lineRule="exact"/>
        <w:rPr>
          <w:rFonts w:ascii="Arial" w:cs="Arial" w:eastAsia="Arial" w:hAnsi="Arial"/>
          <w:sz w:val="18"/>
          <w:szCs w:val="18"/>
          <w:color w:val="auto"/>
        </w:rPr>
      </w:pPr>
    </w:p>
    <w:p>
      <w:pPr>
        <w:ind w:right="400" w:firstLine="1045"/>
        <w:spacing w:after="0" w:line="277" w:lineRule="auto"/>
        <w:tabs>
          <w:tab w:leader="none" w:pos="16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stockholders or directors shall have power to hold their meetings and keep the books outside of the State of Delaware, at such places as may be from time to time designated.</w:t>
      </w:r>
    </w:p>
    <w:p>
      <w:pPr>
        <w:spacing w:after="0" w:line="170" w:lineRule="exact"/>
        <w:rPr>
          <w:sz w:val="20"/>
          <w:szCs w:val="20"/>
          <w:color w:val="auto"/>
        </w:rPr>
      </w:pPr>
    </w:p>
    <w:p>
      <w:pPr>
        <w:jc w:val="both"/>
        <w:ind w:right="220" w:firstLine="1037"/>
        <w:spacing w:after="0" w:line="286" w:lineRule="auto"/>
        <w:rPr>
          <w:sz w:val="20"/>
          <w:szCs w:val="20"/>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xml:space="preserve"> The stockholders of the Company shall not have preemptive rights by virtue of this Restated Certificate of Incorporation or the fact that the Company was incorporated prior to July 3, 1967, and, accordingly, no stockholder shall have preemptive rights or other similar rights except to the extent that such rights are specifically provided for by agreement between such stockholder and the Company.</w:t>
      </w:r>
    </w:p>
    <w:p>
      <w:pPr>
        <w:spacing w:after="0" w:line="166" w:lineRule="exact"/>
        <w:rPr>
          <w:sz w:val="20"/>
          <w:szCs w:val="20"/>
          <w:color w:val="auto"/>
        </w:rPr>
      </w:pPr>
    </w:p>
    <w:p>
      <w:pPr>
        <w:jc w:val="both"/>
        <w:ind w:right="40" w:firstLine="1037"/>
        <w:spacing w:after="0" w:line="288" w:lineRule="auto"/>
        <w:rPr>
          <w:sz w:val="20"/>
          <w:szCs w:val="20"/>
          <w:color w:val="auto"/>
        </w:rPr>
      </w:pPr>
      <w:r>
        <w:rPr>
          <w:rFonts w:ascii="Arial" w:cs="Arial" w:eastAsia="Arial" w:hAnsi="Arial"/>
          <w:sz w:val="16"/>
          <w:szCs w:val="16"/>
          <w:u w:val="single" w:color="auto"/>
          <w:color w:val="auto"/>
        </w:rPr>
        <w:t>ELEVENTH.</w:t>
      </w:r>
      <w:r>
        <w:rPr>
          <w:rFonts w:ascii="Arial" w:cs="Arial" w:eastAsia="Arial" w:hAnsi="Arial"/>
          <w:sz w:val="16"/>
          <w:szCs w:val="16"/>
          <w:color w:val="auto"/>
        </w:rPr>
        <w:t xml:space="preserve"> A director of the Company shall not be personally liable to the Company or its stockholders for monetary damages for breach of fiduciary duty as a director, except for liability (i) for any breach of the director’s duty of loyalty to the Company or its stockholders; (ii) for acts or omissions not in good faith or which involve intentional misconduct or a knowing violation of law, (iii) under Section 174 of the Delaware General Corporation Law, or</w:t>
      </w:r>
    </w:p>
    <w:p>
      <w:pPr>
        <w:ind w:right="420" w:firstLine="8"/>
        <w:spacing w:after="0" w:line="290" w:lineRule="auto"/>
        <w:tabs>
          <w:tab w:leader="none" w:pos="305"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 If the Delaware General Corporation Law is amended to authorize corporate action further eliminating or limiting the personal liability of directors, then the liability of a director of the Company shall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 eliminated or limited to the fullest extent permitted by the Delaware General Corporation Law, as so amended.</w:t>
      </w:r>
    </w:p>
    <w:p>
      <w:pPr>
        <w:spacing w:after="0" w:line="225" w:lineRule="exact"/>
        <w:rPr>
          <w:sz w:val="20"/>
          <w:szCs w:val="20"/>
          <w:color w:val="auto"/>
        </w:rPr>
      </w:pPr>
    </w:p>
    <w:p>
      <w:pPr>
        <w:ind w:right="80" w:firstLine="1037"/>
        <w:spacing w:after="0" w:line="277" w:lineRule="auto"/>
        <w:rPr>
          <w:sz w:val="20"/>
          <w:szCs w:val="20"/>
          <w:color w:val="auto"/>
        </w:rPr>
      </w:pPr>
      <w:r>
        <w:rPr>
          <w:rFonts w:ascii="Arial" w:cs="Arial" w:eastAsia="Arial" w:hAnsi="Arial"/>
          <w:sz w:val="18"/>
          <w:szCs w:val="18"/>
          <w:color w:val="auto"/>
        </w:rPr>
        <w:t>Any repeal or modification of the foregoing paragraph by the stockholders of the Company shall not adversely affect any right or protection of a director of the Company existing at the time of such repeal or modification.</w:t>
      </w:r>
    </w:p>
    <w:p>
      <w:pPr>
        <w:spacing w:after="0" w:line="170" w:lineRule="exact"/>
        <w:rPr>
          <w:sz w:val="20"/>
          <w:szCs w:val="20"/>
          <w:color w:val="auto"/>
        </w:rPr>
      </w:pPr>
    </w:p>
    <w:p>
      <w:pPr>
        <w:ind w:firstLine="1037"/>
        <w:spacing w:after="0" w:line="264" w:lineRule="auto"/>
        <w:rPr>
          <w:sz w:val="20"/>
          <w:szCs w:val="20"/>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xml:space="preserve"> It is the intention that the objects specified in the third paragraph hereof shall, except where otherwise expressed in said paragraph, be nowise limited or restricted by reference to or inference from the terms of any other clause or paragraph in the Restated Certificate of Incorporation, but that the object specified in each of the clauses of this charter shall be regarded as independent objects.</w:t>
      </w:r>
    </w:p>
    <w:p>
      <w:pPr>
        <w:spacing w:after="0" w:line="181" w:lineRule="exact"/>
        <w:rPr>
          <w:sz w:val="20"/>
          <w:szCs w:val="20"/>
          <w:color w:val="auto"/>
        </w:rPr>
      </w:pPr>
    </w:p>
    <w:p>
      <w:pPr>
        <w:ind w:right="20" w:firstLine="1037"/>
        <w:spacing w:after="0" w:line="273" w:lineRule="auto"/>
        <w:rPr>
          <w:sz w:val="20"/>
          <w:szCs w:val="20"/>
          <w:color w:val="auto"/>
        </w:rPr>
      </w:pPr>
      <w:r>
        <w:rPr>
          <w:rFonts w:ascii="Arial" w:cs="Arial" w:eastAsia="Arial" w:hAnsi="Arial"/>
          <w:sz w:val="18"/>
          <w:szCs w:val="18"/>
          <w:color w:val="auto"/>
        </w:rPr>
        <w:t>IN WITNESS WHEREOF, this Restated Certificate of Incorporation, which restates and integrates and further amends the provisions of the Certificate of Incorporation of the Company, and which has been duly adopted in accordance with Sections 242 and 245 of the Delaware General Corporation Law, has been executed by a duly authorized officer of the Company this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day of February, 2006.</w:t>
      </w:r>
    </w:p>
    <w:p>
      <w:pPr>
        <w:spacing w:after="0" w:line="8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DELAWARE CHARTER COMPANY</w:t>
      </w:r>
    </w:p>
    <w:p>
      <w:pPr>
        <w:spacing w:after="0" w:line="229"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[ILLEGIBLE]</w:t>
      </w:r>
    </w:p>
    <w:p>
      <w:pPr>
        <w:spacing w:after="0" w:line="2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-130810</wp:posOffset>
            </wp:positionV>
            <wp:extent cx="30613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Restated Certificate of Incorporation is hereby approved in both substance and in form.</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Robert A. Glen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Honorable Robert A. Glen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78" w:name="page79"/>
    <w:bookmarkEnd w:id="78"/>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State Bank Commissioner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Delaware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First State</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“CSC TRUST COMPANY OF DELAWARE”, CHANGING ITS NAME FROM “CSC TRUST COMPANY OF DELAWARE” TO “DELAWARE TRUST COMPANY”, FILED IN THIS OFFICE ON THE TWENTY-SECOND DAY OF AUGUST, A.D. 2014, AT 5:43 O’CLOCK P.M.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289560</wp:posOffset>
            </wp:positionV>
            <wp:extent cx="2564130" cy="1115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2564130"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Jeffrey W. Bullock</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AUTHENTICATION:  1643996</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i w:val="1"/>
          <w:iCs w:val="1"/>
          <w:color w:val="auto"/>
        </w:rPr>
        <w:t>DATE:  08-25-14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Delivered 05:43 PM 08/22/2014</w:t>
      </w:r>
    </w:p>
    <w:p>
      <w:pPr>
        <w:spacing w:after="0" w:line="9"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FILED 05:43 PM 08/22/2014</w:t>
      </w:r>
    </w:p>
    <w:p>
      <w:pPr>
        <w:spacing w:after="0" w:line="9" w:lineRule="exact"/>
        <w:rPr>
          <w:sz w:val="20"/>
          <w:szCs w:val="20"/>
          <w:color w:val="auto"/>
        </w:rPr>
      </w:pPr>
    </w:p>
    <w:p>
      <w:pPr>
        <w:jc w:val="center"/>
        <w:ind w:right="8080"/>
        <w:spacing w:after="0"/>
        <w:rPr>
          <w:sz w:val="20"/>
          <w:szCs w:val="20"/>
          <w:color w:val="auto"/>
        </w:rPr>
      </w:pPr>
      <w:r>
        <w:rPr>
          <w:rFonts w:ascii="Arial" w:cs="Arial" w:eastAsia="Arial" w:hAnsi="Arial"/>
          <w:sz w:val="18"/>
          <w:szCs w:val="18"/>
          <w:i w:val="1"/>
          <w:iCs w:val="1"/>
          <w:color w:val="auto"/>
        </w:rPr>
        <w:t>SRV 141102950 - 0061202 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CSC TRUST COMPANY OF DELAWARE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CSC TRUST COMPANY OF DELAWARE, a corporation duly organized and existing under the General Corporation Law of the Stale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(formerly known as Delaware Charter Company) (the “Corporation”), does hereby certify that:</w:t>
      </w:r>
    </w:p>
    <w:p>
      <w:pPr>
        <w:spacing w:after="0" w:line="211" w:lineRule="exact"/>
        <w:rPr>
          <w:sz w:val="20"/>
          <w:szCs w:val="20"/>
          <w:color w:val="auto"/>
        </w:rPr>
      </w:pPr>
    </w:p>
    <w:p>
      <w:pPr>
        <w:ind w:right="420" w:firstLine="980"/>
        <w:spacing w:after="0" w:line="277" w:lineRule="auto"/>
        <w:tabs>
          <w:tab w:leader="none" w:pos="16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is hereby amended by deleting the text of Article FIRST thereof and inserting the following in lieu thereof:</w:t>
      </w:r>
    </w:p>
    <w:p>
      <w:pPr>
        <w:spacing w:after="0" w:line="170" w:lineRule="exact"/>
        <w:rPr>
          <w:sz w:val="20"/>
          <w:szCs w:val="20"/>
          <w:color w:val="auto"/>
        </w:rPr>
      </w:pPr>
    </w:p>
    <w:p>
      <w:pPr>
        <w:ind w:left="162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w:t>
      </w:r>
      <w:r>
        <w:rPr>
          <w:sz w:val="20"/>
          <w:szCs w:val="20"/>
          <w:color w:val="auto"/>
        </w:rPr>
        <w:tab/>
      </w:r>
      <w:r>
        <w:rPr>
          <w:rFonts w:ascii="Arial" w:cs="Arial" w:eastAsia="Arial" w:hAnsi="Arial"/>
          <w:sz w:val="16"/>
          <w:szCs w:val="16"/>
          <w:color w:val="auto"/>
        </w:rPr>
        <w:t>The name of the corporation is “Delaware Trust Company” (the “Company”).”</w:t>
      </w:r>
    </w:p>
    <w:p>
      <w:pPr>
        <w:spacing w:after="0" w:line="225" w:lineRule="exact"/>
        <w:rPr>
          <w:sz w:val="20"/>
          <w:szCs w:val="20"/>
          <w:color w:val="auto"/>
        </w:rPr>
      </w:pPr>
    </w:p>
    <w:p>
      <w:pPr>
        <w:ind w:right="260" w:firstLine="980"/>
        <w:spacing w:after="0" w:line="277" w:lineRule="auto"/>
        <w:tabs>
          <w:tab w:leader="none" w:pos="16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the provisions of Sections 141 and 242 of the General Corporation Law of the State of Delaware.</w:t>
      </w:r>
    </w:p>
    <w:p>
      <w:pPr>
        <w:spacing w:after="0" w:line="170" w:lineRule="exact"/>
        <w:rPr>
          <w:sz w:val="20"/>
          <w:szCs w:val="20"/>
          <w:color w:val="auto"/>
        </w:rPr>
      </w:pPr>
    </w:p>
    <w:p>
      <w:pPr>
        <w:ind w:right="560" w:firstLine="972"/>
        <w:spacing w:after="0" w:line="292" w:lineRule="auto"/>
        <w:rPr>
          <w:sz w:val="20"/>
          <w:szCs w:val="20"/>
          <w:color w:val="auto"/>
        </w:rPr>
      </w:pPr>
      <w:r>
        <w:rPr>
          <w:rFonts w:ascii="Arial" w:cs="Arial" w:eastAsia="Arial" w:hAnsi="Arial"/>
          <w:sz w:val="18"/>
          <w:szCs w:val="18"/>
          <w:color w:val="auto"/>
        </w:rPr>
        <w:t>IN WITNESS WHEREOF, the Corporation has caused</w:t>
      </w:r>
      <w:r>
        <w:rPr>
          <w:rFonts w:ascii="Arial" w:cs="Arial" w:eastAsia="Arial" w:hAnsi="Arial"/>
          <w:sz w:val="11"/>
          <w:szCs w:val="11"/>
          <w:color w:val="auto"/>
        </w:rPr>
        <w:t>,</w:t>
      </w:r>
      <w:r>
        <w:rPr>
          <w:rFonts w:ascii="Arial" w:cs="Arial" w:eastAsia="Arial" w:hAnsi="Arial"/>
          <w:sz w:val="18"/>
          <w:szCs w:val="18"/>
          <w:color w:val="auto"/>
        </w:rPr>
        <w:t xml:space="preserve"> this Certificate of Amendment of Restated Certificate of Incorporation to be duly executed on this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August, 2014.</w:t>
      </w:r>
    </w:p>
    <w:p>
      <w:pPr>
        <w:spacing w:after="0" w:line="29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CSC TRUST COMPANY OF DELAWARE</w:t>
      </w:r>
    </w:p>
    <w:p>
      <w:pPr>
        <w:spacing w:after="0" w:line="225" w:lineRule="exact"/>
        <w:rPr>
          <w:sz w:val="20"/>
          <w:szCs w:val="20"/>
          <w:color w:val="auto"/>
        </w:rPr>
      </w:pPr>
    </w:p>
    <w:p>
      <w:pPr>
        <w:ind w:left="5840"/>
        <w:spacing w:after="0"/>
        <w:tabs>
          <w:tab w:leader="none" w:pos="6300" w:val="left"/>
        </w:tabs>
        <w:rPr>
          <w:sz w:val="20"/>
          <w:szCs w:val="20"/>
          <w:color w:val="auto"/>
        </w:rPr>
      </w:pPr>
      <w:r>
        <w:rPr>
          <w:rFonts w:ascii="Arial" w:cs="Arial" w:eastAsia="Arial" w:hAnsi="Arial"/>
          <w:sz w:val="18"/>
          <w:szCs w:val="18"/>
          <w:color w:val="auto"/>
        </w:rPr>
        <w:t>By:</w:t>
        <w:tab/>
        <w:t>/s/ William G. Popeo</w:t>
      </w:r>
    </w:p>
    <w:p>
      <w:pPr>
        <w:spacing w:after="0" w:line="23" w:lineRule="exact"/>
        <w:rPr>
          <w:sz w:val="20"/>
          <w:szCs w:val="20"/>
          <w:color w:val="auto"/>
        </w:rPr>
      </w:pPr>
    </w:p>
    <w:tbl>
      <w:tblPr>
        <w:tblLayout w:type="fixed"/>
        <w:tblInd w:w="632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G. Popeo</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Pres &amp; CEO</w:t>
            </w:r>
          </w:p>
        </w:tc>
      </w:tr>
    </w:tbl>
    <w:p>
      <w:pPr>
        <w:spacing w:after="0" w:line="202"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The foregoing Certificate of Amendment of Restated Certificate of Incorporation of CSC Trust Company of Delaware is hereby approved both in substance and in form.</w:t>
      </w:r>
    </w:p>
    <w:p>
      <w:pPr>
        <w:spacing w:after="0" w:line="38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22, 2014</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Robert A. Glen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Honorable Robert A. Glen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State Bank Commissioner</w:t>
      </w:r>
    </w:p>
    <w:p>
      <w:pPr>
        <w:sectPr>
          <w:pgSz w:w="11900" w:h="16902" w:orient="portrait"/>
          <w:cols w:equalWidth="0" w:num="1">
            <w:col w:w="11420"/>
          </w:cols>
          <w:pgMar w:left="240" w:top="125" w:right="239" w:bottom="0" w:gutter="0" w:footer="0" w:header="0"/>
        </w:sectPr>
      </w:pPr>
    </w:p>
    <w:bookmarkStart w:id="79" w:name="page80"/>
    <w:bookmarkEnd w:id="79"/>
    <w:p>
      <w:pPr>
        <w:ind w:left="5820"/>
        <w:spacing w:after="0"/>
        <w:rPr>
          <w:sz w:val="20"/>
          <w:szCs w:val="20"/>
          <w:color w:val="auto"/>
        </w:rPr>
      </w:pPr>
      <w:r>
        <w:rPr>
          <w:rFonts w:ascii="Arial" w:cs="Arial" w:eastAsia="Arial" w:hAnsi="Arial"/>
          <w:sz w:val="18"/>
          <w:szCs w:val="18"/>
          <w:color w:val="auto"/>
        </w:rPr>
        <w:t>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DELAWARE TRUST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Annual Meeting</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An annual meeting of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thirteen (13) months of the last annual meeting of stockholders or, if no such meeting has been held, the date of incorporation.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6"/>
          <w:szCs w:val="16"/>
          <w:u w:val="single" w:color="auto"/>
          <w:color w:val="auto"/>
        </w:rPr>
        <w:t>Special Meetings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Special meetings of the stockholders, for any purpose or purposes prescribed in the notice of the meeting, may be called by the Board of Directors, a majority of stockholders entitled to vote or the chief executive officer and shall be held at such place. on such date, and at such time as they or he or she shall fix.</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Notice of Meetings</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provided herein or required by law (meaning, here and hereinafter, as required from time to time by the Delaware General Corporation Law or the Certificate of Incorporation, as amended, of Delaware Trust Company (the “Company”)).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Quorum</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Such person as the Board of Directors may have designated or, in the absence of such a person, the chief executive officer of the Company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Company, the secretary of the meeting shall be the Assistant Secretary or such person as the chairman appoints.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chairman of any meeting of stockholders shall determine the order of business and the procedure at the meeting, including such regulation of the manner of voting and the conduct of discussion as seem to him or her in order.</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Proxies and Voting.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w:t>
      </w:r>
    </w:p>
    <w:p>
      <w:pPr>
        <w:sectPr>
          <w:pgSz w:w="11900" w:h="16838" w:orient="portrait"/>
          <w:cols w:equalWidth="0" w:num="1">
            <w:col w:w="11400"/>
          </w:cols>
          <w:pgMar w:left="240" w:top="125" w:right="259" w:bottom="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entire original writing or transmission.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All voting, including on the election of directors but excepting where otherwise required by law, may be by a voice vote; provided, however, that upon demand therefore by a stockholder entitled to vote or by his or her proxy, a stock vote shall be taken. Every stock vote shall be taken by ballots, each of which shall state the name of the stockholder or proxy voting and such other information as may be required under the procedure established for the meeting. The Company may, and to the extent required by law, in advance of any meeting of stockholders, appoint one or more inspectors to act at the meeting and make a written report thereof. The Company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ability. Every vote taken by ballots shall be counted by an inspector or inspectors appointed by the chairman of the meeting.</w:t>
      </w:r>
    </w:p>
    <w:p>
      <w:pPr>
        <w:spacing w:after="0" w:line="182"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 xml:space="preserve">All </w:t>
      </w:r>
      <w:r>
        <w:rPr>
          <w:rFonts w:ascii="Arial" w:cs="Arial" w:eastAsia="Arial" w:hAnsi="Arial"/>
          <w:sz w:val="17"/>
          <w:szCs w:val="17"/>
          <w:color w:val="auto"/>
        </w:rPr>
        <w:t>elections shall be determined by a plurality of the votes cast, and except as otherwise required by law, all other matters shall be determined by a</w:t>
      </w:r>
      <w:r>
        <w:rPr>
          <w:rFonts w:ascii="Arial" w:cs="Arial" w:eastAsia="Arial" w:hAnsi="Arial"/>
          <w:sz w:val="18"/>
          <w:szCs w:val="18"/>
          <w:color w:val="auto"/>
        </w:rPr>
        <w:t xml:space="preserve"> </w:t>
      </w:r>
      <w:r>
        <w:rPr>
          <w:rFonts w:ascii="Arial" w:cs="Arial" w:eastAsia="Arial" w:hAnsi="Arial"/>
          <w:sz w:val="17"/>
          <w:szCs w:val="17"/>
          <w:color w:val="auto"/>
        </w:rPr>
        <w:t>majority of the votes cast affirmatively or negatively.</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Stock List.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complete list of stockholders entitled to vote at any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he specified in the notice of the meeting, or if not so specified, at the place where the meeting is to be held.</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stock list shall also be kept at the place of the meeting during the whole time thereof and shall be open to the examination of any such stockholder who is present. This list shall presumptively determine the identity of the stockholders entitled to vote at the meeting and the number of shares held by each of them.</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Consent of Stockholders in Lieu of Meeting.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action required to be taken at any annual or special meeting of stockholders of the Company,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Company by delivery to its registered office in Delaware, its principal place of business, or an officer or agent of the Company having custody of the book in which proceedings of meetings of stockholders are recorded. As set forth in the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Certificate of Incorporation, the Company shall serve as its own registered agent and therefore delivery made to the Company shall constitute delivery to its registered office and shall be made by hand or by certified or registered mail, return receipt requested.</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Every written consent shall bear the date of signature of each stockholder who signs the consent and no written consent shall be effective to take the corporate action referred to therein unless, within sixty (60) days of the date the earliest dated consent is delivered to the Company, a written consent or consents signed by a sufficient number of holders to take action are delivered to the Company in the manner prescribed in the first paragraph of this Section.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Number and Term of Office.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number of directors who shall constitute the whole Board shall be such number as the Board of Directors shall from time to time have designated, provided that the number of directors shall not be less than five. Each director shall he elected and serve until his or her successor is elected and qualified, except as otherwise provided herein or required by law.</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initial members of the Board of Directors of the Company, including the Chairman of the Board, shall be elected by the majority vote of the stockholders entitled to vote. Each such director shall hold office until the first annual meeting of the stockholders and until his successor has been duly elected and qualified or the occurrence of the earlier death or resignation of such director.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the authorized number of directors is increased between annual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397"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meetings of the stockholders, a majority of the directors then in office shall have the power to elect such new directors for the balance of a term and until their successors are elected and qualified.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Vacancies.</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Regular Meetings.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Special Meetings.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Special meetings of the Board of Directors may be called by the Chairman of the Board or by one-third (1/3) of the directors then in office (rounded up to the nearest whole number) or by the chief executive officer and shall be held at such place, on such date, and at such time as they or he or she shall fix. Notice of the place, date, and time of each such special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meeting shall be given each director by whom it is not waived by mailing written notice not less than five (5) days before the meeting or by telegraphing or telexing or by facsimile transmission of the same not less than twenty-four (24) hours before the meeting. Unless otherwise indicated in the notice thereof; any and all business may be transacted at a special meeting.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Quorum.</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At any meeting of the Board of Directors, a majority of the total number of the whole Board shall constitute a quorum for all purposes. If a quorum shall fail to attend any meeting, a majority of those present may adjourn the meeting to another place, date, or time, without further notice or waiver thereof.</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Participation in Meetings By Conference Telephone.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Conduct of Business.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 required by law. Action may be taken by the Board of Directors without a meeting if all members thereof consent thereto in writing, and the writing or writings are filed with the minutes of proceedings of the Board of Directors.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Powers.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may, except as otherwise required by law, exercise all such powers and do all such acts and things as may be exercised or done by the Company, including, without limiting the generality of the foregoing, the unqualified power:</w:t>
      </w:r>
    </w:p>
    <w:p>
      <w:pPr>
        <w:spacing w:after="0" w:line="170" w:lineRule="exact"/>
        <w:rPr>
          <w:sz w:val="20"/>
          <w:szCs w:val="20"/>
          <w:color w:val="auto"/>
        </w:rPr>
      </w:pPr>
    </w:p>
    <w:p>
      <w:pPr>
        <w:ind w:left="1320" w:hanging="66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declare dividends from time to time in accordance with law;</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purchase or otherwise acquire any property, rights or privileges on such terms as it shall determine;</w:t>
      </w:r>
    </w:p>
    <w:p>
      <w:pPr>
        <w:spacing w:after="0" w:line="225"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authorize the creation, making and issuance, in such form as it may determine, of written obligations of every kind, negotiable or non-negotiable, secured or unsecured, and to do all things necessary in connection therewith;</w:t>
      </w:r>
    </w:p>
    <w:p>
      <w:pPr>
        <w:spacing w:after="0" w:line="170"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remove any officer of the Company with or without cause, and from time to time to devolve the powers and duties of any officer upon any other person for the time being;</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confer upon any officer of the Company the power to appoint, remove and suspend subordinate officers, employees and agents;</w:t>
      </w:r>
    </w:p>
    <w:p>
      <w:pPr>
        <w:spacing w:after="0" w:line="236" w:lineRule="exact"/>
        <w:rPr>
          <w:rFonts w:ascii="Arial" w:cs="Arial" w:eastAsia="Arial" w:hAnsi="Arial"/>
          <w:sz w:val="17"/>
          <w:szCs w:val="17"/>
          <w:color w:val="auto"/>
        </w:rPr>
      </w:pPr>
    </w:p>
    <w:p>
      <w:pPr>
        <w:ind w:right="360" w:firstLine="656"/>
        <w:spacing w:after="0" w:line="277" w:lineRule="auto"/>
        <w:tabs>
          <w:tab w:leader="none" w:pos="13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adopt from time to time such stock option, stock purchase, bonus or other compensation plans for directors, officers, employees and agents of the Company and 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subsidiaries as it may determine;</w:t>
      </w:r>
    </w:p>
    <w:p>
      <w:pPr>
        <w:sectPr>
          <w:pgSz w:w="11900" w:h="16838" w:orient="portrait"/>
          <w:cols w:equalWidth="0" w:num="1">
            <w:col w:w="11400"/>
          </w:cols>
          <w:pgMar w:left="240" w:top="125" w:right="259" w:bottom="0" w:gutter="0" w:footer="0" w:header="0"/>
          <w:type w:val="continuous"/>
        </w:sectPr>
      </w:pPr>
    </w:p>
    <w:bookmarkStart w:id="82" w:name="page83"/>
    <w:bookmarkEnd w:id="82"/>
    <w:p>
      <w:pPr>
        <w:ind w:right="40" w:firstLine="656"/>
        <w:spacing w:after="0" w:line="277" w:lineRule="auto"/>
        <w:tabs>
          <w:tab w:leader="none" w:pos="13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adopt from time to time such insurance, retirement, and other benefit plans for directors, officers, employees and agents of the Company and its subsidiaries as it may determine;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adopt from time to time regulations, not inconsistent with these Bylaws, for the management of the Company’s business and affairs.</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rFonts w:ascii="Arial" w:cs="Arial" w:eastAsia="Arial" w:hAnsi="Arial"/>
          <w:sz w:val="16"/>
          <w:szCs w:val="16"/>
          <w:u w:val="single" w:color="auto"/>
          <w:color w:val="auto"/>
        </w:rPr>
        <w:t>Compensation of Directors.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Directors, as such, may receive, pursuant to resolution of the Board of Directors, fixed fees and other compensation for their services as directors, including, without limitation, their services as members of committees of the Board of Directors.</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COMMITTEES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Committees of the Board of Directors.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Board of Directors, by a vote of a majority of the whole Board,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committee so designated may exercise the power and authority of the Board of Directors to declare a dividend, to authorize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issuance of stock or to adopt a certificate of ownership and merger pursuant to Delaware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Conduct of Business.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 third (1/3) of the members shall constitute a quorum unless the committee shall consist of one (1) or two (2) members, in which event one (1)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 </w:t>
      </w:r>
      <w:r>
        <w:rPr>
          <w:rFonts w:ascii="Arial" w:cs="Arial" w:eastAsia="Arial" w:hAnsi="Arial"/>
          <w:sz w:val="18"/>
          <w:szCs w:val="18"/>
          <w:u w:val="single" w:color="auto"/>
          <w:color w:val="auto"/>
        </w:rPr>
        <w:t>OFFICERS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Generally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shall elect a President and may elect or appoint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Chairman of the Board, a Secretary and such other officers as it may from time to time choose to elect or appoint, including, but not limited to, one or more Vice Presidents (any one or more of whom may be designated Executive Vice Presidents or Senior Vice Presidents) and a Treasurer. Officers shall be elected by the Board of Directors. Each officer shall hold office until his or her successor is elected and qualified or until his or her earlier resignation or removal. Any number of offices may be held by the same person. Any vacancies occurring in officer positions may be filled at any regular or special meeting of the Board of Directors.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compensation of officers required by this section to be elected or appointed by the Board of Directors may be fixed by the Board of Directors. The compensation of other officers may be fixed either by the Board of Directors or by the President. Each officer shall be sworn to the faithful performance of his duties. In the absence of a Chairman of the Board to preside at meetings of the Board of Directors, the President shall preside at meetings of the Board of Directors.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President</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provisions of these By-laws and to the direction of the Board of Directors, he or she shall have the responsibility for the general management and control of the business and affairs of the Company and shall perform all duties and have all powers which are commonly incident to the office of chief executive or which are delegated to him or her by the Board of Directors. He or she shall have power to sign all stock certificates, contracts and other instruments of the Company which are authorized and shall have general supervision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direction of all of the other officers, employees and agents of the Company. In the event of the President’s absence or disability, the Board shall appoint an Officer to perform the duties and exercise the powers of the President.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Vice President.</w:t>
      </w:r>
    </w:p>
    <w:p>
      <w:pPr>
        <w:sectPr>
          <w:pgSz w:w="11900" w:h="16838" w:orient="portrait"/>
          <w:cols w:equalWidth="0" w:num="1">
            <w:col w:w="11400"/>
          </w:cols>
          <w:pgMar w:left="240" w:top="341" w:right="259" w:bottom="0" w:gutter="0" w:footer="0" w:header="0"/>
        </w:sectPr>
      </w:pPr>
    </w:p>
    <w:bookmarkStart w:id="83" w:name="page84"/>
    <w:bookmarkEnd w:id="83"/>
    <w:p>
      <w:pPr>
        <w:ind w:right="40" w:firstLine="648"/>
        <w:spacing w:after="0" w:line="342" w:lineRule="auto"/>
        <w:rPr>
          <w:sz w:val="20"/>
          <w:szCs w:val="20"/>
          <w:color w:val="auto"/>
        </w:rPr>
      </w:pPr>
      <w:r>
        <w:rPr>
          <w:rFonts w:ascii="Arial" w:cs="Arial" w:eastAsia="Arial" w:hAnsi="Arial"/>
          <w:sz w:val="16"/>
          <w:szCs w:val="16"/>
          <w:color w:val="auto"/>
        </w:rPr>
        <w:t>Each Vice President shall have such powers and duties as may be delegated to him or her by the Board of Directors. He or she may sign, with other authorized officers, all contracts, instruments or documents in the name of the Company and may affix or cause to be affixed thereto the seal of the Company.</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Treasurer.</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Treasurer shall have the responsibility for maintaining the financial records of the Company. He or she shall make such disbursements of the funds of the Company as are authorized and shall render from time to time an account of all such transactions and of the financial condition of the Company. The Treasurer shall also perform such other duties as the Board of Directors may from time to time prescribe.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Secretary and Assistant Secretary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Secretary or Assistant Secretary shall issue all authorized notices for, and shall keep minutes of, all meetings of the stockholders and the Board of Directors. The Secretary or Assistant Secretary may sign, with other authorized officers, all contracts, instruments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documents in the name of the Company and may affix or cause to be affixed thereto the seal of the Company, of which he or she shall be the custodian. The Secretary or Assistant Secretary shall have charge of the corporate books and shall perform such other duties as the Board of Directors may from time to time prescribe.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Delegation of Authority.</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Removal.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officer of the Company may be removed at any time, with or without cause, by the Board of Directors.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Action with Respect to Securities of Other Corporations.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directed by the Board of Directors, the President or any officer of the Company authorized by the President shall have power to vote and otherwise act on behalf of the Company, in person or by proxy, at any meeting of stockholders of or with respect to any action of stockholders of any other corporation in which this Company may hold securities and otherwise to exercise any and all rights and powers which this Company may possess by reason of its ownership of securities in such other corporation.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 </w:t>
      </w:r>
      <w:r>
        <w:rPr>
          <w:rFonts w:ascii="Arial" w:cs="Arial" w:eastAsia="Arial" w:hAnsi="Arial"/>
          <w:sz w:val="18"/>
          <w:szCs w:val="18"/>
          <w:u w:val="single" w:color="auto"/>
          <w:color w:val="auto"/>
        </w:rPr>
        <w:t>STOCK</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Certificates of Stock.</w:t>
      </w:r>
    </w:p>
    <w:p>
      <w:pPr>
        <w:spacing w:after="0" w:line="22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Each stockholder shall be entitled to a certificate signed by, or in the name of the Company by, the President or a Vice President, and by the Secretary or an Assistant Secretary, or the Treasurer or an Assistant Treasurer, certifying the number of shares owned by him or her. Any or all of the signatures on the certificate may be by facsimile.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Transfers of Stock.</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Transfers of stock shall he made only upon the transfer books of the Company kept at an office of the Company or by transfer agents designated to transfer shares of the stock of the Company. Except where a certificate is issued in accordance with Section 4 of Article V of these By-laws, an outstanding certificate for the number of shares involved shall be surrendered for cancellation before a new certificate is issued therefor.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Record Date.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order that the Company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93" w:lineRule="auto"/>
        <w:tabs>
          <w:tab w:leader="none" w:pos="345"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ectPr>
          <w:pgSz w:w="11900" w:h="16838" w:orient="portrait"/>
          <w:cols w:equalWidth="0" w:num="1">
            <w:col w:w="11400"/>
          </w:cols>
          <w:pgMar w:left="240" w:top="341" w:right="259" w:bottom="0" w:gutter="0" w:footer="0" w:header="0"/>
        </w:sectPr>
      </w:pPr>
    </w:p>
    <w:bookmarkStart w:id="84" w:name="page85"/>
    <w:bookmarkEnd w:id="84"/>
    <w:p>
      <w:pPr>
        <w:ind w:right="60"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order that the Company may determine the stockholders entitled to consent to corporate action in writing without a meeting, the Board of Directors may fix a record date, which shall not precede the date upon which the resolution fixing the record date is adopted by the Board of Directors, and which record date shall be not more than ten (10)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signed written consent setting forth the action taken or proposed to be taken is delivered to the Company 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manner prescribed by Article I, Section 9 hereof. If no record date has been fixed by the Board of Directors and prior action by the Board of Directors is required by the Delaware General Corporation Law with respect to the proposed action by written consent of the stockholders, the record date for determining stockholders entitled to consent to corporate action in writing shall be at the close of business on the day on which the Board of Directors adopts the resolution taking such prior action.</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Lost, Stolen or Destroyed Certificates.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Regulations.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issue, transfer, conversion and registration of certificates of stock shall be governed by such other regulations as the Board of Directors may establish.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 </w:t>
      </w:r>
      <w:r>
        <w:rPr>
          <w:rFonts w:ascii="Arial" w:cs="Arial" w:eastAsia="Arial" w:hAnsi="Arial"/>
          <w:sz w:val="18"/>
          <w:szCs w:val="18"/>
          <w:u w:val="single" w:color="auto"/>
          <w:color w:val="auto"/>
        </w:rPr>
        <w:t>NOTICES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specifically provided herein or required by law, all notices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required to be given to any stockholder, director, officer, employee or agent shall be in writing and may in every instance be effectively given by hand delivery to the recipient thereof, by depositing such notice in the mails, postage paid, by sending such notice by prepaid telegram or mailgram, or by transmitting such notice by facsimile. Any such notice shall be addressed to such stockholder, director, officer, employee or agent at his or her last known address as the same appears on the books of the Company. The time when such notice is received, if hand delivered, or dispatched, if delivered through the mails or by telegram or mailgram, shall be the time of the giving of the notice.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Waivers.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Facsimile Signatures.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Company may be used whenever and as authorized by the Board of Directors or a committee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Corporate Seal.</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Board of Directors may provide a suitable seal, containing the name of the Company, which seal shall be in the charge of the Secretary. If and when so directed by the Board of Directors or a committee thereof, duplicates of the seal may be kept and used by the Treasurer or by an Assistant Secretary or Assistant Treasurer.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Reliance upon Books, Reports and Records.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director, each member of any committee designated by the Board of Directors, and each officer of the Company shall, in the performance of his or her duties, be fully protected in relying in good faith upon the books of account or other records of the Company and upon such information, opinions, reports or statements presented to the Company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Company.</w:t>
      </w:r>
    </w:p>
    <w:p>
      <w:pPr>
        <w:sectPr>
          <w:pgSz w:w="11900" w:h="16838" w:orient="portrait"/>
          <w:cols w:equalWidth="0" w:num="1">
            <w:col w:w="11400"/>
          </w:cols>
          <w:pgMar w:left="240" w:top="125" w:right="259" w:bottom="0" w:gutter="0" w:footer="0" w:header="0"/>
        </w:sectPr>
      </w:pPr>
    </w:p>
    <w:bookmarkStart w:id="85" w:name="page86"/>
    <w:bookmarkEnd w:id="85"/>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Company shall be as fixed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Time Periods.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81" w:lineRule="exact"/>
        <w:rPr>
          <w:sz w:val="20"/>
          <w:szCs w:val="20"/>
          <w:color w:val="auto"/>
        </w:rPr>
      </w:pPr>
    </w:p>
    <w:p>
      <w:pPr>
        <w:ind w:left="2980"/>
        <w:spacing w:after="0"/>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INDEMNIFICATION OF DIRECTORS AND OFFICERS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u w:val="single" w:color="auto"/>
          <w:color w:val="auto"/>
        </w:rPr>
        <w:t>Right to Indemnification.</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Company or is or was serving at the</w:t>
      </w:r>
      <w:r>
        <w:rPr>
          <w:rFonts w:ascii="Arial" w:cs="Arial" w:eastAsia="Arial" w:hAnsi="Arial"/>
          <w:sz w:val="10"/>
          <w:szCs w:val="10"/>
          <w:color w:val="auto"/>
        </w:rPr>
        <w:t>.</w:t>
      </w:r>
      <w:r>
        <w:rPr>
          <w:rFonts w:ascii="Arial" w:cs="Arial" w:eastAsia="Arial" w:hAnsi="Arial"/>
          <w:sz w:val="16"/>
          <w:szCs w:val="16"/>
          <w:color w:val="auto"/>
        </w:rPr>
        <w:t xml:space="preserve"> request of the Company as a director, or officer (hereinafter an “indemnitee”), whether the basis of such proceeding is alleged action in an official capacity as a director or officer or in any other capacity while serving as a director or officer, shall be indemnified and held harmless by the Company to the fullest extent authorized by the Delaware General Corporation Law, as the same exists or may hereafter be amended (but, in the case of any such amendment, only to the extent that such amendment permits the Company to provide broader indemnification rights than such law permitted the Company to provide prior to such amendment), against all expense, liability and loss (including attorneys’ fees, judgments, fines, ERISA excise taxes or penalties and amounts paid in settlement) reasonably incurred or suffered by such indemnitee in connection therewith; provided, however,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except as provided in Section 3 of this ARTICLE VIII with respect to proceedings to enforce rights to indemnification, the Company shall indemnify any such indemnitee in connection with a proceeding (or part thereof) initiated by such indemnitee only if such proceeding (or part thereof) was authorized by the Board of Directors of the Company,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Right to Advancement of Expenses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right to indemnification conferred in Section 1 of this ARTICLE VIII shall include the right to he paid by the Company the expenses (including attorney’s fees)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Company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2 or otherwise, The rights to indemnification and to the advancement of expenses conferred in Sections 1 and 2 of this ARTICLE VIII shall be contract rights and such rights shall continue as to an indemnitee who has ceased to be a director, officer, employee or agent and shall inure to the benefit of the indemnitee’s heirs, executors and administrators.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a claim under Section 1 or 2 of this ARTICLE VIII is not paid in full by the Company within sixty (60) days after a written claim has been received by the Company, except in the case of a claim for an advancement of expenses, in which case the applicable period shall be twenty (20) days, the indemnitee may at any time thereafter bring suit against the Company to recover the unpaid amount of the claim. If successful in whole or in part in any such suit, or in a suit brought by the Company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Company to recover an advancement of expenses pursuant to the terms of an undertaking, the Company shall be entitled to recover such expenses upon a final adjudication that, the indemnitee has not met any applicable standard for indemnification set forth in the Delaware General Corporation Law. Neither the failure of the Company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Company (including its Board of Directors, independent legal counsel, or its stockholders) that the indemnitee has not met such applicable standard of conduct, shall create a presumption that the indemnitee has not met the applicable standard of conduct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case of such a suit brought by the indemnitee, be a defense to such suit. 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ARTICLE VIII or otherwise shall be on the Company.</w:t>
      </w:r>
    </w:p>
    <w:p>
      <w:pPr>
        <w:sectPr>
          <w:pgSz w:w="11900" w:h="16838" w:orient="portrait"/>
          <w:cols w:equalWidth="0" w:num="1">
            <w:col w:w="11420"/>
          </w:cols>
          <w:pgMar w:left="240" w:top="125" w:right="239" w:bottom="0" w:gutter="0" w:footer="0" w:header="0"/>
        </w:sectPr>
      </w:pPr>
    </w:p>
    <w:bookmarkStart w:id="86" w:name="page87"/>
    <w:bookmarkEnd w:id="86"/>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rights to indemnification and to the advancement of expenses conferred in this ARTICLE VIII shall not be exclusive of any other right which any person may have or hereafter acquire under any statute, the Company’s Certificate of Incorporation, By-laws, agreement, vote of stockholders or disinterested directors or otherwise.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Delaware law.</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Indemnification of Employees and Agents of the Company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may, to the extent authorized from time to time by the Board of Directors, grant rights to indemnification and to the advancement of expenses to any employee or agent of the Company to the fullest extent of the provisions of this Article with respect to the indemnification and advancement of expenses of directors and officers of the Company.</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By-laws may be amended or repealed by the Board of Directors at any meeting or by the stockholders at any meeting.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William G. Popeo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G Popeo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Report of Condition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 251 Little Falls Drive, Wilmington, Delaware 19808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 the close of business March 31, 2018, filed in accordance with 5 Del. Laws, c.9, §904</w:t>
      </w:r>
    </w:p>
    <w:p>
      <w:pPr>
        <w:spacing w:after="0" w:line="202" w:lineRule="exact"/>
        <w:rPr>
          <w:sz w:val="20"/>
          <w:szCs w:val="20"/>
          <w:color w:val="auto"/>
        </w:rPr>
      </w:pPr>
    </w:p>
    <w:p>
      <w:pPr>
        <w:jc w:val="center"/>
        <w:ind w:left="9840"/>
        <w:spacing w:after="0"/>
        <w:rPr>
          <w:sz w:val="20"/>
          <w:szCs w:val="20"/>
          <w:color w:val="auto"/>
        </w:rPr>
      </w:pPr>
      <w:r>
        <w:rPr>
          <w:rFonts w:ascii="Arial" w:cs="Arial" w:eastAsia="Arial" w:hAnsi="Arial"/>
          <w:sz w:val="14"/>
          <w:szCs w:val="14"/>
          <w:b w:val="1"/>
          <w:bCs w:val="1"/>
          <w:color w:val="auto"/>
        </w:rPr>
        <w:t>Dollar Amounts</w:t>
      </w:r>
    </w:p>
    <w:p>
      <w:pPr>
        <w:jc w:val="center"/>
        <w:ind w:left="9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ASSETS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and balances due from depository institutions: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Noninterest-bearing balances and currency and coin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tabs>
          <w:tab w:leader="none" w:pos="10880" w:val="left"/>
        </w:tabs>
        <w:rPr>
          <w:sz w:val="20"/>
          <w:szCs w:val="20"/>
          <w:color w:val="auto"/>
        </w:rPr>
      </w:pPr>
      <w:r>
        <w:rPr>
          <w:rFonts w:ascii="Arial" w:cs="Arial" w:eastAsia="Arial" w:hAnsi="Arial"/>
          <w:sz w:val="18"/>
          <w:szCs w:val="18"/>
          <w:color w:val="auto"/>
        </w:rPr>
        <w:t>Interest-bearing balances</w:t>
      </w:r>
      <w:r>
        <w:rPr>
          <w:sz w:val="20"/>
          <w:szCs w:val="20"/>
          <w:color w:val="auto"/>
        </w:rPr>
        <w:tab/>
      </w:r>
      <w:r>
        <w:rPr>
          <w:rFonts w:ascii="Arial" w:cs="Arial" w:eastAsia="Arial" w:hAnsi="Arial"/>
          <w:sz w:val="16"/>
          <w:szCs w:val="16"/>
          <w:color w:val="auto"/>
        </w:rPr>
        <w:t>2,150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Held-to-maturity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Federal funds sold and securities purchased under agreements to resell: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 funds sold in domestic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3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320"/>
          </w:cols>
          <w:pgMar w:left="240" w:top="125" w:right="33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3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Trading Assets</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assets</w:t>
            </w:r>
          </w:p>
        </w:tc>
        <w:tc>
          <w:tcPr>
            <w:tcW w:w="356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112,159</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Deposits: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520"/>
              <w:spacing w:after="0"/>
              <w:rPr>
                <w:sz w:val="20"/>
                <w:szCs w:val="20"/>
                <w:color w:val="auto"/>
              </w:rPr>
            </w:pPr>
            <w:r>
              <w:rPr>
                <w:rFonts w:ascii="Arial" w:cs="Arial" w:eastAsia="Arial" w:hAnsi="Arial"/>
                <w:sz w:val="18"/>
                <w:szCs w:val="18"/>
                <w:color w:val="auto"/>
              </w:rPr>
              <w:t>Noninterest-bearing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Interest-bearing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Noninterest-bearing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520"/>
              <w:spacing w:after="0"/>
              <w:rPr>
                <w:sz w:val="20"/>
                <w:szCs w:val="20"/>
                <w:color w:val="auto"/>
              </w:rPr>
            </w:pPr>
            <w:r>
              <w:rPr>
                <w:rFonts w:ascii="Arial" w:cs="Arial" w:eastAsia="Arial" w:hAnsi="Arial"/>
                <w:sz w:val="18"/>
                <w:szCs w:val="18"/>
                <w:color w:val="auto"/>
              </w:rPr>
              <w:t>Interest-bearing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Trading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5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notes and debentures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Total liabilities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EQUITY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Retained earnings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Total institution equity capital</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109,675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 Thomas C. Porth, CFO of the above-named State Non-Depository Trust Company, do hereby declare that this Report of Condition has been prepared in conformance with the instructions issued by the appropriate State regulatory authority and is true to the best of my knowledge and belief.</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Thomas C. Porth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C. Porth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0" w:lineRule="exact"/>
        <w:rPr>
          <w:sz w:val="20"/>
          <w:szCs w:val="20"/>
          <w:color w:val="auto"/>
        </w:rPr>
      </w:pPr>
    </w:p>
    <w:p>
      <w:pPr>
        <w:spacing w:after="0" w:line="22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3"/>
          </w:tcPr>
          <w:p>
            <w:pPr>
              <w:jc w:val="right"/>
              <w:ind w:right="4300"/>
              <w:spacing w:after="0"/>
              <w:rPr>
                <w:sz w:val="20"/>
                <w:szCs w:val="20"/>
                <w:color w:val="auto"/>
              </w:rPr>
            </w:pPr>
            <w:r>
              <w:rPr>
                <w:rFonts w:ascii="Arial" w:cs="Arial" w:eastAsia="Arial" w:hAnsi="Arial"/>
                <w:sz w:val="18"/>
                <w:szCs w:val="18"/>
                <w:color w:val="auto"/>
                <w:w w:val="91"/>
              </w:rPr>
              <w:t>/s/ William G. Popeo</w:t>
            </w:r>
          </w:p>
        </w:tc>
        <w:tc>
          <w:tcPr>
            <w:tcW w:w="5600" w:type="dxa"/>
            <w:vAlign w:val="bottom"/>
          </w:tcPr>
          <w:p>
            <w:pPr>
              <w:spacing w:after="0"/>
              <w:rPr>
                <w:sz w:val="20"/>
                <w:szCs w:val="20"/>
                <w:color w:val="auto"/>
              </w:rPr>
            </w:pPr>
            <w:r>
              <w:rPr>
                <w:rFonts w:ascii="Arial" w:cs="Arial" w:eastAsia="Arial" w:hAnsi="Arial"/>
                <w:sz w:val="18"/>
                <w:szCs w:val="18"/>
                <w:color w:val="auto"/>
              </w:rPr>
              <w:t>/s/ Ian R. McConnel</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right"/>
              <w:ind w:right="4010"/>
              <w:spacing w:after="0"/>
              <w:rPr>
                <w:sz w:val="20"/>
                <w:szCs w:val="20"/>
                <w:color w:val="auto"/>
              </w:rPr>
            </w:pPr>
            <w:r>
              <w:rPr>
                <w:rFonts w:ascii="Arial" w:cs="Arial" w:eastAsia="Arial" w:hAnsi="Arial"/>
                <w:sz w:val="18"/>
                <w:szCs w:val="18"/>
                <w:color w:val="auto"/>
              </w:rPr>
              <w:t>William G. Popeo</w:t>
            </w:r>
          </w:p>
        </w:tc>
        <w:tc>
          <w:tcPr>
            <w:tcW w:w="200" w:type="dxa"/>
            <w:vAlign w:val="bottom"/>
          </w:tcPr>
          <w:p>
            <w:pPr>
              <w:spacing w:after="0"/>
              <w:rPr>
                <w:sz w:val="19"/>
                <w:szCs w:val="19"/>
                <w:color w:val="auto"/>
              </w:rPr>
            </w:pPr>
          </w:p>
        </w:tc>
        <w:tc>
          <w:tcPr>
            <w:tcW w:w="56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Ian R. McConnel</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2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lowerRoman"/>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609"/>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235BA861"/>
    <w:multiLevelType w:val="hybridMultilevel"/>
    <w:lvl w:ilvl="0">
      <w:lvlJc w:val="left"/>
      <w:lvlText w:val="(%1)"/>
      <w:numFmt w:val="lowerRoman"/>
      <w:start w:val="3"/>
    </w:lvl>
  </w:abstractNum>
  <w:abstractNum w:abstractNumId="22">
    <w:nsid w:val="47398C89"/>
    <w:multiLevelType w:val="hybridMultilevel"/>
    <w:lvl w:ilvl="0">
      <w:lvlJc w:val="left"/>
      <w:lvlText w:val="(%1)"/>
      <w:numFmt w:val="decimal"/>
      <w:start w:val="2"/>
    </w:lvl>
    <w:lvl w:ilvl="1">
      <w:lvlJc w:val="left"/>
      <w:lvlText w:val="(%2)"/>
      <w:numFmt w:val="lowerRoman"/>
      <w:start w:val="1"/>
    </w:lvl>
  </w:abstractNum>
  <w:abstractNum w:abstractNumId="23">
    <w:nsid w:val="354FE9F9"/>
    <w:multiLevelType w:val="hybridMultilevel"/>
    <w:lvl w:ilvl="0">
      <w:lvlJc w:val="left"/>
      <w:lvlText w:val="%1"/>
      <w:numFmt w:val="lowerLetter"/>
      <w:start w:val="1"/>
    </w:lvl>
    <w:lvl w:ilvl="1">
      <w:lvlJc w:val="left"/>
      <w:lvlText w:val="(%2)"/>
      <w:numFmt w:val="lowerRoman"/>
      <w:start w:val="1"/>
    </w:lvl>
  </w:abstractNum>
  <w:abstractNum w:abstractNumId="24">
    <w:nsid w:val="15B5AF5C"/>
    <w:multiLevelType w:val="hybridMultilevel"/>
    <w:lvl w:ilvl="0">
      <w:lvlJc w:val="left"/>
      <w:lvlText w:val="(%1)"/>
      <w:numFmt w:val="lowerLetter"/>
      <w:start w:val="2"/>
    </w:lvl>
    <w:lvl w:ilvl="1">
      <w:lvlJc w:val="left"/>
      <w:lvlText w:val="%2"/>
      <w:numFmt w:val="lowerRoman"/>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2"/>
    </w:lvl>
  </w:abstractNum>
  <w:abstractNum w:abstractNumId="27">
    <w:nsid w:val="10233C99"/>
    <w:multiLevelType w:val="hybridMultilevel"/>
    <w:lvl w:ilvl="0">
      <w:lvlJc w:val="left"/>
      <w:lvlText w:val="(%1)"/>
      <w:numFmt w:val="decimal"/>
      <w:start w:val="4"/>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3"/>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5"/>
    </w:lvl>
  </w:abstractNum>
  <w:abstractNum w:abstractNumId="37">
    <w:nsid w:val="1DBABF00"/>
    <w:multiLevelType w:val="hybridMultilevel"/>
    <w:lvl w:ilvl="0">
      <w:lvlJc w:val="left"/>
      <w:lvlText w:val="(%1)"/>
      <w:numFmt w:val="lowerLetter"/>
      <w:start w:val="6"/>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lowerLetter"/>
      <w:start w:val="2"/>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2"/>
    </w:lvl>
  </w:abstractNum>
  <w:abstractNum w:abstractNumId="42">
    <w:nsid w:val="100F8FC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43">
    <w:nsid w:val="6590700B"/>
    <w:multiLevelType w:val="hybridMultilevel"/>
    <w:lvl w:ilvl="0">
      <w:lvlJc w:val="left"/>
      <w:lvlText w:val="(%1)"/>
      <w:numFmt w:val="decimal"/>
      <w:start w:val="4"/>
    </w:lvl>
  </w:abstractNum>
  <w:abstractNum w:abstractNumId="44">
    <w:nsid w:val="15014ACB"/>
    <w:multiLevelType w:val="hybridMultilevel"/>
    <w:lvl w:ilvl="0">
      <w:lvlJc w:val="left"/>
      <w:lvlText w:val="(%1)"/>
      <w:numFmt w:val="decimal"/>
      <w:start w:val="5"/>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1"/>
    </w:lvl>
    <w:lvl w:ilvl="1">
      <w:lvlJc w:val="left"/>
      <w:lvlText w:val="(%2)"/>
      <w:numFmt w:val="lowerRoman"/>
      <w:start w:val="1"/>
    </w:lvl>
  </w:abstractNum>
  <w:abstractNum w:abstractNumId="47">
    <w:nsid w:val="799D0247"/>
    <w:multiLevelType w:val="hybridMultilevel"/>
    <w:lvl w:ilvl="0">
      <w:lvlJc w:val="left"/>
      <w:lvlText w:val="(%1)"/>
      <w:numFmt w:val="lowerLetter"/>
      <w:start w:val="6"/>
    </w:lvl>
    <w:lvl w:ilvl="1">
      <w:lvlJc w:val="left"/>
      <w:lvlText w:val="(%2)"/>
      <w:numFmt w:val="lowerRoman"/>
      <w:start w:val="1"/>
    </w:lvl>
  </w:abstractNum>
  <w:abstractNum w:abstractNumId="48">
    <w:nsid w:val="6B94764"/>
    <w:multiLevelType w:val="hybridMultilevel"/>
    <w:lvl w:ilvl="0">
      <w:lvlJc w:val="left"/>
      <w:lvlText w:val="(%1)"/>
      <w:numFmt w:val="lowerLetter"/>
      <w:start w:val="6"/>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lowerLetter"/>
      <w:start w:val="1"/>
    </w:lvl>
    <w:lvl w:ilvl="1">
      <w:lvlJc w:val="left"/>
      <w:lvlText w:val="(%2)"/>
      <w:numFmt w:val="lowerRoman"/>
      <w:start w:val="1"/>
    </w:lvl>
  </w:abstractNum>
  <w:abstractNum w:abstractNumId="51">
    <w:nsid w:val="1EBA5D23"/>
    <w:multiLevelType w:val="hybridMultilevel"/>
    <w:lvl w:ilvl="0">
      <w:lvlJc w:val="left"/>
      <w:lvlText w:val="%1"/>
      <w:numFmt w:val="lowerLetter"/>
      <w:start w:val="1"/>
    </w:lvl>
    <w:lvl w:ilvl="1">
      <w:lvlJc w:val="left"/>
      <w:lvlText w:val="(%2)"/>
      <w:numFmt w:val="lowerRoman"/>
      <w:start w:val="2"/>
    </w:lvl>
  </w:abstractNum>
  <w:abstractNum w:abstractNumId="52">
    <w:nsid w:val="661E3F1E"/>
    <w:multiLevelType w:val="hybridMultilevel"/>
    <w:lvl w:ilvl="0">
      <w:lvlJc w:val="left"/>
      <w:lvlText w:val="(%1)"/>
      <w:numFmt w:val="lowerLetter"/>
      <w:start w:val="4"/>
    </w:lvl>
    <w:lvl w:ilvl="1">
      <w:lvlJc w:val="left"/>
      <w:lvlText w:val="%2"/>
      <w:numFmt w:val="lowerRoman"/>
      <w:start w:val="1"/>
    </w:lvl>
  </w:abstractNum>
  <w:abstractNum w:abstractNumId="53">
    <w:nsid w:val="5DC79EA8"/>
    <w:multiLevelType w:val="hybridMultilevel"/>
    <w:lvl w:ilvl="0">
      <w:lvlJc w:val="left"/>
      <w:lvlText w:val="(%1)"/>
      <w:numFmt w:val="lowerLetter"/>
      <w:start w:val="6"/>
    </w:lvl>
  </w:abstractNum>
  <w:abstractNum w:abstractNumId="54">
    <w:nsid w:val="540A471C"/>
    <w:multiLevelType w:val="hybridMultilevel"/>
    <w:lvl w:ilvl="0">
      <w:lvlJc w:val="left"/>
      <w:lvlText w:val="(%1)"/>
      <w:numFmt w:val="lowerLetter"/>
      <w:start w:val="1"/>
    </w:lvl>
  </w:abstractNum>
  <w:abstractNum w:abstractNumId="55">
    <w:nsid w:val="7BD3EE7B"/>
    <w:multiLevelType w:val="hybridMultilevel"/>
    <w:lvl w:ilvl="0">
      <w:lvlJc w:val="left"/>
      <w:lvlText w:val="(%1)"/>
      <w:numFmt w:val="lowerLetter"/>
      <w:start w:val="3"/>
    </w:lvl>
  </w:abstractNum>
  <w:abstractNum w:abstractNumId="56">
    <w:nsid w:val="51D9C564"/>
    <w:multiLevelType w:val="hybridMultilevel"/>
    <w:lvl w:ilvl="0">
      <w:lvlJc w:val="left"/>
      <w:lvlText w:val="(%1)"/>
      <w:numFmt w:val="lowerLetter"/>
      <w:start w:val="4"/>
    </w:lvl>
  </w:abstractNum>
  <w:abstractNum w:abstractNumId="57">
    <w:nsid w:val="613EFDC5"/>
    <w:multiLevelType w:val="hybridMultilevel"/>
    <w:lvl w:ilvl="0">
      <w:lvlJc w:val="left"/>
      <w:lvlText w:val="(%1)"/>
      <w:numFmt w:val="lowerLetter"/>
      <w:start w:val="13"/>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3"/>
    </w:lvl>
  </w:abstractNum>
  <w:abstractNum w:abstractNumId="60">
    <w:nsid w:val="42963E5A"/>
    <w:multiLevelType w:val="hybridMultilevel"/>
    <w:lvl w:ilvl="0">
      <w:lvlJc w:val="left"/>
      <w:lvlText w:val="(%1)"/>
      <w:numFmt w:val="decimal"/>
      <w:start w:val="2"/>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1"/>
    </w:lvl>
    <w:lvl w:ilvl="1">
      <w:lvlJc w:val="left"/>
      <w:lvlText w:val="(%2)"/>
      <w:numFmt w:val="upperLetter"/>
      <w:start w:val="1"/>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8"/>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1"/>
    </w:lvl>
    <w:lvl w:ilvl="1">
      <w:lvlJc w:val="left"/>
      <w:lvlText w:val="(%2)"/>
      <w:numFmt w:val="lowerRoman"/>
      <w:start w:val="1"/>
    </w:lvl>
  </w:abstractNum>
  <w:abstractNum w:abstractNumId="67">
    <w:nsid w:val="60B6DF70"/>
    <w:multiLevelType w:val="hybridMultilevel"/>
    <w:lvl w:ilvl="0">
      <w:lvlJc w:val="left"/>
      <w:lvlText w:val="(%1)"/>
      <w:numFmt w:val="lowerLetter"/>
      <w:start w:val="2"/>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Roman"/>
      <w:start w:val="3"/>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decimal"/>
      <w:start w:val="3"/>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5"/>
    </w:lvl>
  </w:abstractNum>
  <w:abstractNum w:abstractNumId="76">
    <w:nsid w:val="6F6DD9AC"/>
    <w:multiLevelType w:val="hybridMultilevel"/>
    <w:lvl w:ilvl="0">
      <w:lvlJc w:val="left"/>
      <w:lvlText w:val="%1."/>
      <w:numFmt w:val="decimal"/>
      <w:start w:val="6"/>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5"/>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5"/>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9"/>
    </w:lvl>
  </w:abstractNum>
  <w:abstractNum w:abstractNumId="83">
    <w:nsid w:val="3222E7CD"/>
    <w:multiLevelType w:val="hybridMultilevel"/>
    <w:lvl w:ilvl="0">
      <w:lvlJc w:val="left"/>
      <w:lvlText w:val="(%1)"/>
      <w:numFmt w:val="lowerLetter"/>
      <w:start w:val="15"/>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7"/>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Roman"/>
      <w:start w:val="4"/>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2"/>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7"/>
    </w:lvl>
  </w:abstractNum>
  <w:abstractNum w:abstractNumId="93">
    <w:nsid w:val="60EF0119"/>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jpeg"/><Relationship Id="rId120" Type="http://schemas.openxmlformats.org/officeDocument/2006/relationships/image" Target="media/image109.jpe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jpe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jpe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jpe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jpe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jpe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jpe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jpe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jpe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jpe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51" Type="http://schemas.openxmlformats.org/officeDocument/2006/relationships/hyperlink" Target="http://www.sec.gov/Archives/edgar/data/1567683/000156768316000043/yieldincex312016q1.htm" TargetMode="External"/><Relationship Id="rId52" Type="http://schemas.openxmlformats.org/officeDocument/2006/relationships/hyperlink" Target="http://www.sec.gov/Archives/edgar/data/1567683/000156768316000031/yieldincex34201510k.htm" TargetMode="External"/><Relationship Id="rId53" Type="http://schemas.openxmlformats.org/officeDocument/2006/relationships/hyperlink" Target="http://www.sec.gov/Archives/edgar/data/1567683/000110465915036311/a15-11016_1ex4d1.htm" TargetMode="External"/><Relationship Id="rId54" Type="http://schemas.openxmlformats.org/officeDocument/2006/relationships/hyperlink" Target="http://www.sec.gov/Archives/edgar/data/1567683/000110465915036311/a15-11016_1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2019-12-08T05:36:11Z</dcterms:created>
  <dcterms:modified xsi:type="dcterms:W3CDTF">2019-12-08T05:36:11Z</dcterms:modified>
</cp:coreProperties>
</file>