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252095</wp:posOffset>
            </wp:positionH>
            <wp:positionV relativeFrom="page">
              <wp:posOffset>826135</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drawing>
          <wp:anchor simplePos="0" relativeHeight="251657728" behindDoc="1" locked="0" layoutInCell="0" allowOverlap="1">
            <wp:simplePos x="0" y="0"/>
            <wp:positionH relativeFrom="page">
              <wp:posOffset>252095</wp:posOffset>
            </wp:positionH>
            <wp:positionV relativeFrom="page">
              <wp:posOffset>723265</wp:posOffset>
            </wp:positionV>
            <wp:extent cx="705802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26035"/>
                    </a:xfrm>
                    <a:prstGeom prst="rect">
                      <a:avLst/>
                    </a:prstGeom>
                    <a:noFill/>
                  </pic:spPr>
                </pic:pic>
              </a:graphicData>
            </a:graphic>
          </wp:anchor>
        </w:drawing>
        <w:t>UNITED STATES SECURITIES AND EXCHANGE COMMISSION</w:t>
      </w:r>
    </w:p>
    <w:p>
      <w:pPr>
        <w:spacing w:after="0" w:line="22"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Form 10-K</w:t>
      </w:r>
    </w:p>
    <w:p>
      <w:pPr>
        <w:spacing w:after="0" w:line="148" w:lineRule="exact"/>
        <w:rPr>
          <w:sz w:val="24"/>
          <w:szCs w:val="24"/>
          <w:color w:val="auto"/>
        </w:rPr>
      </w:pPr>
    </w:p>
    <w:p>
      <w:pPr>
        <w:ind w:left="500" w:right="2140" w:hanging="361"/>
        <w:spacing w:after="0" w:line="282"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ind w:left="500" w:hanging="361"/>
        <w:spacing w:after="0" w:line="184" w:lineRule="auto"/>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96" w:lineRule="exact"/>
        <w:rPr>
          <w:sz w:val="24"/>
          <w:szCs w:val="24"/>
          <w:color w:val="auto"/>
        </w:rPr>
      </w:pPr>
    </w:p>
    <w:p>
      <w:pPr>
        <w:ind w:left="500"/>
        <w:spacing w:after="0"/>
        <w:tabs>
          <w:tab w:leader="none" w:pos="3840" w:val="left"/>
          <w:tab w:leader="none" w:pos="50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333-203369</w:t>
      </w:r>
    </w:p>
    <w:p>
      <w:pPr>
        <w:spacing w:after="0" w:line="61"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NRG Yield LLC</w:t>
      </w:r>
    </w:p>
    <w:p>
      <w:pPr>
        <w:spacing w:after="0" w:line="105" w:lineRule="exact"/>
        <w:rPr>
          <w:sz w:val="24"/>
          <w:szCs w:val="24"/>
          <w:color w:val="auto"/>
        </w:rPr>
      </w:pPr>
    </w:p>
    <w:p>
      <w:pPr>
        <w:jc w:val="center"/>
        <w:ind w:right="-239"/>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1420"/>
          </w:cols>
          <w:pgMar w:left="240" w:top="1409" w:right="239" w:bottom="1440" w:gutter="0" w:footer="0" w:header="0"/>
        </w:sectPr>
      </w:pPr>
    </w:p>
    <w:p>
      <w:pPr>
        <w:spacing w:after="0" w:line="177" w:lineRule="exact"/>
        <w:rPr>
          <w:sz w:val="24"/>
          <w:szCs w:val="24"/>
          <w:color w:val="auto"/>
        </w:rPr>
      </w:pPr>
    </w:p>
    <w:p>
      <w:pPr>
        <w:jc w:val="center"/>
        <w:ind w:right="94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jc w:val="center"/>
        <w:ind w:right="940"/>
        <w:spacing w:after="0"/>
        <w:rPr>
          <w:sz w:val="20"/>
          <w:szCs w:val="20"/>
          <w:color w:val="auto"/>
        </w:rPr>
      </w:pPr>
      <w:r>
        <w:rPr>
          <w:rFonts w:ascii="Arial" w:cs="Arial" w:eastAsia="Arial" w:hAnsi="Arial"/>
          <w:sz w:val="15"/>
          <w:szCs w:val="15"/>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1740"/>
        <w:spacing w:after="0"/>
        <w:rPr>
          <w:sz w:val="20"/>
          <w:szCs w:val="20"/>
          <w:color w:val="auto"/>
        </w:rPr>
      </w:pPr>
      <w:r>
        <w:rPr>
          <w:rFonts w:ascii="Arial" w:cs="Arial" w:eastAsia="Arial" w:hAnsi="Arial"/>
          <w:sz w:val="16"/>
          <w:szCs w:val="16"/>
          <w:b w:val="1"/>
          <w:bCs w:val="1"/>
          <w:color w:val="auto"/>
        </w:rPr>
        <w:t>32-0407370</w:t>
      </w:r>
    </w:p>
    <w:p>
      <w:pPr>
        <w:spacing w:after="0" w:line="26" w:lineRule="exact"/>
        <w:rPr>
          <w:sz w:val="24"/>
          <w:szCs w:val="24"/>
          <w:color w:val="auto"/>
        </w:rPr>
      </w:pPr>
    </w:p>
    <w:p>
      <w:pPr>
        <w:jc w:val="center"/>
        <w:ind w:right="1740"/>
        <w:spacing w:after="0"/>
        <w:rPr>
          <w:sz w:val="20"/>
          <w:szCs w:val="20"/>
          <w:color w:val="auto"/>
        </w:rPr>
      </w:pPr>
      <w:r>
        <w:rPr>
          <w:rFonts w:ascii="Arial" w:cs="Arial" w:eastAsia="Arial" w:hAnsi="Arial"/>
          <w:sz w:val="15"/>
          <w:szCs w:val="15"/>
          <w:i w:val="1"/>
          <w:iCs w:val="1"/>
          <w:color w:val="auto"/>
        </w:rPr>
        <w:t>(I.R.S. Employer Identification No.)</w:t>
      </w:r>
    </w:p>
    <w:p>
      <w:pPr>
        <w:spacing w:after="0" w:line="200" w:lineRule="exact"/>
        <w:rPr>
          <w:sz w:val="24"/>
          <w:szCs w:val="24"/>
          <w:color w:val="auto"/>
        </w:rPr>
      </w:pPr>
    </w:p>
    <w:p>
      <w:pPr>
        <w:sectPr>
          <w:pgSz w:w="11900" w:h="16838" w:orient="portrait"/>
          <w:cols w:equalWidth="0" w:num="2">
            <w:col w:w="6640" w:space="720"/>
            <w:col w:w="4060"/>
          </w:cols>
          <w:pgMar w:left="240" w:top="1409" w:right="239" w:bottom="1440" w:gutter="0" w:footer="0" w:header="0"/>
          <w:type w:val="continuous"/>
        </w:sectPr>
      </w:pPr>
    </w:p>
    <w:p>
      <w:pPr>
        <w:spacing w:after="0" w:line="11"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211 Carnegie Center, Princeton, New Jersey</w:t>
      </w:r>
    </w:p>
    <w:p>
      <w:pPr>
        <w:spacing w:after="0" w:line="49" w:lineRule="exact"/>
        <w:rPr>
          <w:sz w:val="24"/>
          <w:szCs w:val="24"/>
          <w:color w:val="auto"/>
        </w:rPr>
      </w:pPr>
    </w:p>
    <w:p>
      <w:pPr>
        <w:ind w:left="160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60"/>
        <w:spacing w:after="0"/>
        <w:rPr>
          <w:sz w:val="20"/>
          <w:szCs w:val="20"/>
          <w:color w:val="auto"/>
        </w:rPr>
      </w:pPr>
      <w:r>
        <w:rPr>
          <w:rFonts w:ascii="Arial" w:cs="Arial" w:eastAsia="Arial" w:hAnsi="Arial"/>
          <w:sz w:val="16"/>
          <w:szCs w:val="16"/>
          <w:b w:val="1"/>
          <w:bCs w:val="1"/>
          <w:color w:val="auto"/>
        </w:rPr>
        <w:t>08540</w:t>
      </w:r>
    </w:p>
    <w:p>
      <w:pPr>
        <w:spacing w:after="0" w:line="26" w:lineRule="exact"/>
        <w:rPr>
          <w:sz w:val="24"/>
          <w:szCs w:val="24"/>
          <w:color w:val="auto"/>
        </w:rPr>
      </w:pPr>
    </w:p>
    <w:p>
      <w:pPr>
        <w:jc w:val="center"/>
        <w:ind w:right="2560"/>
        <w:spacing w:after="0"/>
        <w:rPr>
          <w:sz w:val="20"/>
          <w:szCs w:val="20"/>
          <w:color w:val="auto"/>
        </w:rPr>
      </w:pPr>
      <w:r>
        <w:rPr>
          <w:rFonts w:ascii="Arial" w:cs="Arial" w:eastAsia="Arial" w:hAnsi="Arial"/>
          <w:sz w:val="14"/>
          <w:szCs w:val="14"/>
          <w:i w:val="1"/>
          <w:iCs w:val="1"/>
          <w:color w:val="auto"/>
        </w:rPr>
        <w:t>(Zip Code)</w:t>
      </w:r>
    </w:p>
    <w:p>
      <w:pPr>
        <w:spacing w:after="0" w:line="60" w:lineRule="exact"/>
        <w:rPr>
          <w:sz w:val="24"/>
          <w:szCs w:val="24"/>
          <w:color w:val="auto"/>
        </w:rPr>
      </w:pPr>
    </w:p>
    <w:p>
      <w:pPr>
        <w:sectPr>
          <w:pgSz w:w="11900" w:h="16838" w:orient="portrait"/>
          <w:cols w:equalWidth="0" w:num="2">
            <w:col w:w="7440" w:space="720"/>
            <w:col w:w="3260"/>
          </w:cols>
          <w:pgMar w:left="240" w:top="1409" w:right="239" w:bottom="1440" w:gutter="0" w:footer="0" w:header="0"/>
          <w:type w:val="continuous"/>
        </w:sectPr>
      </w:pPr>
    </w:p>
    <w:p>
      <w:pPr>
        <w:ind w:left="5320"/>
        <w:spacing w:after="0"/>
        <w:rPr>
          <w:sz w:val="20"/>
          <w:szCs w:val="20"/>
          <w:color w:val="auto"/>
        </w:rPr>
      </w:pPr>
      <w:r>
        <w:rPr>
          <w:rFonts w:ascii="Arial" w:cs="Arial" w:eastAsia="Arial" w:hAnsi="Arial"/>
          <w:sz w:val="16"/>
          <w:szCs w:val="16"/>
          <w:b w:val="1"/>
          <w:bCs w:val="1"/>
          <w:color w:val="auto"/>
        </w:rPr>
        <w:t>(609) 524-4500</w:t>
      </w:r>
    </w:p>
    <w:p>
      <w:pPr>
        <w:spacing w:after="0" w:line="23" w:lineRule="exact"/>
        <w:rPr>
          <w:sz w:val="24"/>
          <w:szCs w:val="24"/>
          <w:color w:val="auto"/>
        </w:rPr>
      </w:pPr>
    </w:p>
    <w:p>
      <w:pPr>
        <w:ind w:left="412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5" w:lineRule="exact"/>
        <w:rPr>
          <w:sz w:val="24"/>
          <w:szCs w:val="24"/>
          <w:color w:val="auto"/>
        </w:rPr>
      </w:pPr>
    </w:p>
    <w:p>
      <w:pPr>
        <w:ind w:left="37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jc w:val="center"/>
        <w:ind w:right="-19"/>
        <w:spacing w:after="0"/>
        <w:rPr>
          <w:sz w:val="20"/>
          <w:szCs w:val="20"/>
          <w:color w:val="auto"/>
        </w:rPr>
      </w:pPr>
      <w:r>
        <w:rPr>
          <w:rFonts w:ascii="Arial" w:cs="Arial" w:eastAsia="Arial" w:hAnsi="Arial"/>
          <w:sz w:val="16"/>
          <w:szCs w:val="16"/>
          <w:b w:val="1"/>
          <w:bCs w:val="1"/>
          <w:color w:val="auto"/>
        </w:rPr>
        <w:t>None</w:t>
      </w:r>
    </w:p>
    <w:p>
      <w:pPr>
        <w:ind w:left="260"/>
        <w:spacing w:after="0"/>
        <w:tabs>
          <w:tab w:leader="none" w:pos="7120" w:val="left"/>
          <w:tab w:leader="none" w:pos="758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4"/>
          <w:szCs w:val="14"/>
          <w:color w:val="auto"/>
        </w:rPr>
        <w:t>Yes o</w:t>
        <w:tab/>
        <w:t>No x</w:t>
      </w:r>
    </w:p>
    <w:p>
      <w:pPr>
        <w:spacing w:after="0" w:line="151" w:lineRule="exact"/>
        <w:rPr>
          <w:sz w:val="24"/>
          <w:szCs w:val="24"/>
          <w:color w:val="auto"/>
        </w:rPr>
      </w:pPr>
    </w:p>
    <w:p>
      <w:pPr>
        <w:ind w:left="260"/>
        <w:spacing w:after="0"/>
        <w:tabs>
          <w:tab w:leader="none" w:pos="828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Exchange Act.  Yes x</w:t>
      </w:r>
      <w:r>
        <w:rPr>
          <w:sz w:val="20"/>
          <w:szCs w:val="20"/>
          <w:color w:val="auto"/>
        </w:rPr>
        <w:tab/>
      </w:r>
      <w:r>
        <w:rPr>
          <w:rFonts w:ascii="Arial" w:cs="Arial" w:eastAsia="Arial" w:hAnsi="Arial"/>
          <w:sz w:val="14"/>
          <w:szCs w:val="14"/>
          <w:color w:val="auto"/>
        </w:rPr>
        <w:t>No o</w:t>
      </w:r>
    </w:p>
    <w:p>
      <w:pPr>
        <w:spacing w:after="0" w:line="163" w:lineRule="exact"/>
        <w:rPr>
          <w:sz w:val="24"/>
          <w:szCs w:val="24"/>
          <w:color w:val="auto"/>
        </w:rPr>
      </w:pPr>
    </w:p>
    <w:p>
      <w:pPr>
        <w:jc w:val="both"/>
        <w:ind w:firstLine="243"/>
        <w:spacing w:after="0" w:line="277" w:lineRule="auto"/>
        <w:rPr>
          <w:sz w:val="20"/>
          <w:szCs w:val="20"/>
          <w:color w:val="auto"/>
        </w:rPr>
      </w:pPr>
      <w:r>
        <w:rPr>
          <w:rFonts w:ascii="Arial" w:cs="Arial" w:eastAsia="Arial" w:hAnsi="Arial"/>
          <w:sz w:val="13"/>
          <w:szCs w:val="13"/>
          <w:color w:val="auto"/>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 Yes o No o</w:t>
      </w:r>
    </w:p>
    <w:p>
      <w:pPr>
        <w:spacing w:after="0" w:line="120" w:lineRule="exact"/>
        <w:rPr>
          <w:sz w:val="24"/>
          <w:szCs w:val="24"/>
          <w:color w:val="auto"/>
        </w:rPr>
      </w:pPr>
    </w:p>
    <w:p>
      <w:pPr>
        <w:jc w:val="both"/>
        <w:ind w:right="20" w:firstLine="243"/>
        <w:spacing w:after="0" w:line="269"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 w:lineRule="exact"/>
        <w:rPr>
          <w:sz w:val="24"/>
          <w:szCs w:val="24"/>
          <w:color w:val="auto"/>
        </w:rPr>
      </w:pPr>
    </w:p>
    <w:p>
      <w:pPr>
        <w:jc w:val="both"/>
        <w:ind w:firstLine="243"/>
        <w:spacing w:after="0" w:line="247"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jc w:val="both"/>
        <w:ind w:right="20" w:firstLine="243"/>
        <w:spacing w:after="0" w:line="27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r>
        <w:rPr>
          <w:rFonts w:ascii="Arial" w:cs="Arial" w:eastAsia="Arial" w:hAnsi="Arial"/>
          <w:sz w:val="15"/>
          <w:szCs w:val="15"/>
          <w:color w:val="auto"/>
        </w:rPr>
        <w:t>.</w:t>
      </w:r>
    </w:p>
    <w:p>
      <w:pPr>
        <w:sectPr>
          <w:pgSz w:w="11900" w:h="16838" w:orient="portrait"/>
          <w:cols w:equalWidth="0" w:num="1">
            <w:col w:w="11420"/>
          </w:cols>
          <w:pgMar w:left="240" w:top="1409" w:right="239" w:bottom="1440" w:gutter="0" w:footer="0" w:header="0"/>
          <w:type w:val="continuous"/>
        </w:sectPr>
      </w:pPr>
    </w:p>
    <w:p>
      <w:pPr>
        <w:spacing w:after="0" w:line="140" w:lineRule="exact"/>
        <w:rPr>
          <w:sz w:val="24"/>
          <w:szCs w:val="24"/>
          <w:color w:val="auto"/>
        </w:rPr>
      </w:pPr>
    </w:p>
    <w:p>
      <w:pPr>
        <w:ind w:left="60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780"/>
        <w:spacing w:after="0"/>
        <w:rPr>
          <w:sz w:val="20"/>
          <w:szCs w:val="20"/>
          <w:color w:val="auto"/>
        </w:rPr>
      </w:pPr>
      <w:r>
        <w:rPr>
          <w:rFonts w:ascii="Arial" w:cs="Arial" w:eastAsia="Arial" w:hAnsi="Arial"/>
          <w:sz w:val="14"/>
          <w:szCs w:val="14"/>
          <w:color w:val="auto"/>
        </w:rPr>
        <w:t>Accelerated filer o</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 x</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o</w:t>
      </w:r>
    </w:p>
    <w:p>
      <w:pPr>
        <w:spacing w:after="0" w:line="96" w:lineRule="exact"/>
        <w:rPr>
          <w:sz w:val="24"/>
          <w:szCs w:val="24"/>
          <w:color w:val="auto"/>
        </w:rPr>
      </w:pPr>
    </w:p>
    <w:p>
      <w:pPr>
        <w:sectPr>
          <w:pgSz w:w="11900" w:h="16838" w:orient="portrait"/>
          <w:cols w:equalWidth="0" w:num="4">
            <w:col w:w="2940" w:space="720"/>
            <w:col w:w="1980" w:space="720"/>
            <w:col w:w="1960" w:space="720"/>
            <w:col w:w="2380"/>
          </w:cols>
          <w:pgMar w:left="240" w:top="1409" w:right="239" w:bottom="1440" w:gutter="0" w:footer="0" w:header="0"/>
          <w:type w:val="continuous"/>
        </w:sectPr>
      </w:pPr>
    </w:p>
    <w:p>
      <w:pPr>
        <w:jc w:val="center"/>
        <w:ind w:left="2780"/>
        <w:spacing w:after="0"/>
        <w:rPr>
          <w:sz w:val="20"/>
          <w:szCs w:val="20"/>
          <w:color w:val="auto"/>
        </w:rPr>
      </w:pPr>
      <w:r>
        <w:rPr>
          <w:rFonts w:ascii="Arial" w:cs="Arial" w:eastAsia="Arial" w:hAnsi="Arial"/>
          <w:sz w:val="14"/>
          <w:szCs w:val="14"/>
          <w:color w:val="auto"/>
        </w:rPr>
        <w:t>(Do not check if a smaller reporting</w:t>
      </w:r>
    </w:p>
    <w:p>
      <w:pPr>
        <w:spacing w:after="0" w:line="45" w:lineRule="exact"/>
        <w:rPr>
          <w:sz w:val="24"/>
          <w:szCs w:val="24"/>
          <w:color w:val="auto"/>
        </w:rPr>
      </w:pPr>
    </w:p>
    <w:p>
      <w:pPr>
        <w:jc w:val="center"/>
        <w:ind w:left="2780"/>
        <w:spacing w:after="0"/>
        <w:rPr>
          <w:sz w:val="20"/>
          <w:szCs w:val="20"/>
          <w:color w:val="auto"/>
        </w:rPr>
      </w:pPr>
      <w:r>
        <w:rPr>
          <w:rFonts w:ascii="Arial" w:cs="Arial" w:eastAsia="Arial" w:hAnsi="Arial"/>
          <w:sz w:val="16"/>
          <w:szCs w:val="16"/>
          <w:color w:val="auto"/>
        </w:rPr>
        <w:t>company)</w:t>
      </w:r>
    </w:p>
    <w:p>
      <w:pPr>
        <w:sectPr>
          <w:pgSz w:w="11900" w:h="16838" w:orient="portrait"/>
          <w:cols w:equalWidth="0" w:num="1">
            <w:col w:w="11420"/>
          </w:cols>
          <w:pgMar w:left="240" w:top="1409" w:right="239" w:bottom="1440" w:gutter="0" w:footer="0" w:header="0"/>
          <w:type w:val="continuous"/>
        </w:sectPr>
      </w:pPr>
    </w:p>
    <w:p>
      <w:pPr>
        <w:spacing w:after="0" w:line="92" w:lineRule="exact"/>
        <w:rPr>
          <w:sz w:val="24"/>
          <w:szCs w:val="24"/>
          <w:color w:val="auto"/>
        </w:rPr>
      </w:pPr>
    </w:p>
    <w:p>
      <w:pPr>
        <w:ind w:left="260"/>
        <w:spacing w:after="0"/>
        <w:tabs>
          <w:tab w:leader="none" w:pos="6680" w:val="left"/>
          <w:tab w:leader="none" w:pos="71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Arial" w:cs="Arial" w:eastAsia="Arial" w:hAnsi="Arial"/>
          <w:sz w:val="15"/>
          <w:szCs w:val="15"/>
          <w:color w:val="auto"/>
        </w:rPr>
        <w:t>Yes o</w:t>
      </w:r>
      <w:r>
        <w:rPr>
          <w:sz w:val="20"/>
          <w:szCs w:val="20"/>
          <w:color w:val="auto"/>
        </w:rPr>
        <w:tab/>
      </w:r>
      <w:r>
        <w:rPr>
          <w:rFonts w:ascii="Arial" w:cs="Arial" w:eastAsia="Arial" w:hAnsi="Arial"/>
          <w:sz w:val="14"/>
          <w:szCs w:val="14"/>
          <w:color w:val="auto"/>
        </w:rPr>
        <w:t>No x</w:t>
      </w:r>
    </w:p>
    <w:p>
      <w:pPr>
        <w:spacing w:after="0" w:line="15" w:lineRule="exact"/>
        <w:rPr>
          <w:sz w:val="24"/>
          <w:szCs w:val="24"/>
          <w:color w:val="auto"/>
        </w:rPr>
      </w:pPr>
    </w:p>
    <w:p>
      <w:pPr>
        <w:ind w:left="260"/>
        <w:spacing w:after="0"/>
        <w:rPr>
          <w:sz w:val="20"/>
          <w:szCs w:val="20"/>
          <w:color w:val="auto"/>
        </w:rPr>
      </w:pPr>
      <w:r>
        <w:rPr>
          <w:rFonts w:ascii="Arial" w:cs="Arial" w:eastAsia="Arial" w:hAnsi="Arial"/>
          <w:sz w:val="15"/>
          <w:szCs w:val="15"/>
          <w:color w:val="auto"/>
        </w:rPr>
        <w:t>NRG Yield LLC's outstanding equity interests are held by NRG Yield, Inc. and NRG Energy, Inc. and there are no equity interests held by non-affiliates.</w:t>
      </w:r>
    </w:p>
    <w:p>
      <w:pPr>
        <w:spacing w:after="0" w:line="9" w:lineRule="exact"/>
        <w:rPr>
          <w:sz w:val="24"/>
          <w:szCs w:val="24"/>
          <w:color w:val="auto"/>
        </w:rPr>
      </w:pPr>
    </w:p>
    <w:p>
      <w:pPr>
        <w:ind w:left="260"/>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r>
        <w:rPr>
          <w:rFonts w:ascii="Arial" w:cs="Arial" w:eastAsia="Arial" w:hAnsi="Arial"/>
          <w:sz w:val="15"/>
          <w:szCs w:val="15"/>
          <w:color w:val="auto"/>
        </w:rPr>
        <w:t>. There is no public market for the registrant's</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outstanding units.</w:t>
      </w:r>
    </w:p>
    <w:p>
      <w:pPr>
        <w:spacing w:after="0" w:line="226" w:lineRule="exact"/>
        <w:rPr>
          <w:sz w:val="24"/>
          <w:szCs w:val="24"/>
          <w:color w:val="auto"/>
        </w:rPr>
      </w:pPr>
    </w:p>
    <w:tbl>
      <w:tblPr>
        <w:tblLayout w:type="fixed"/>
        <w:tblInd w:w="3560" w:type="dxa"/>
        <w:tblCellMar>
          <w:top w:w="0" w:type="dxa"/>
          <w:left w:w="0" w:type="dxa"/>
          <w:bottom w:w="0" w:type="dxa"/>
          <w:right w:w="0" w:type="dxa"/>
        </w:tblCellMar>
      </w:tblPr>
      <w:tr>
        <w:trPr>
          <w:trHeight w:val="164"/>
        </w:trPr>
        <w:tc>
          <w:tcPr>
            <w:tcW w:w="1980" w:type="dxa"/>
            <w:vAlign w:val="bottom"/>
          </w:tcPr>
          <w:p>
            <w:pPr>
              <w:jc w:val="center"/>
              <w:ind w:right="1197"/>
              <w:spacing w:after="0"/>
              <w:rPr>
                <w:sz w:val="20"/>
                <w:szCs w:val="20"/>
                <w:color w:val="auto"/>
              </w:rPr>
            </w:pPr>
            <w:r>
              <w:rPr>
                <w:rFonts w:ascii="Arial" w:cs="Arial" w:eastAsia="Arial" w:hAnsi="Arial"/>
                <w:sz w:val="13"/>
                <w:szCs w:val="13"/>
                <w:b w:val="1"/>
                <w:bCs w:val="1"/>
                <w:color w:val="auto"/>
                <w:w w:val="80"/>
              </w:rPr>
              <w:t>Class</w:t>
            </w:r>
          </w:p>
        </w:tc>
        <w:tc>
          <w:tcPr>
            <w:tcW w:w="3040" w:type="dxa"/>
            <w:vAlign w:val="bottom"/>
          </w:tcPr>
          <w:p>
            <w:pPr>
              <w:jc w:val="center"/>
              <w:ind w:left="1217"/>
              <w:spacing w:after="0"/>
              <w:rPr>
                <w:sz w:val="20"/>
                <w:szCs w:val="20"/>
                <w:color w:val="auto"/>
              </w:rPr>
            </w:pPr>
            <w:r>
              <w:rPr>
                <w:rFonts w:ascii="Arial" w:cs="Arial" w:eastAsia="Arial" w:hAnsi="Arial"/>
                <w:sz w:val="13"/>
                <w:szCs w:val="13"/>
                <w:b w:val="1"/>
                <w:bCs w:val="1"/>
                <w:color w:val="auto"/>
                <w:w w:val="88"/>
              </w:rPr>
              <w:t>Outstanding at January 31, 2016</w:t>
            </w:r>
          </w:p>
        </w:tc>
      </w:tr>
      <w:tr>
        <w:trPr>
          <w:trHeight w:val="270"/>
        </w:trPr>
        <w:tc>
          <w:tcPr>
            <w:tcW w:w="1980" w:type="dxa"/>
            <w:vAlign w:val="bottom"/>
          </w:tcPr>
          <w:p>
            <w:pPr>
              <w:jc w:val="center"/>
              <w:ind w:right="1217"/>
              <w:spacing w:after="0"/>
              <w:rPr>
                <w:sz w:val="20"/>
                <w:szCs w:val="20"/>
                <w:color w:val="auto"/>
              </w:rPr>
            </w:pPr>
            <w:r>
              <w:rPr>
                <w:rFonts w:ascii="Arial" w:cs="Arial" w:eastAsia="Arial" w:hAnsi="Arial"/>
                <w:sz w:val="13"/>
                <w:szCs w:val="13"/>
                <w:color w:val="auto"/>
                <w:w w:val="89"/>
              </w:rPr>
              <w:t>Class A Units</w:t>
            </w:r>
          </w:p>
        </w:tc>
        <w:tc>
          <w:tcPr>
            <w:tcW w:w="3040" w:type="dxa"/>
            <w:vAlign w:val="bottom"/>
          </w:tcPr>
          <w:p>
            <w:pPr>
              <w:jc w:val="center"/>
              <w:ind w:left="1217"/>
              <w:spacing w:after="0"/>
              <w:rPr>
                <w:sz w:val="20"/>
                <w:szCs w:val="20"/>
                <w:color w:val="auto"/>
              </w:rPr>
            </w:pPr>
            <w:r>
              <w:rPr>
                <w:rFonts w:ascii="Arial" w:cs="Arial" w:eastAsia="Arial" w:hAnsi="Arial"/>
                <w:sz w:val="13"/>
                <w:szCs w:val="13"/>
                <w:color w:val="auto"/>
                <w:w w:val="86"/>
              </w:rPr>
              <w:t>34,586,250</w:t>
            </w:r>
          </w:p>
        </w:tc>
      </w:tr>
      <w:tr>
        <w:trPr>
          <w:trHeight w:val="270"/>
        </w:trPr>
        <w:tc>
          <w:tcPr>
            <w:tcW w:w="1980" w:type="dxa"/>
            <w:vAlign w:val="bottom"/>
          </w:tcPr>
          <w:p>
            <w:pPr>
              <w:jc w:val="center"/>
              <w:ind w:right="1197"/>
              <w:spacing w:after="0"/>
              <w:rPr>
                <w:sz w:val="20"/>
                <w:szCs w:val="20"/>
                <w:color w:val="auto"/>
              </w:rPr>
            </w:pPr>
            <w:r>
              <w:rPr>
                <w:rFonts w:ascii="Arial" w:cs="Arial" w:eastAsia="Arial" w:hAnsi="Arial"/>
                <w:sz w:val="13"/>
                <w:szCs w:val="13"/>
                <w:color w:val="auto"/>
                <w:w w:val="87"/>
              </w:rPr>
              <w:t>Class B Units</w:t>
            </w:r>
          </w:p>
        </w:tc>
        <w:tc>
          <w:tcPr>
            <w:tcW w:w="3040" w:type="dxa"/>
            <w:vAlign w:val="bottom"/>
          </w:tcPr>
          <w:p>
            <w:pPr>
              <w:jc w:val="center"/>
              <w:ind w:left="1217"/>
              <w:spacing w:after="0"/>
              <w:rPr>
                <w:sz w:val="20"/>
                <w:szCs w:val="20"/>
                <w:color w:val="auto"/>
              </w:rPr>
            </w:pPr>
            <w:r>
              <w:rPr>
                <w:rFonts w:ascii="Arial" w:cs="Arial" w:eastAsia="Arial" w:hAnsi="Arial"/>
                <w:sz w:val="13"/>
                <w:szCs w:val="13"/>
                <w:color w:val="auto"/>
                <w:w w:val="86"/>
              </w:rPr>
              <w:t>42,738,750</w:t>
            </w:r>
          </w:p>
        </w:tc>
      </w:tr>
      <w:tr>
        <w:trPr>
          <w:trHeight w:val="270"/>
        </w:trPr>
        <w:tc>
          <w:tcPr>
            <w:tcW w:w="1980" w:type="dxa"/>
            <w:vAlign w:val="bottom"/>
          </w:tcPr>
          <w:p>
            <w:pPr>
              <w:jc w:val="center"/>
              <w:ind w:right="1197"/>
              <w:spacing w:after="0"/>
              <w:rPr>
                <w:sz w:val="20"/>
                <w:szCs w:val="20"/>
                <w:color w:val="auto"/>
              </w:rPr>
            </w:pPr>
            <w:r>
              <w:rPr>
                <w:rFonts w:ascii="Arial" w:cs="Arial" w:eastAsia="Arial" w:hAnsi="Arial"/>
                <w:sz w:val="13"/>
                <w:szCs w:val="13"/>
                <w:color w:val="auto"/>
                <w:w w:val="86"/>
              </w:rPr>
              <w:t>Class C Units</w:t>
            </w:r>
          </w:p>
        </w:tc>
        <w:tc>
          <w:tcPr>
            <w:tcW w:w="3040" w:type="dxa"/>
            <w:vAlign w:val="bottom"/>
          </w:tcPr>
          <w:p>
            <w:pPr>
              <w:jc w:val="center"/>
              <w:ind w:left="1217"/>
              <w:spacing w:after="0"/>
              <w:rPr>
                <w:sz w:val="20"/>
                <w:szCs w:val="20"/>
                <w:color w:val="auto"/>
              </w:rPr>
            </w:pPr>
            <w:r>
              <w:rPr>
                <w:rFonts w:ascii="Arial" w:cs="Arial" w:eastAsia="Arial" w:hAnsi="Arial"/>
                <w:sz w:val="13"/>
                <w:szCs w:val="13"/>
                <w:color w:val="auto"/>
                <w:w w:val="86"/>
              </w:rPr>
              <w:t>62,784,250</w:t>
            </w:r>
          </w:p>
        </w:tc>
      </w:tr>
      <w:tr>
        <w:trPr>
          <w:trHeight w:val="270"/>
        </w:trPr>
        <w:tc>
          <w:tcPr>
            <w:tcW w:w="1980" w:type="dxa"/>
            <w:vAlign w:val="bottom"/>
          </w:tcPr>
          <w:p>
            <w:pPr>
              <w:jc w:val="center"/>
              <w:ind w:right="1217"/>
              <w:spacing w:after="0"/>
              <w:rPr>
                <w:sz w:val="20"/>
                <w:szCs w:val="20"/>
                <w:color w:val="auto"/>
              </w:rPr>
            </w:pPr>
            <w:r>
              <w:rPr>
                <w:rFonts w:ascii="Arial" w:cs="Arial" w:eastAsia="Arial" w:hAnsi="Arial"/>
                <w:sz w:val="13"/>
                <w:szCs w:val="13"/>
                <w:color w:val="auto"/>
                <w:w w:val="88"/>
              </w:rPr>
              <w:t>Class D Units</w:t>
            </w:r>
          </w:p>
        </w:tc>
        <w:tc>
          <w:tcPr>
            <w:tcW w:w="3040" w:type="dxa"/>
            <w:vAlign w:val="bottom"/>
          </w:tcPr>
          <w:p>
            <w:pPr>
              <w:jc w:val="center"/>
              <w:ind w:left="1217"/>
              <w:spacing w:after="0"/>
              <w:rPr>
                <w:sz w:val="20"/>
                <w:szCs w:val="20"/>
                <w:color w:val="auto"/>
              </w:rPr>
            </w:pPr>
            <w:r>
              <w:rPr>
                <w:rFonts w:ascii="Arial" w:cs="Arial" w:eastAsia="Arial" w:hAnsi="Arial"/>
                <w:sz w:val="13"/>
                <w:szCs w:val="13"/>
                <w:color w:val="auto"/>
                <w:w w:val="86"/>
              </w:rPr>
              <w:t>42,738,750</w:t>
            </w:r>
          </w:p>
        </w:tc>
      </w:tr>
    </w:tbl>
    <w:p>
      <w:pPr>
        <w:ind w:left="4420"/>
        <w:spacing w:after="0"/>
        <w:rPr>
          <w:sz w:val="20"/>
          <w:szCs w:val="20"/>
          <w:color w:val="auto"/>
        </w:rPr>
      </w:pPr>
      <w:r>
        <w:rPr>
          <w:rFonts w:ascii="Arial" w:cs="Arial" w:eastAsia="Arial" w:hAnsi="Arial"/>
          <w:sz w:val="15"/>
          <w:szCs w:val="15"/>
          <w:b w:val="1"/>
          <w:bCs w:val="1"/>
          <w:color w:val="auto"/>
        </w:rPr>
        <w:t>Documents Incorporated by Reference:</w:t>
      </w:r>
    </w:p>
    <w:p>
      <w:pPr>
        <w:spacing w:after="0" w:line="18" w:lineRule="exact"/>
        <w:rPr>
          <w:sz w:val="24"/>
          <w:szCs w:val="24"/>
          <w:color w:val="auto"/>
        </w:rPr>
      </w:pPr>
    </w:p>
    <w:p>
      <w:pPr>
        <w:ind w:left="5640"/>
        <w:spacing w:after="0"/>
        <w:rPr>
          <w:sz w:val="20"/>
          <w:szCs w:val="20"/>
          <w:color w:val="auto"/>
        </w:rPr>
      </w:pPr>
      <w:r>
        <w:rPr>
          <w:rFonts w:ascii="Arial" w:cs="Arial" w:eastAsia="Arial" w:hAnsi="Arial"/>
          <w:sz w:val="15"/>
          <w:szCs w:val="15"/>
          <w:b w:val="1"/>
          <w:bCs w:val="1"/>
          <w:color w:val="auto"/>
        </w:rPr>
        <w:t>None.</w:t>
      </w:r>
    </w:p>
    <w:p>
      <w:pPr>
        <w:spacing w:after="0" w:line="3" w:lineRule="exact"/>
        <w:rPr>
          <w:sz w:val="24"/>
          <w:szCs w:val="24"/>
          <w:color w:val="auto"/>
        </w:rPr>
      </w:pPr>
    </w:p>
    <w:p>
      <w:pPr>
        <w:ind w:right="300"/>
        <w:spacing w:after="0" w:line="258" w:lineRule="auto"/>
        <w:rPr>
          <w:sz w:val="20"/>
          <w:szCs w:val="20"/>
          <w:color w:val="auto"/>
        </w:rPr>
      </w:pPr>
      <w:r>
        <w:rPr>
          <w:rFonts w:ascii="Arial" w:cs="Arial" w:eastAsia="Arial" w:hAnsi="Arial"/>
          <w:sz w:val="15"/>
          <w:szCs w:val="15"/>
          <w:color w:val="auto"/>
        </w:rPr>
        <w:t>NOTE: WHEREAS NRG YIELD LLC MEETS THE CONDITIONS SET FORTH IN GENERAL INSTRUCTION I(1)(a) AND (b) OF FORM 10-K, THIS FORM 10-K IS BEING FILED WITH THE REDUCED DISCLOSURE FORMAT PURSUANT TO GENERAL INSTRUCTION I(2).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160020</wp:posOffset>
            </wp:positionV>
            <wp:extent cx="705802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8025" cy="2603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74295</wp:posOffset>
            </wp:positionV>
            <wp:extent cx="7058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140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1100" w:type="dxa"/>
            <w:vAlign w:val="bottom"/>
          </w:tcPr>
          <w:p>
            <w:pPr>
              <w:jc w:val="center"/>
              <w:ind w:left="17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100" w:type="dxa"/>
            <w:vAlign w:val="bottom"/>
          </w:tcPr>
          <w:p>
            <w:pPr>
              <w:jc w:val="center"/>
              <w:ind w:left="170"/>
              <w:spacing w:after="0"/>
              <w:rPr>
                <w:sz w:val="20"/>
                <w:szCs w:val="20"/>
                <w:color w:val="auto"/>
              </w:rPr>
            </w:pPr>
            <w:r>
              <w:rPr>
                <w:rFonts w:ascii="Arial" w:cs="Arial" w:eastAsia="Arial" w:hAnsi="Arial"/>
                <w:sz w:val="18"/>
                <w:szCs w:val="18"/>
                <w:b w:val="1"/>
                <w:bCs w:val="1"/>
                <w:color w:val="auto"/>
                <w:w w:val="93"/>
              </w:rPr>
              <w:t>Index</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100" w:type="dxa"/>
            <w:vAlign w:val="bottom"/>
          </w:tcPr>
          <w:p>
            <w:pPr>
              <w:spacing w:after="0"/>
              <w:rPr>
                <w:sz w:val="20"/>
                <w:szCs w:val="20"/>
                <w:color w:val="auto"/>
              </w:rPr>
            </w:pPr>
            <w:r>
              <w:rPr>
                <w:rFonts w:ascii="Arial" w:cs="Arial" w:eastAsia="Arial" w:hAnsi="Arial"/>
                <w:sz w:val="18"/>
                <w:szCs w:val="18"/>
                <w:color w:val="auto"/>
              </w:rPr>
              <w:t>GLOSSARY OF TERMS</w:t>
            </w:r>
          </w:p>
        </w:tc>
        <w:tc>
          <w:tcPr>
            <w:tcW w:w="1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2">
              <w:r>
                <w:rPr>
                  <w:rFonts w:ascii="Arial" w:cs="Arial" w:eastAsia="Arial" w:hAnsi="Arial"/>
                  <w:sz w:val="18"/>
                  <w:szCs w:val="18"/>
                  <w:b w:val="1"/>
                  <w:bCs w:val="1"/>
                  <w:color w:val="0000EE"/>
                  <w:w w:val="79"/>
                </w:rPr>
                <w:t>3</w:t>
              </w:r>
            </w:hyperlink>
          </w:p>
        </w:tc>
        <w:tc>
          <w:tcPr>
            <w:tcW w:w="0" w:type="dxa"/>
            <w:vAlign w:val="bottom"/>
          </w:tcPr>
          <w:p>
            <w:pPr>
              <w:spacing w:after="0"/>
              <w:rPr>
                <w:sz w:val="1"/>
                <w:szCs w:val="1"/>
                <w:color w:val="auto"/>
              </w:rPr>
            </w:pPr>
          </w:p>
        </w:tc>
      </w:tr>
      <w:tr>
        <w:trPr>
          <w:trHeight w:val="250"/>
        </w:trPr>
        <w:tc>
          <w:tcPr>
            <w:tcW w:w="111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6</w:t>
              </w:r>
            </w:hyperlink>
          </w:p>
        </w:tc>
        <w:tc>
          <w:tcPr>
            <w:tcW w:w="0" w:type="dxa"/>
            <w:vAlign w:val="bottom"/>
          </w:tcPr>
          <w:p>
            <w:pPr>
              <w:spacing w:after="0"/>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1 — Business</w:t>
            </w:r>
          </w:p>
        </w:tc>
        <w:tc>
          <w:tcPr>
            <w:tcW w:w="1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6">
              <w:r>
                <w:rPr>
                  <w:rFonts w:ascii="Arial" w:cs="Arial" w:eastAsia="Arial" w:hAnsi="Arial"/>
                  <w:sz w:val="18"/>
                  <w:szCs w:val="18"/>
                  <w:b w:val="1"/>
                  <w:bCs w:val="1"/>
                  <w:color w:val="0000EE"/>
                  <w:w w:val="79"/>
                </w:rPr>
                <w:t>6</w:t>
              </w:r>
            </w:hyperlink>
          </w:p>
        </w:tc>
        <w:tc>
          <w:tcPr>
            <w:tcW w:w="0" w:type="dxa"/>
            <w:vAlign w:val="bottom"/>
          </w:tcPr>
          <w:p>
            <w:pPr>
              <w:spacing w:after="0"/>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1A — Risk Factors</w:t>
            </w:r>
          </w:p>
        </w:tc>
        <w:tc>
          <w:tcPr>
            <w:tcW w:w="260" w:type="dxa"/>
            <w:vAlign w:val="bottom"/>
            <w:gridSpan w:val="3"/>
          </w:tcPr>
          <w:p>
            <w:pPr>
              <w:jc w:val="right"/>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13</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1B — Unresolved Staff Comments</w:t>
            </w:r>
          </w:p>
        </w:tc>
        <w:tc>
          <w:tcPr>
            <w:tcW w:w="260" w:type="dxa"/>
            <w:vAlign w:val="bottom"/>
            <w:gridSpan w:val="3"/>
          </w:tcPr>
          <w:p>
            <w:pPr>
              <w:jc w:val="right"/>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28</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2 — Properties</w:t>
            </w:r>
          </w:p>
        </w:tc>
        <w:tc>
          <w:tcPr>
            <w:tcW w:w="260" w:type="dxa"/>
            <w:vAlign w:val="bottom"/>
            <w:gridSpan w:val="3"/>
          </w:tcPr>
          <w:p>
            <w:pPr>
              <w:jc w:val="right"/>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29</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3 — Legal Proceedings</w:t>
            </w:r>
          </w:p>
        </w:tc>
        <w:tc>
          <w:tcPr>
            <w:tcW w:w="260" w:type="dxa"/>
            <w:vAlign w:val="bottom"/>
            <w:gridSpan w:val="3"/>
          </w:tcPr>
          <w:p>
            <w:pPr>
              <w:jc w:val="right"/>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32</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4 — Mine Safety Disclosures</w:t>
            </w:r>
          </w:p>
        </w:tc>
        <w:tc>
          <w:tcPr>
            <w:tcW w:w="260" w:type="dxa"/>
            <w:vAlign w:val="bottom"/>
            <w:gridSpan w:val="3"/>
          </w:tcPr>
          <w:p>
            <w:pPr>
              <w:jc w:val="right"/>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32</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60" w:type="dxa"/>
            <w:vAlign w:val="bottom"/>
            <w:gridSpan w:val="3"/>
          </w:tcPr>
          <w:p>
            <w:pPr>
              <w:jc w:val="right"/>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32</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5 — Market for Registrant's Common Equity, Related Stockholder Matters and Issuer Purchases of Equity Securities</w:t>
            </w:r>
          </w:p>
        </w:tc>
        <w:tc>
          <w:tcPr>
            <w:tcW w:w="260" w:type="dxa"/>
            <w:vAlign w:val="bottom"/>
            <w:gridSpan w:val="3"/>
          </w:tcPr>
          <w:p>
            <w:pPr>
              <w:jc w:val="right"/>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32</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6 — Selected Financial Data</w:t>
            </w:r>
          </w:p>
        </w:tc>
        <w:tc>
          <w:tcPr>
            <w:tcW w:w="260" w:type="dxa"/>
            <w:vAlign w:val="bottom"/>
            <w:gridSpan w:val="3"/>
          </w:tcPr>
          <w:p>
            <w:pPr>
              <w:jc w:val="right"/>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33</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7 — Management's Discussion and Analysis of Financial Condition and Results of Operations</w:t>
            </w:r>
          </w:p>
        </w:tc>
        <w:tc>
          <w:tcPr>
            <w:tcW w:w="260" w:type="dxa"/>
            <w:vAlign w:val="bottom"/>
            <w:gridSpan w:val="3"/>
          </w:tcPr>
          <w:p>
            <w:pPr>
              <w:jc w:val="right"/>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34</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7A — Quantitative and Qualitative Disclosures About Market Risk</w:t>
            </w:r>
          </w:p>
        </w:tc>
        <w:tc>
          <w:tcPr>
            <w:tcW w:w="260" w:type="dxa"/>
            <w:vAlign w:val="bottom"/>
            <w:gridSpan w:val="3"/>
          </w:tcPr>
          <w:p>
            <w:pPr>
              <w:jc w:val="right"/>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55</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8 — Financial Statements and Supplementary Data</w:t>
            </w:r>
          </w:p>
        </w:tc>
        <w:tc>
          <w:tcPr>
            <w:tcW w:w="260" w:type="dxa"/>
            <w:vAlign w:val="bottom"/>
            <w:gridSpan w:val="3"/>
          </w:tcPr>
          <w:p>
            <w:pPr>
              <w:jc w:val="right"/>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55</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9 — Changes in Disagreements With Accountants on Accounting and Financial Disclosure</w:t>
            </w:r>
          </w:p>
        </w:tc>
        <w:tc>
          <w:tcPr>
            <w:tcW w:w="260" w:type="dxa"/>
            <w:vAlign w:val="bottom"/>
            <w:gridSpan w:val="3"/>
          </w:tcPr>
          <w:p>
            <w:pPr>
              <w:jc w:val="right"/>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56</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9A — Controls and Procedures</w:t>
            </w:r>
          </w:p>
        </w:tc>
        <w:tc>
          <w:tcPr>
            <w:tcW w:w="260" w:type="dxa"/>
            <w:vAlign w:val="bottom"/>
            <w:gridSpan w:val="3"/>
          </w:tcPr>
          <w:p>
            <w:pPr>
              <w:jc w:val="right"/>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56</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9B — Other Information</w:t>
            </w:r>
          </w:p>
        </w:tc>
        <w:tc>
          <w:tcPr>
            <w:tcW w:w="260" w:type="dxa"/>
            <w:vAlign w:val="bottom"/>
            <w:gridSpan w:val="3"/>
          </w:tcPr>
          <w:p>
            <w:pPr>
              <w:jc w:val="right"/>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57</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260" w:type="dxa"/>
            <w:vAlign w:val="bottom"/>
            <w:gridSpan w:val="3"/>
          </w:tcPr>
          <w:p>
            <w:pPr>
              <w:jc w:val="right"/>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57</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10 — Directors, Executive Officers and Corporate Governance</w:t>
            </w:r>
          </w:p>
        </w:tc>
        <w:tc>
          <w:tcPr>
            <w:tcW w:w="260" w:type="dxa"/>
            <w:vAlign w:val="bottom"/>
            <w:gridSpan w:val="3"/>
          </w:tcPr>
          <w:p>
            <w:pPr>
              <w:jc w:val="right"/>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57</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11 — Executive Compensation</w:t>
            </w:r>
          </w:p>
        </w:tc>
        <w:tc>
          <w:tcPr>
            <w:tcW w:w="260" w:type="dxa"/>
            <w:vAlign w:val="bottom"/>
            <w:gridSpan w:val="3"/>
          </w:tcPr>
          <w:p>
            <w:pPr>
              <w:jc w:val="right"/>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57</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vMerge w:val="restart"/>
          </w:tcPr>
          <w:p>
            <w:pPr>
              <w:ind w:left="240"/>
              <w:spacing w:after="0"/>
              <w:rPr>
                <w:sz w:val="20"/>
                <w:szCs w:val="20"/>
                <w:color w:val="auto"/>
              </w:rPr>
            </w:pPr>
            <w:r>
              <w:rPr>
                <w:rFonts w:ascii="Arial" w:cs="Arial" w:eastAsia="Arial" w:hAnsi="Arial"/>
                <w:sz w:val="18"/>
                <w:szCs w:val="18"/>
                <w:color w:val="auto"/>
              </w:rPr>
              <w:t>Item 12 — Security Ownership of Certain Beneficial Owners and Management and Related Stockholder Matters</w:t>
            </w:r>
          </w:p>
        </w:tc>
        <w:tc>
          <w:tcPr>
            <w:tcW w:w="260" w:type="dxa"/>
            <w:vAlign w:val="bottom"/>
            <w:gridSpan w:val="3"/>
          </w:tcPr>
          <w:p>
            <w:pPr>
              <w:jc w:val="right"/>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57</w:t>
              </w:r>
            </w:hyperlink>
          </w:p>
        </w:tc>
        <w:tc>
          <w:tcPr>
            <w:tcW w:w="0" w:type="dxa"/>
            <w:vAlign w:val="bottom"/>
          </w:tcPr>
          <w:p>
            <w:pPr>
              <w:spacing w:after="0"/>
              <w:rPr>
                <w:sz w:val="1"/>
                <w:szCs w:val="1"/>
                <w:color w:val="auto"/>
              </w:rPr>
            </w:pPr>
          </w:p>
        </w:tc>
      </w:tr>
      <w:tr>
        <w:trPr>
          <w:trHeight w:val="237"/>
        </w:trPr>
        <w:tc>
          <w:tcPr>
            <w:tcW w:w="1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100" w:type="dxa"/>
            <w:vAlign w:val="bottom"/>
          </w:tcPr>
          <w:p>
            <w:pPr>
              <w:ind w:left="240"/>
              <w:spacing w:after="0"/>
              <w:rPr>
                <w:sz w:val="20"/>
                <w:szCs w:val="20"/>
                <w:color w:val="auto"/>
              </w:rPr>
            </w:pPr>
            <w:r>
              <w:rPr>
                <w:rFonts w:ascii="Arial" w:cs="Arial" w:eastAsia="Arial" w:hAnsi="Arial"/>
                <w:sz w:val="18"/>
                <w:szCs w:val="18"/>
                <w:color w:val="auto"/>
              </w:rPr>
              <w:t>Item 13 — Certain Relationships and Related Transactions, and Director Independence</w:t>
            </w:r>
          </w:p>
        </w:tc>
        <w:tc>
          <w:tcPr>
            <w:tcW w:w="260" w:type="dxa"/>
            <w:vAlign w:val="bottom"/>
            <w:gridSpan w:val="3"/>
          </w:tcPr>
          <w:p>
            <w:pPr>
              <w:jc w:val="right"/>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57</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14 — Principal Accounting Fees and Services</w:t>
            </w:r>
          </w:p>
        </w:tc>
        <w:tc>
          <w:tcPr>
            <w:tcW w:w="260" w:type="dxa"/>
            <w:vAlign w:val="bottom"/>
            <w:gridSpan w:val="3"/>
          </w:tcPr>
          <w:p>
            <w:pPr>
              <w:jc w:val="right"/>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57</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260" w:type="dxa"/>
            <w:vAlign w:val="bottom"/>
            <w:gridSpan w:val="3"/>
          </w:tcPr>
          <w:p>
            <w:pPr>
              <w:jc w:val="right"/>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59</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ind w:left="240"/>
              <w:spacing w:after="0"/>
              <w:rPr>
                <w:sz w:val="20"/>
                <w:szCs w:val="20"/>
                <w:color w:val="auto"/>
              </w:rPr>
            </w:pPr>
            <w:r>
              <w:rPr>
                <w:rFonts w:ascii="Arial" w:cs="Arial" w:eastAsia="Arial" w:hAnsi="Arial"/>
                <w:sz w:val="18"/>
                <w:szCs w:val="18"/>
                <w:color w:val="auto"/>
              </w:rPr>
              <w:t>Item 15 — Exhibits, Financial Statement Schedules</w:t>
            </w:r>
          </w:p>
        </w:tc>
        <w:tc>
          <w:tcPr>
            <w:tcW w:w="260" w:type="dxa"/>
            <w:vAlign w:val="bottom"/>
            <w:gridSpan w:val="3"/>
          </w:tcPr>
          <w:p>
            <w:pPr>
              <w:jc w:val="right"/>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59</w:t>
              </w:r>
            </w:hyperlink>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10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260" w:type="dxa"/>
            <w:vAlign w:val="bottom"/>
            <w:tcBorders>
              <w:bottom w:val="single" w:sz="8" w:color="0000EE"/>
            </w:tcBorders>
            <w:gridSpan w:val="3"/>
          </w:tcPr>
          <w:p>
            <w:pPr>
              <w:jc w:val="right"/>
              <w:spacing w:after="0"/>
              <w:rPr>
                <w:rFonts w:ascii="Arial" w:cs="Arial" w:eastAsia="Arial" w:hAnsi="Arial"/>
                <w:sz w:val="18"/>
                <w:szCs w:val="18"/>
                <w:b w:val="1"/>
                <w:bCs w:val="1"/>
                <w:color w:val="0000EE"/>
                <w:w w:val="79"/>
              </w:rPr>
            </w:pPr>
            <w:hyperlink w:anchor="page116">
              <w:r>
                <w:rPr>
                  <w:rFonts w:ascii="Arial" w:cs="Arial" w:eastAsia="Arial" w:hAnsi="Arial"/>
                  <w:sz w:val="18"/>
                  <w:szCs w:val="18"/>
                  <w:b w:val="1"/>
                  <w:bCs w:val="1"/>
                  <w:color w:val="0000EE"/>
                  <w:w w:val="79"/>
                </w:rPr>
                <w:t>117</w:t>
              </w:r>
            </w:hyperlink>
          </w:p>
        </w:tc>
        <w:tc>
          <w:tcPr>
            <w:tcW w:w="0" w:type="dxa"/>
            <w:vAlign w:val="bottom"/>
          </w:tcPr>
          <w:p>
            <w:pPr>
              <w:spacing w:after="0"/>
              <w:rPr>
                <w:sz w:val="1"/>
                <w:szCs w:val="1"/>
                <w:color w:val="auto"/>
              </w:rPr>
            </w:pPr>
          </w:p>
        </w:tc>
      </w:tr>
      <w:tr>
        <w:trPr>
          <w:trHeight w:val="507"/>
        </w:trPr>
        <w:tc>
          <w:tcPr>
            <w:tcW w:w="11100" w:type="dxa"/>
            <w:vAlign w:val="bottom"/>
          </w:tcPr>
          <w:p>
            <w:pPr>
              <w:jc w:val="center"/>
              <w:ind w:left="15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1202" w:right="259" w:bottom="1440" w:gutter="0" w:footer="0" w:header="0"/>
        </w:sectPr>
      </w:pPr>
    </w:p>
    <w:bookmarkStart w:id="2" w:name="page3"/>
    <w:bookmarkEnd w:id="2"/>
    <w:p>
      <w:pPr>
        <w:ind w:left="4700"/>
        <w:spacing w:after="0"/>
        <w:rPr>
          <w:sz w:val="20"/>
          <w:szCs w:val="20"/>
          <w:color w:val="auto"/>
        </w:rPr>
      </w:pPr>
      <w:r>
        <w:rPr>
          <w:rFonts w:ascii="Arial" w:cs="Arial" w:eastAsia="Arial" w:hAnsi="Arial"/>
          <w:sz w:val="18"/>
          <w:szCs w:val="18"/>
          <w:b w:val="1"/>
          <w:bCs w:val="1"/>
          <w:color w:val="auto"/>
        </w:rPr>
        <w:t>GLOSSARY OF TERMS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When the following terms and abbreviations appear in the text of this report, they have the meanings indicated below:</w:t>
      </w:r>
    </w:p>
    <w:p>
      <w:pPr>
        <w:sectPr>
          <w:pgSz w:w="11900" w:h="16838" w:orient="portrait"/>
          <w:cols w:equalWidth="0" w:num="1">
            <w:col w:w="11360"/>
          </w:cols>
          <w:pgMar w:left="280" w:top="877" w:right="25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2019 Convertible Notes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Yield, Inc.'s $345 million aggregate principal amount of 3.50% Convertible Notes due 2019</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2020 Convertible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Yield, Inc.'s $287.5 million aggregate principal amount of 3.25% Convertible Notes due 2020</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Alta Sellers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Terra-Gen Finance Company, LLC and certain of its affiliates</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7"/>
          <w:szCs w:val="17"/>
          <w:color w:val="auto"/>
        </w:rPr>
        <w:t>Alta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Alta Wind X-XI TE Holdco LLC</w:t>
      </w:r>
    </w:p>
    <w:p>
      <w:pPr>
        <w:spacing w:after="0" w:line="75"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7"/>
          <w:szCs w:val="17"/>
          <w:color w:val="auto"/>
        </w:rPr>
        <w:t>Alta Wind Portfolio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Seven wind facilities that total 947 MW located in Tehachapi, California and a portfolio of associated land leases</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7"/>
          <w:szCs w:val="17"/>
          <w:color w:val="auto"/>
        </w:rPr>
        <w:t>AOCL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7"/>
          <w:szCs w:val="17"/>
          <w:color w:val="auto"/>
        </w:rPr>
        <w:t>ARRA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American Recovery and Reinvestment Act of 2009</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ASC</w:t>
      </w:r>
    </w:p>
    <w:p>
      <w:pPr>
        <w:spacing w:after="0" w:line="20" w:lineRule="exact"/>
        <w:rPr>
          <w:sz w:val="20"/>
          <w:szCs w:val="20"/>
          <w:color w:val="auto"/>
        </w:rPr>
      </w:pPr>
      <w:r>
        <w:rPr>
          <w:sz w:val="20"/>
          <w:szCs w:val="20"/>
          <w:color w:val="auto"/>
        </w:rPr>
        <w:br w:type="column"/>
      </w:r>
    </w:p>
    <w:p>
      <w:pPr>
        <w:ind w:right="1760"/>
        <w:spacing w:after="0" w:line="277" w:lineRule="auto"/>
        <w:rPr>
          <w:sz w:val="20"/>
          <w:szCs w:val="20"/>
          <w:color w:val="auto"/>
        </w:rPr>
      </w:pPr>
      <w:r>
        <w:rPr>
          <w:rFonts w:ascii="Arial" w:cs="Arial" w:eastAsia="Arial" w:hAnsi="Arial"/>
          <w:sz w:val="18"/>
          <w:szCs w:val="18"/>
          <w:color w:val="auto"/>
        </w:rPr>
        <w:t>The FASB Accounting Standards Codification, which the FASB established as the source of authoritative U.S. GAAP</w:t>
      </w:r>
    </w:p>
    <w:p>
      <w:pPr>
        <w:spacing w:after="0" w:line="8"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7"/>
          <w:szCs w:val="17"/>
          <w:color w:val="auto"/>
        </w:rPr>
        <w:t>ASU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Accounting Standards Updates - updates to the ASC</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Buffalo Bear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Buffalo Bear, LLC, the operating subsidiary of Tapestry Wind LLC, which owns the Buffalo Bear project</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8"/>
          <w:szCs w:val="18"/>
          <w:color w:val="auto"/>
        </w:rPr>
        <w:t>CAA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Clean Air Act</w:t>
      </w:r>
    </w:p>
    <w:p>
      <w:pPr>
        <w:spacing w:after="0" w:line="74"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7"/>
          <w:szCs w:val="17"/>
          <w:color w:val="auto"/>
        </w:rPr>
        <w:t>CAFD</w:t>
      </w:r>
    </w:p>
    <w:p>
      <w:pPr>
        <w:spacing w:after="0" w:line="20" w:lineRule="exact"/>
        <w:rPr>
          <w:sz w:val="20"/>
          <w:szCs w:val="20"/>
          <w:color w:val="auto"/>
        </w:rPr>
      </w:pPr>
      <w:r>
        <w:rPr>
          <w:sz w:val="20"/>
          <w:szCs w:val="20"/>
          <w:color w:val="auto"/>
        </w:rPr>
        <w:br w:type="column"/>
      </w:r>
    </w:p>
    <w:p>
      <w:pPr>
        <w:jc w:val="both"/>
        <w:spacing w:after="0" w:line="299" w:lineRule="auto"/>
        <w:rPr>
          <w:sz w:val="20"/>
          <w:szCs w:val="20"/>
          <w:color w:val="auto"/>
        </w:rPr>
      </w:pPr>
      <w:r>
        <w:rPr>
          <w:rFonts w:ascii="Arial" w:cs="Arial" w:eastAsia="Arial" w:hAnsi="Arial"/>
          <w:sz w:val="16"/>
          <w:szCs w:val="16"/>
          <w:color w:val="auto"/>
        </w:rPr>
        <w:t xml:space="preserve">Cash Available For Distribution, which the Company </w:t>
      </w:r>
      <w:r>
        <w:rPr>
          <w:rFonts w:ascii="Arial" w:cs="Arial" w:eastAsia="Arial" w:hAnsi="Arial"/>
          <w:sz w:val="16"/>
          <w:szCs w:val="16"/>
          <w:color w:val="231F20"/>
        </w:rPr>
        <w:t>defines as net income before interest expense, income taxes,</w:t>
      </w:r>
      <w:r>
        <w:rPr>
          <w:rFonts w:ascii="Arial" w:cs="Arial" w:eastAsia="Arial" w:hAnsi="Arial"/>
          <w:sz w:val="16"/>
          <w:szCs w:val="16"/>
          <w:color w:val="auto"/>
        </w:rPr>
        <w:t xml:space="preserve"> </w:t>
      </w:r>
      <w:r>
        <w:rPr>
          <w:rFonts w:ascii="Arial" w:cs="Arial" w:eastAsia="Arial" w:hAnsi="Arial"/>
          <w:sz w:val="16"/>
          <w:szCs w:val="16"/>
          <w:color w:val="231F20"/>
        </w:rPr>
        <w:t>depreciation and amortization, plus cash distributions from unconsolidated affiliates, less cash distributions to noncontrolling interests, maintenance capital expenditures, pro-rata EBITDA from unconsolidated affiliates, cash interest paid, income taxes paid, principal amortization of indebtedness and changes in other assets.</w:t>
      </w:r>
    </w:p>
    <w:p>
      <w:pPr>
        <w:spacing w:after="0" w:line="1"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7"/>
          <w:szCs w:val="17"/>
          <w:color w:val="auto"/>
        </w:rPr>
        <w:t>CfD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Contract for Differences</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CFTC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Commodity Future Trading Commission</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5"/>
          <w:szCs w:val="15"/>
          <w:color w:val="auto"/>
        </w:rPr>
        <w:t>CO</w:t>
      </w: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Carbon Dioxide</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7"/>
          <w:szCs w:val="17"/>
          <w:color w:val="auto"/>
        </w:rPr>
        <w:t>COD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Commercial Operations Date</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Yield LLC, together with its consolidated subsidiaries</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CVSR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California Valley Solar Ranch</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DGPV Holdco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DGPV Holdco 1 LLC</w:t>
      </w:r>
    </w:p>
    <w:p>
      <w:pPr>
        <w:spacing w:after="0" w:line="75"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DGPV Holdco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DGPV Holdco 2 LLC</w:t>
      </w:r>
    </w:p>
    <w:p>
      <w:pPr>
        <w:spacing w:after="0" w:line="75"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Distributed Solar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Solar power projects, typically less than 20 MW in size, that primarily sell power produced to customers for usage on site, or are interconnected to sell power into the local distribution grid</w:t>
      </w:r>
    </w:p>
    <w:p>
      <w:pPr>
        <w:spacing w:after="0" w:line="8"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Dodd-Frank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Dodd-Frank Wall Street Reform and Consumer Protection Act</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Drop Down Assets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Collectively, the June 2014 Drop Down Assets, the January 2015 Drop Down Assets and the November 2015 Drop Down Assets</w:t>
      </w:r>
    </w:p>
    <w:p>
      <w:pPr>
        <w:spacing w:after="0" w:line="8"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Economic gross margin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Energy and capacity revenue, less cost of fuels</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El Segundo</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NRG West Holdings LLC, the subsidiary of Natural Gas Repowering LLC, which owns the El Segundo Energy Center project</w:t>
      </w:r>
    </w:p>
    <w:p>
      <w:pPr>
        <w:spacing w:after="0" w:line="8"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7"/>
          <w:szCs w:val="17"/>
          <w:color w:val="auto"/>
        </w:rPr>
        <w:t>EME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Edison Mission Energy</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5"/>
          <w:szCs w:val="15"/>
          <w:color w:val="auto"/>
        </w:rPr>
        <w:t>EPC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Engineering, Procurement and Construction</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ERCOT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Electric Reliability Council of Texas, the ISO and the regional reliability coordinator of the various electricity systems within Texas</w:t>
      </w:r>
    </w:p>
    <w:p>
      <w:pPr>
        <w:spacing w:after="0" w:line="8"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EWG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Exempt Wholesale Generator</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Securities Exchange Act of 1934, as amended</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FASB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Financial Accounting Standards Board</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7"/>
          <w:szCs w:val="17"/>
          <w:color w:val="auto"/>
        </w:rPr>
        <w:t>FCM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Forward Capacity Market</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FERC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Federal Energy Regulatory Commission</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FFB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Federal Financing Bank</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5"/>
          <w:szCs w:val="15"/>
          <w:color w:val="auto"/>
        </w:rPr>
        <w:t>FPA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Federal Power Act</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5"/>
          <w:szCs w:val="15"/>
          <w:color w:val="auto"/>
        </w:rPr>
        <w:t>GenConn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GenConn Energy LLC</w:t>
      </w:r>
    </w:p>
    <w:p>
      <w:pPr>
        <w:spacing w:after="0" w:line="86"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6"/>
          <w:szCs w:val="16"/>
          <w:color w:val="auto"/>
        </w:rPr>
        <w:t>GHG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Greenhouse gases</w:t>
      </w:r>
    </w:p>
    <w:p>
      <w:pPr>
        <w:spacing w:after="0" w:line="97"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rPr>
          <w:sz w:val="20"/>
          <w:szCs w:val="20"/>
          <w:color w:val="auto"/>
        </w:rPr>
      </w:pPr>
      <w:r>
        <w:rPr>
          <w:rFonts w:ascii="Arial" w:cs="Arial" w:eastAsia="Arial" w:hAnsi="Arial"/>
          <w:sz w:val="18"/>
          <w:szCs w:val="18"/>
          <w:color w:val="auto"/>
        </w:rPr>
        <w:t>HLBV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Hypothetical Liquidation at Book Value</w:t>
      </w:r>
    </w:p>
    <w:p>
      <w:pPr>
        <w:spacing w:after="0" w:line="222" w:lineRule="exact"/>
        <w:rPr>
          <w:sz w:val="20"/>
          <w:szCs w:val="20"/>
          <w:color w:val="auto"/>
        </w:rPr>
      </w:pPr>
    </w:p>
    <w:p>
      <w:pPr>
        <w:sectPr>
          <w:pgSz w:w="11900" w:h="16838" w:orient="portrait"/>
          <w:cols w:equalWidth="0" w:num="2">
            <w:col w:w="2240" w:space="720"/>
            <w:col w:w="8400"/>
          </w:cols>
          <w:pgMar w:left="280" w:top="877" w:right="259" w:bottom="1440" w:gutter="0" w:footer="0" w:header="0"/>
          <w:type w:val="continuous"/>
        </w:sectPr>
      </w:pP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80" w:top="877" w:right="2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IASB</w:t>
            </w:r>
          </w:p>
        </w:tc>
        <w:tc>
          <w:tcPr>
            <w:tcW w:w="8560" w:type="dxa"/>
            <w:vAlign w:val="bottom"/>
          </w:tcPr>
          <w:p>
            <w:pPr>
              <w:ind w:left="180"/>
              <w:spacing w:after="0"/>
              <w:rPr>
                <w:sz w:val="20"/>
                <w:szCs w:val="20"/>
                <w:color w:val="auto"/>
              </w:rPr>
            </w:pPr>
            <w:r>
              <w:rPr>
                <w:rFonts w:ascii="Arial" w:cs="Arial" w:eastAsia="Arial" w:hAnsi="Arial"/>
                <w:sz w:val="18"/>
                <w:szCs w:val="18"/>
                <w:color w:val="auto"/>
              </w:rPr>
              <w:t>International Accounting Standards Board</w:t>
            </w:r>
          </w:p>
        </w:tc>
        <w:tc>
          <w:tcPr>
            <w:tcW w:w="0" w:type="dxa"/>
            <w:vAlign w:val="bottom"/>
          </w:tcPr>
          <w:p>
            <w:pPr>
              <w:spacing w:after="0"/>
              <w:rPr>
                <w:sz w:val="1"/>
                <w:szCs w:val="1"/>
                <w:color w:val="auto"/>
              </w:rPr>
            </w:pPr>
          </w:p>
        </w:tc>
      </w:tr>
      <w:tr>
        <w:trPr>
          <w:trHeight w:val="324"/>
        </w:trPr>
        <w:tc>
          <w:tcPr>
            <w:tcW w:w="2780" w:type="dxa"/>
            <w:vAlign w:val="bottom"/>
          </w:tcPr>
          <w:p>
            <w:pPr>
              <w:spacing w:after="0"/>
              <w:rPr>
                <w:sz w:val="20"/>
                <w:szCs w:val="20"/>
                <w:color w:val="auto"/>
              </w:rPr>
            </w:pPr>
            <w:r>
              <w:rPr>
                <w:rFonts w:ascii="Arial" w:cs="Arial" w:eastAsia="Arial" w:hAnsi="Arial"/>
                <w:sz w:val="18"/>
                <w:szCs w:val="18"/>
                <w:color w:val="auto"/>
              </w:rPr>
              <w:t>IRS</w:t>
            </w:r>
          </w:p>
        </w:tc>
        <w:tc>
          <w:tcPr>
            <w:tcW w:w="8560" w:type="dxa"/>
            <w:vAlign w:val="bottom"/>
          </w:tcPr>
          <w:p>
            <w:pPr>
              <w:ind w:left="180"/>
              <w:spacing w:after="0"/>
              <w:rPr>
                <w:sz w:val="20"/>
                <w:szCs w:val="20"/>
                <w:color w:val="auto"/>
              </w:rPr>
            </w:pPr>
            <w:r>
              <w:rPr>
                <w:rFonts w:ascii="Arial" w:cs="Arial" w:eastAsia="Arial" w:hAnsi="Arial"/>
                <w:sz w:val="18"/>
                <w:szCs w:val="18"/>
                <w:color w:val="auto"/>
              </w:rPr>
              <w:t>Internal Revenue Service</w:t>
            </w:r>
          </w:p>
        </w:tc>
        <w:tc>
          <w:tcPr>
            <w:tcW w:w="0" w:type="dxa"/>
            <w:vAlign w:val="bottom"/>
          </w:tcPr>
          <w:p>
            <w:pPr>
              <w:spacing w:after="0"/>
              <w:rPr>
                <w:sz w:val="1"/>
                <w:szCs w:val="1"/>
                <w:color w:val="auto"/>
              </w:rPr>
            </w:pPr>
          </w:p>
        </w:tc>
      </w:tr>
      <w:tr>
        <w:trPr>
          <w:trHeight w:val="324"/>
        </w:trPr>
        <w:tc>
          <w:tcPr>
            <w:tcW w:w="2780" w:type="dxa"/>
            <w:vAlign w:val="bottom"/>
          </w:tcPr>
          <w:p>
            <w:pPr>
              <w:spacing w:after="0"/>
              <w:rPr>
                <w:sz w:val="20"/>
                <w:szCs w:val="20"/>
                <w:color w:val="auto"/>
              </w:rPr>
            </w:pPr>
            <w:r>
              <w:rPr>
                <w:rFonts w:ascii="Arial" w:cs="Arial" w:eastAsia="Arial" w:hAnsi="Arial"/>
                <w:sz w:val="18"/>
                <w:szCs w:val="18"/>
                <w:color w:val="auto"/>
              </w:rPr>
              <w:t>ISO</w:t>
            </w:r>
          </w:p>
        </w:tc>
        <w:tc>
          <w:tcPr>
            <w:tcW w:w="8560" w:type="dxa"/>
            <w:vAlign w:val="bottom"/>
          </w:tcPr>
          <w:p>
            <w:pPr>
              <w:ind w:left="180"/>
              <w:spacing w:after="0"/>
              <w:rPr>
                <w:sz w:val="20"/>
                <w:szCs w:val="20"/>
                <w:color w:val="auto"/>
              </w:rPr>
            </w:pPr>
            <w:r>
              <w:rPr>
                <w:rFonts w:ascii="Arial" w:cs="Arial" w:eastAsia="Arial" w:hAnsi="Arial"/>
                <w:sz w:val="18"/>
                <w:szCs w:val="18"/>
                <w:color w:val="auto"/>
              </w:rPr>
              <w:t>Independent System Operator, also referred to as Regional Transmission Organization, or RTO</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ISO-NE</w:t>
            </w:r>
          </w:p>
        </w:tc>
        <w:tc>
          <w:tcPr>
            <w:tcW w:w="8560" w:type="dxa"/>
            <w:vAlign w:val="bottom"/>
          </w:tcPr>
          <w:p>
            <w:pPr>
              <w:ind w:left="180"/>
              <w:spacing w:after="0"/>
              <w:rPr>
                <w:sz w:val="20"/>
                <w:szCs w:val="20"/>
                <w:color w:val="auto"/>
              </w:rPr>
            </w:pPr>
            <w:r>
              <w:rPr>
                <w:rFonts w:ascii="Arial" w:cs="Arial" w:eastAsia="Arial" w:hAnsi="Arial"/>
                <w:sz w:val="18"/>
                <w:szCs w:val="18"/>
                <w:color w:val="auto"/>
              </w:rPr>
              <w:t>ISO New England Inc.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ITC</w:t>
            </w:r>
          </w:p>
        </w:tc>
        <w:tc>
          <w:tcPr>
            <w:tcW w:w="8560" w:type="dxa"/>
            <w:vAlign w:val="bottom"/>
          </w:tcPr>
          <w:p>
            <w:pPr>
              <w:ind w:left="180"/>
              <w:spacing w:after="0"/>
              <w:rPr>
                <w:sz w:val="20"/>
                <w:szCs w:val="20"/>
                <w:color w:val="auto"/>
              </w:rPr>
            </w:pPr>
            <w:r>
              <w:rPr>
                <w:rFonts w:ascii="Arial" w:cs="Arial" w:eastAsia="Arial" w:hAnsi="Arial"/>
                <w:sz w:val="18"/>
                <w:szCs w:val="18"/>
                <w:color w:val="auto"/>
              </w:rPr>
              <w:t>Investment Tax Credit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January 2015 Drop Down Assets</w:t>
            </w:r>
          </w:p>
        </w:tc>
        <w:tc>
          <w:tcPr>
            <w:tcW w:w="8560" w:type="dxa"/>
            <w:vAlign w:val="bottom"/>
            <w:vMerge w:val="restart"/>
          </w:tcPr>
          <w:p>
            <w:pPr>
              <w:ind w:left="180"/>
              <w:spacing w:after="0"/>
              <w:rPr>
                <w:sz w:val="20"/>
                <w:szCs w:val="20"/>
                <w:color w:val="auto"/>
              </w:rPr>
            </w:pPr>
            <w:r>
              <w:rPr>
                <w:rFonts w:ascii="Arial" w:cs="Arial" w:eastAsia="Arial" w:hAnsi="Arial"/>
                <w:sz w:val="18"/>
                <w:szCs w:val="18"/>
                <w:color w:val="auto"/>
                <w:w w:val="93"/>
              </w:rPr>
              <w:t>The Laredo Ridge, Tapestry and Walnut Creek projects, which were acquired by Yield Operating LLC from NRG</w:t>
            </w:r>
          </w:p>
        </w:tc>
        <w:tc>
          <w:tcPr>
            <w:tcW w:w="0" w:type="dxa"/>
            <w:vAlign w:val="bottom"/>
          </w:tcPr>
          <w:p>
            <w:pPr>
              <w:spacing w:after="0"/>
              <w:rPr>
                <w:sz w:val="1"/>
                <w:szCs w:val="1"/>
                <w:color w:val="auto"/>
              </w:rPr>
            </w:pPr>
          </w:p>
        </w:tc>
      </w:tr>
      <w:tr>
        <w:trPr>
          <w:trHeight w:val="67"/>
        </w:trPr>
        <w:tc>
          <w:tcPr>
            <w:tcW w:w="2780" w:type="dxa"/>
            <w:vAlign w:val="bottom"/>
          </w:tcPr>
          <w:p>
            <w:pPr>
              <w:spacing w:after="0"/>
              <w:rPr>
                <w:sz w:val="5"/>
                <w:szCs w:val="5"/>
                <w:color w:val="auto"/>
              </w:rPr>
            </w:pPr>
          </w:p>
        </w:tc>
        <w:tc>
          <w:tcPr>
            <w:tcW w:w="8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on January 2, 2015</w:t>
            </w:r>
          </w:p>
        </w:tc>
        <w:tc>
          <w:tcPr>
            <w:tcW w:w="0" w:type="dxa"/>
            <w:vAlign w:val="bottom"/>
          </w:tcPr>
          <w:p>
            <w:pPr>
              <w:spacing w:after="0"/>
              <w:rPr>
                <w:sz w:val="1"/>
                <w:szCs w:val="1"/>
                <w:color w:val="auto"/>
              </w:rPr>
            </w:pPr>
          </w:p>
        </w:tc>
      </w:tr>
      <w:tr>
        <w:trPr>
          <w:trHeight w:val="337"/>
        </w:trPr>
        <w:tc>
          <w:tcPr>
            <w:tcW w:w="2780" w:type="dxa"/>
            <w:vAlign w:val="bottom"/>
          </w:tcPr>
          <w:p>
            <w:pPr>
              <w:spacing w:after="0"/>
              <w:rPr>
                <w:sz w:val="20"/>
                <w:szCs w:val="20"/>
                <w:color w:val="auto"/>
              </w:rPr>
            </w:pPr>
            <w:r>
              <w:rPr>
                <w:rFonts w:ascii="Arial" w:cs="Arial" w:eastAsia="Arial" w:hAnsi="Arial"/>
                <w:sz w:val="18"/>
                <w:szCs w:val="18"/>
                <w:color w:val="auto"/>
              </w:rPr>
              <w:t>June 2014 Drop Down Assets</w:t>
            </w:r>
          </w:p>
        </w:tc>
        <w:tc>
          <w:tcPr>
            <w:tcW w:w="8560" w:type="dxa"/>
            <w:vAlign w:val="bottom"/>
          </w:tcPr>
          <w:p>
            <w:pPr>
              <w:ind w:left="180"/>
              <w:spacing w:after="0"/>
              <w:rPr>
                <w:sz w:val="20"/>
                <w:szCs w:val="20"/>
                <w:color w:val="auto"/>
              </w:rPr>
            </w:pPr>
            <w:r>
              <w:rPr>
                <w:rFonts w:ascii="Arial" w:cs="Arial" w:eastAsia="Arial" w:hAnsi="Arial"/>
                <w:sz w:val="18"/>
                <w:szCs w:val="18"/>
                <w:color w:val="auto"/>
                <w:w w:val="94"/>
              </w:rPr>
              <w:t>The TA High Desert, Kansas South and El Segundo projects, which were acquired by Yield Operating LLC from</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NRG on June 30, 2014</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Kansas South</w:t>
            </w:r>
          </w:p>
        </w:tc>
        <w:tc>
          <w:tcPr>
            <w:tcW w:w="8560" w:type="dxa"/>
            <w:vAlign w:val="bottom"/>
          </w:tcPr>
          <w:p>
            <w:pPr>
              <w:ind w:left="180"/>
              <w:spacing w:after="0"/>
              <w:rPr>
                <w:sz w:val="20"/>
                <w:szCs w:val="20"/>
                <w:color w:val="auto"/>
              </w:rPr>
            </w:pPr>
            <w:r>
              <w:rPr>
                <w:rFonts w:ascii="Arial" w:cs="Arial" w:eastAsia="Arial" w:hAnsi="Arial"/>
                <w:sz w:val="18"/>
                <w:szCs w:val="18"/>
                <w:color w:val="auto"/>
                <w:w w:val="94"/>
              </w:rPr>
              <w:t>NRG Solar Kansas South LLC, the operating subsidiary of NRG Solar Kansas South Holdings LLC, which owns</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the Kansas South project</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Laredo Ridge</w:t>
            </w:r>
          </w:p>
        </w:tc>
        <w:tc>
          <w:tcPr>
            <w:tcW w:w="8560" w:type="dxa"/>
            <w:vAlign w:val="bottom"/>
          </w:tcPr>
          <w:p>
            <w:pPr>
              <w:ind w:left="180"/>
              <w:spacing w:after="0"/>
              <w:rPr>
                <w:sz w:val="20"/>
                <w:szCs w:val="20"/>
                <w:color w:val="auto"/>
              </w:rPr>
            </w:pPr>
            <w:r>
              <w:rPr>
                <w:rFonts w:ascii="Arial" w:cs="Arial" w:eastAsia="Arial" w:hAnsi="Arial"/>
                <w:sz w:val="18"/>
                <w:szCs w:val="18"/>
                <w:color w:val="auto"/>
                <w:w w:val="94"/>
              </w:rPr>
              <w:t>Laredo Ridge Wind, LLC, the operating subsidiary of Mission Wind Laredo, LLC, which owns the Laredo Ridge</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project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LIBOR</w:t>
            </w:r>
          </w:p>
        </w:tc>
        <w:tc>
          <w:tcPr>
            <w:tcW w:w="8560" w:type="dxa"/>
            <w:vAlign w:val="bottom"/>
          </w:tcPr>
          <w:p>
            <w:pPr>
              <w:ind w:left="18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Marsh Landing</w:t>
            </w:r>
          </w:p>
        </w:tc>
        <w:tc>
          <w:tcPr>
            <w:tcW w:w="8560" w:type="dxa"/>
            <w:vAlign w:val="bottom"/>
          </w:tcPr>
          <w:p>
            <w:pPr>
              <w:ind w:left="180"/>
              <w:spacing w:after="0"/>
              <w:rPr>
                <w:sz w:val="20"/>
                <w:szCs w:val="20"/>
                <w:color w:val="auto"/>
              </w:rPr>
            </w:pPr>
            <w:r>
              <w:rPr>
                <w:rFonts w:ascii="Arial" w:cs="Arial" w:eastAsia="Arial" w:hAnsi="Arial"/>
                <w:sz w:val="18"/>
                <w:szCs w:val="18"/>
                <w:color w:val="auto"/>
              </w:rPr>
              <w:t>NRG Marsh Landing LLC, formerly GenOn Marsh Landing LLC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MMBtu</w:t>
            </w:r>
          </w:p>
        </w:tc>
        <w:tc>
          <w:tcPr>
            <w:tcW w:w="8560" w:type="dxa"/>
            <w:vAlign w:val="bottom"/>
          </w:tcPr>
          <w:p>
            <w:pPr>
              <w:ind w:left="18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w:t>
            </w:r>
          </w:p>
        </w:tc>
        <w:tc>
          <w:tcPr>
            <w:tcW w:w="8560" w:type="dxa"/>
            <w:vAlign w:val="bottom"/>
          </w:tcPr>
          <w:p>
            <w:pPr>
              <w:ind w:left="180"/>
              <w:spacing w:after="0"/>
              <w:rPr>
                <w:sz w:val="20"/>
                <w:szCs w:val="20"/>
                <w:color w:val="auto"/>
              </w:rPr>
            </w:pPr>
            <w:r>
              <w:rPr>
                <w:rFonts w:ascii="Arial" w:cs="Arial" w:eastAsia="Arial" w:hAnsi="Arial"/>
                <w:sz w:val="18"/>
                <w:szCs w:val="18"/>
                <w:color w:val="auto"/>
              </w:rPr>
              <w:t>Megawatt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MWh</w:t>
            </w:r>
          </w:p>
        </w:tc>
        <w:tc>
          <w:tcPr>
            <w:tcW w:w="8560" w:type="dxa"/>
            <w:vAlign w:val="bottom"/>
          </w:tcPr>
          <w:p>
            <w:pPr>
              <w:ind w:left="18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MWt</w:t>
            </w:r>
          </w:p>
        </w:tc>
        <w:tc>
          <w:tcPr>
            <w:tcW w:w="8560" w:type="dxa"/>
            <w:vAlign w:val="bottom"/>
          </w:tcPr>
          <w:p>
            <w:pPr>
              <w:ind w:left="18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NERC</w:t>
            </w:r>
          </w:p>
        </w:tc>
        <w:tc>
          <w:tcPr>
            <w:tcW w:w="8560" w:type="dxa"/>
            <w:vAlign w:val="bottom"/>
          </w:tcPr>
          <w:p>
            <w:pPr>
              <w:ind w:left="180"/>
              <w:spacing w:after="0"/>
              <w:rPr>
                <w:sz w:val="20"/>
                <w:szCs w:val="20"/>
                <w:color w:val="auto"/>
              </w:rPr>
            </w:pPr>
            <w:r>
              <w:rPr>
                <w:rFonts w:ascii="Arial" w:cs="Arial" w:eastAsia="Arial" w:hAnsi="Arial"/>
                <w:sz w:val="18"/>
                <w:szCs w:val="18"/>
                <w:color w:val="auto"/>
              </w:rPr>
              <w:t>North American Electric Reliability Corporation</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Net Exposure</w:t>
            </w:r>
          </w:p>
        </w:tc>
        <w:tc>
          <w:tcPr>
            <w:tcW w:w="8560" w:type="dxa"/>
            <w:vAlign w:val="bottom"/>
          </w:tcPr>
          <w:p>
            <w:pPr>
              <w:ind w:left="180"/>
              <w:spacing w:after="0"/>
              <w:rPr>
                <w:sz w:val="20"/>
                <w:szCs w:val="20"/>
                <w:color w:val="auto"/>
              </w:rPr>
            </w:pPr>
            <w:r>
              <w:rPr>
                <w:rFonts w:ascii="Arial" w:cs="Arial" w:eastAsia="Arial" w:hAnsi="Arial"/>
                <w:sz w:val="18"/>
                <w:szCs w:val="18"/>
                <w:color w:val="auto"/>
              </w:rPr>
              <w:t>Counterparty credit exposure to NRG Yield, Inc. net of collateral</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w w:val="97"/>
              </w:rPr>
              <w:t>November 2015 Drop Down Assets</w:t>
            </w:r>
          </w:p>
        </w:tc>
        <w:tc>
          <w:tcPr>
            <w:tcW w:w="8560" w:type="dxa"/>
            <w:vAlign w:val="bottom"/>
          </w:tcPr>
          <w:p>
            <w:pPr>
              <w:ind w:left="180"/>
              <w:spacing w:after="0"/>
              <w:rPr>
                <w:sz w:val="20"/>
                <w:szCs w:val="20"/>
                <w:color w:val="auto"/>
              </w:rPr>
            </w:pPr>
            <w:r>
              <w:rPr>
                <w:rFonts w:ascii="Arial" w:cs="Arial" w:eastAsia="Arial" w:hAnsi="Arial"/>
                <w:sz w:val="18"/>
                <w:szCs w:val="18"/>
                <w:color w:val="auto"/>
                <w:w w:val="93"/>
              </w:rPr>
              <w:t>75% of the Class B interests of NRG Wind TE Holdco, which owns a portfolio of 12 wind facilities totaling 814 net</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MW, which was acquired by Yield Operating LLC from NRG on November 3, 2015</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560" w:type="dxa"/>
            <w:vAlign w:val="bottom"/>
          </w:tcPr>
          <w:p>
            <w:pPr>
              <w:ind w:left="180"/>
              <w:spacing w:after="0"/>
              <w:rPr>
                <w:sz w:val="20"/>
                <w:szCs w:val="20"/>
                <w:color w:val="auto"/>
              </w:rPr>
            </w:pPr>
            <w:r>
              <w:rPr>
                <w:rFonts w:ascii="Arial" w:cs="Arial" w:eastAsia="Arial" w:hAnsi="Arial"/>
                <w:sz w:val="18"/>
                <w:szCs w:val="18"/>
                <w:color w:val="auto"/>
              </w:rPr>
              <w:t>Nitrogen Oxide</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NPNS</w:t>
            </w:r>
          </w:p>
        </w:tc>
        <w:tc>
          <w:tcPr>
            <w:tcW w:w="8560" w:type="dxa"/>
            <w:vAlign w:val="bottom"/>
          </w:tcPr>
          <w:p>
            <w:pPr>
              <w:ind w:left="180"/>
              <w:spacing w:after="0"/>
              <w:rPr>
                <w:sz w:val="20"/>
                <w:szCs w:val="20"/>
                <w:color w:val="auto"/>
              </w:rPr>
            </w:pPr>
            <w:r>
              <w:rPr>
                <w:rFonts w:ascii="Arial" w:cs="Arial" w:eastAsia="Arial" w:hAnsi="Arial"/>
                <w:sz w:val="18"/>
                <w:szCs w:val="18"/>
                <w:color w:val="auto"/>
              </w:rPr>
              <w:t>Normal Purchases and Normal Sales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NRG</w:t>
            </w:r>
          </w:p>
        </w:tc>
        <w:tc>
          <w:tcPr>
            <w:tcW w:w="8560" w:type="dxa"/>
            <w:vAlign w:val="bottom"/>
          </w:tcPr>
          <w:p>
            <w:pPr>
              <w:ind w:left="18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NRG Wind TE Holdco</w:t>
            </w:r>
          </w:p>
        </w:tc>
        <w:tc>
          <w:tcPr>
            <w:tcW w:w="8560" w:type="dxa"/>
            <w:vAlign w:val="bottom"/>
          </w:tcPr>
          <w:p>
            <w:pPr>
              <w:ind w:left="180"/>
              <w:spacing w:after="0"/>
              <w:rPr>
                <w:sz w:val="20"/>
                <w:szCs w:val="20"/>
                <w:color w:val="auto"/>
              </w:rPr>
            </w:pPr>
            <w:r>
              <w:rPr>
                <w:rFonts w:ascii="Arial" w:cs="Arial" w:eastAsia="Arial" w:hAnsi="Arial"/>
                <w:sz w:val="18"/>
                <w:szCs w:val="18"/>
                <w:color w:val="auto"/>
              </w:rPr>
              <w:t>NRG Wind TE Holdco LLC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NSPS</w:t>
            </w:r>
          </w:p>
        </w:tc>
        <w:tc>
          <w:tcPr>
            <w:tcW w:w="8560" w:type="dxa"/>
            <w:vAlign w:val="bottom"/>
          </w:tcPr>
          <w:p>
            <w:pPr>
              <w:ind w:left="180"/>
              <w:spacing w:after="0"/>
              <w:rPr>
                <w:sz w:val="20"/>
                <w:szCs w:val="20"/>
                <w:color w:val="auto"/>
              </w:rPr>
            </w:pPr>
            <w:r>
              <w:rPr>
                <w:rFonts w:ascii="Arial" w:cs="Arial" w:eastAsia="Arial" w:hAnsi="Arial"/>
                <w:sz w:val="18"/>
                <w:szCs w:val="18"/>
                <w:color w:val="auto"/>
              </w:rPr>
              <w:t>New Source Performance Standards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OCI / OCL</w:t>
            </w:r>
          </w:p>
        </w:tc>
        <w:tc>
          <w:tcPr>
            <w:tcW w:w="8560" w:type="dxa"/>
            <w:vAlign w:val="bottom"/>
          </w:tcPr>
          <w:p>
            <w:pPr>
              <w:ind w:left="180"/>
              <w:spacing w:after="0"/>
              <w:rPr>
                <w:sz w:val="20"/>
                <w:szCs w:val="20"/>
                <w:color w:val="auto"/>
              </w:rPr>
            </w:pPr>
            <w:r>
              <w:rPr>
                <w:rFonts w:ascii="Arial" w:cs="Arial" w:eastAsia="Arial" w:hAnsi="Arial"/>
                <w:sz w:val="18"/>
                <w:szCs w:val="18"/>
                <w:color w:val="auto"/>
              </w:rPr>
              <w:t>Other comprehensive income / loss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OSHA</w:t>
            </w:r>
          </w:p>
        </w:tc>
        <w:tc>
          <w:tcPr>
            <w:tcW w:w="8560" w:type="dxa"/>
            <w:vAlign w:val="bottom"/>
          </w:tcPr>
          <w:p>
            <w:pPr>
              <w:ind w:left="180"/>
              <w:spacing w:after="0"/>
              <w:rPr>
                <w:sz w:val="20"/>
                <w:szCs w:val="20"/>
                <w:color w:val="auto"/>
              </w:rPr>
            </w:pPr>
            <w:r>
              <w:rPr>
                <w:rFonts w:ascii="Arial" w:cs="Arial" w:eastAsia="Arial" w:hAnsi="Arial"/>
                <w:sz w:val="18"/>
                <w:szCs w:val="18"/>
                <w:color w:val="auto"/>
              </w:rPr>
              <w:t>Occupational Safety and Health Administration</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PG&amp;E</w:t>
            </w:r>
          </w:p>
        </w:tc>
        <w:tc>
          <w:tcPr>
            <w:tcW w:w="8560" w:type="dxa"/>
            <w:vAlign w:val="bottom"/>
          </w:tcPr>
          <w:p>
            <w:pPr>
              <w:ind w:left="180"/>
              <w:spacing w:after="0"/>
              <w:rPr>
                <w:sz w:val="20"/>
                <w:szCs w:val="20"/>
                <w:color w:val="auto"/>
              </w:rPr>
            </w:pPr>
            <w:r>
              <w:rPr>
                <w:rFonts w:ascii="Arial" w:cs="Arial" w:eastAsia="Arial" w:hAnsi="Arial"/>
                <w:sz w:val="18"/>
                <w:szCs w:val="18"/>
                <w:color w:val="auto"/>
              </w:rPr>
              <w:t>Pacific Gas &amp; Electric Company</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Pinnacle</w:t>
            </w:r>
          </w:p>
        </w:tc>
        <w:tc>
          <w:tcPr>
            <w:tcW w:w="8560" w:type="dxa"/>
            <w:vAlign w:val="bottom"/>
          </w:tcPr>
          <w:p>
            <w:pPr>
              <w:ind w:left="180"/>
              <w:spacing w:after="0"/>
              <w:rPr>
                <w:sz w:val="20"/>
                <w:szCs w:val="20"/>
                <w:color w:val="auto"/>
              </w:rPr>
            </w:pPr>
            <w:r>
              <w:rPr>
                <w:rFonts w:ascii="Arial" w:cs="Arial" w:eastAsia="Arial" w:hAnsi="Arial"/>
                <w:sz w:val="18"/>
                <w:szCs w:val="18"/>
                <w:color w:val="auto"/>
              </w:rPr>
              <w:t>Pinnacle Wind, LLC, the operating subsidiary of Tapestry Wind LLC, which owns the Pinnacle project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PJM</w:t>
            </w:r>
          </w:p>
        </w:tc>
        <w:tc>
          <w:tcPr>
            <w:tcW w:w="8560" w:type="dxa"/>
            <w:vAlign w:val="bottom"/>
          </w:tcPr>
          <w:p>
            <w:pPr>
              <w:ind w:left="180"/>
              <w:spacing w:after="0"/>
              <w:rPr>
                <w:sz w:val="20"/>
                <w:szCs w:val="20"/>
                <w:color w:val="auto"/>
              </w:rPr>
            </w:pPr>
            <w:r>
              <w:rPr>
                <w:rFonts w:ascii="Arial" w:cs="Arial" w:eastAsia="Arial" w:hAnsi="Arial"/>
                <w:sz w:val="18"/>
                <w:szCs w:val="18"/>
                <w:color w:val="auto"/>
              </w:rPr>
              <w:t>PJM Interconnection, LLC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PPA</w:t>
            </w:r>
          </w:p>
        </w:tc>
        <w:tc>
          <w:tcPr>
            <w:tcW w:w="8560" w:type="dxa"/>
            <w:vAlign w:val="bottom"/>
          </w:tcPr>
          <w:p>
            <w:pPr>
              <w:ind w:left="18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PTC</w:t>
            </w:r>
          </w:p>
        </w:tc>
        <w:tc>
          <w:tcPr>
            <w:tcW w:w="8560" w:type="dxa"/>
            <w:vAlign w:val="bottom"/>
          </w:tcPr>
          <w:p>
            <w:pPr>
              <w:ind w:left="180"/>
              <w:spacing w:after="0"/>
              <w:rPr>
                <w:sz w:val="20"/>
                <w:szCs w:val="20"/>
                <w:color w:val="auto"/>
              </w:rPr>
            </w:pPr>
            <w:r>
              <w:rPr>
                <w:rFonts w:ascii="Arial" w:cs="Arial" w:eastAsia="Arial" w:hAnsi="Arial"/>
                <w:sz w:val="18"/>
                <w:szCs w:val="18"/>
                <w:color w:val="auto"/>
              </w:rPr>
              <w:t>Production Tax Credit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PUCT</w:t>
            </w:r>
          </w:p>
        </w:tc>
        <w:tc>
          <w:tcPr>
            <w:tcW w:w="8560" w:type="dxa"/>
            <w:vAlign w:val="bottom"/>
          </w:tcPr>
          <w:p>
            <w:pPr>
              <w:ind w:left="180"/>
              <w:spacing w:after="0"/>
              <w:rPr>
                <w:sz w:val="20"/>
                <w:szCs w:val="20"/>
                <w:color w:val="auto"/>
              </w:rPr>
            </w:pPr>
            <w:r>
              <w:rPr>
                <w:rFonts w:ascii="Arial" w:cs="Arial" w:eastAsia="Arial" w:hAnsi="Arial"/>
                <w:sz w:val="18"/>
                <w:szCs w:val="18"/>
                <w:color w:val="auto"/>
              </w:rPr>
              <w:t>Public Utility Commission of Texas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PUHCA</w:t>
            </w:r>
          </w:p>
        </w:tc>
        <w:tc>
          <w:tcPr>
            <w:tcW w:w="8560" w:type="dxa"/>
            <w:vAlign w:val="bottom"/>
          </w:tcPr>
          <w:p>
            <w:pPr>
              <w:ind w:left="180"/>
              <w:spacing w:after="0"/>
              <w:rPr>
                <w:sz w:val="20"/>
                <w:szCs w:val="20"/>
                <w:color w:val="auto"/>
              </w:rPr>
            </w:pPr>
            <w:r>
              <w:rPr>
                <w:rFonts w:ascii="Arial" w:cs="Arial" w:eastAsia="Arial" w:hAnsi="Arial"/>
                <w:sz w:val="18"/>
                <w:szCs w:val="18"/>
                <w:color w:val="auto"/>
              </w:rPr>
              <w:t>Public Utility Holding Company Act of 2005</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PURPA</w:t>
            </w:r>
          </w:p>
        </w:tc>
        <w:tc>
          <w:tcPr>
            <w:tcW w:w="8560" w:type="dxa"/>
            <w:vAlign w:val="bottom"/>
          </w:tcPr>
          <w:p>
            <w:pPr>
              <w:ind w:left="180"/>
              <w:spacing w:after="0"/>
              <w:rPr>
                <w:sz w:val="20"/>
                <w:szCs w:val="20"/>
                <w:color w:val="auto"/>
              </w:rPr>
            </w:pPr>
            <w:r>
              <w:rPr>
                <w:rFonts w:ascii="Arial" w:cs="Arial" w:eastAsia="Arial" w:hAnsi="Arial"/>
                <w:sz w:val="18"/>
                <w:szCs w:val="18"/>
                <w:color w:val="auto"/>
              </w:rPr>
              <w:t>Public Utility Regulatory Policies Act of 1978</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QF</w:t>
            </w:r>
          </w:p>
        </w:tc>
        <w:tc>
          <w:tcPr>
            <w:tcW w:w="8560" w:type="dxa"/>
            <w:vAlign w:val="bottom"/>
          </w:tcPr>
          <w:p>
            <w:pPr>
              <w:ind w:left="180"/>
              <w:spacing w:after="0"/>
              <w:rPr>
                <w:sz w:val="20"/>
                <w:szCs w:val="20"/>
                <w:color w:val="auto"/>
              </w:rPr>
            </w:pPr>
            <w:r>
              <w:rPr>
                <w:rFonts w:ascii="Arial" w:cs="Arial" w:eastAsia="Arial" w:hAnsi="Arial"/>
                <w:sz w:val="18"/>
                <w:szCs w:val="18"/>
                <w:color w:val="auto"/>
              </w:rPr>
              <w:t>Qualifying Facility under PURPA</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Recapitalization</w:t>
            </w:r>
          </w:p>
        </w:tc>
        <w:tc>
          <w:tcPr>
            <w:tcW w:w="8560" w:type="dxa"/>
            <w:vAlign w:val="bottom"/>
          </w:tcPr>
          <w:p>
            <w:pPr>
              <w:ind w:left="180"/>
              <w:spacing w:after="0"/>
              <w:rPr>
                <w:sz w:val="20"/>
                <w:szCs w:val="20"/>
                <w:color w:val="auto"/>
              </w:rPr>
            </w:pPr>
            <w:r>
              <w:rPr>
                <w:rFonts w:ascii="Arial" w:cs="Arial" w:eastAsia="Arial" w:hAnsi="Arial"/>
                <w:sz w:val="18"/>
                <w:szCs w:val="18"/>
                <w:color w:val="auto"/>
                <w:w w:val="92"/>
              </w:rPr>
              <w:t>The adoption of the Company's Second Amended and Restated Certificate of Incorporation which authorized two</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w w:val="92"/>
              </w:rPr>
              <w:t>new classes of common stock, Class C common stock and Class D common stock, and distributed shares of such</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w w:val="97"/>
              </w:rPr>
              <w:t>new classes of common stock to holders of the Company’s outstanding Class A common stock and Class B</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common stock, respectively, through a stock split on May 14, 2015</w:t>
            </w:r>
          </w:p>
        </w:tc>
        <w:tc>
          <w:tcPr>
            <w:tcW w:w="0" w:type="dxa"/>
            <w:vAlign w:val="bottom"/>
          </w:tcPr>
          <w:p>
            <w:pPr>
              <w:spacing w:after="0"/>
              <w:rPr>
                <w:sz w:val="1"/>
                <w:szCs w:val="1"/>
                <w:color w:val="auto"/>
              </w:rPr>
            </w:pPr>
          </w:p>
        </w:tc>
      </w:tr>
      <w:tr>
        <w:trPr>
          <w:trHeight w:val="446"/>
        </w:trPr>
        <w:tc>
          <w:tcPr>
            <w:tcW w:w="2780" w:type="dxa"/>
            <w:vAlign w:val="bottom"/>
          </w:tcPr>
          <w:p>
            <w:pPr>
              <w:spacing w:after="0"/>
              <w:rPr>
                <w:sz w:val="20"/>
                <w:szCs w:val="20"/>
                <w:color w:val="auto"/>
              </w:rPr>
            </w:pPr>
            <w:r>
              <w:rPr>
                <w:rFonts w:ascii="Arial" w:cs="Arial" w:eastAsia="Arial" w:hAnsi="Arial"/>
                <w:sz w:val="18"/>
                <w:szCs w:val="18"/>
                <w:color w:val="auto"/>
              </w:rPr>
              <w:t>ROFO Agreement</w:t>
            </w:r>
          </w:p>
        </w:tc>
        <w:tc>
          <w:tcPr>
            <w:tcW w:w="8560" w:type="dxa"/>
            <w:vAlign w:val="bottom"/>
          </w:tcPr>
          <w:p>
            <w:pPr>
              <w:ind w:left="180"/>
              <w:spacing w:after="0"/>
              <w:rPr>
                <w:sz w:val="20"/>
                <w:szCs w:val="20"/>
                <w:color w:val="auto"/>
              </w:rPr>
            </w:pPr>
            <w:r>
              <w:rPr>
                <w:rFonts w:ascii="Arial" w:cs="Arial" w:eastAsia="Arial" w:hAnsi="Arial"/>
                <w:sz w:val="18"/>
                <w:szCs w:val="18"/>
                <w:color w:val="auto"/>
              </w:rPr>
              <w:t>Amended and Restated Right of First Offer Agreement between Yield, Inc. and NRG</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RPM</w:t>
            </w:r>
          </w:p>
        </w:tc>
        <w:tc>
          <w:tcPr>
            <w:tcW w:w="8560" w:type="dxa"/>
            <w:vAlign w:val="bottom"/>
          </w:tcPr>
          <w:p>
            <w:pPr>
              <w:ind w:left="180"/>
              <w:spacing w:after="0"/>
              <w:rPr>
                <w:sz w:val="20"/>
                <w:szCs w:val="20"/>
                <w:color w:val="auto"/>
              </w:rPr>
            </w:pPr>
            <w:r>
              <w:rPr>
                <w:rFonts w:ascii="Arial" w:cs="Arial" w:eastAsia="Arial" w:hAnsi="Arial"/>
                <w:sz w:val="18"/>
                <w:szCs w:val="18"/>
                <w:color w:val="auto"/>
              </w:rPr>
              <w:t>Reliability Pricing Model</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RPS</w:t>
            </w:r>
          </w:p>
        </w:tc>
        <w:tc>
          <w:tcPr>
            <w:tcW w:w="8560" w:type="dxa"/>
            <w:vAlign w:val="bottom"/>
          </w:tcPr>
          <w:p>
            <w:pPr>
              <w:ind w:left="180"/>
              <w:spacing w:after="0"/>
              <w:rPr>
                <w:sz w:val="20"/>
                <w:szCs w:val="20"/>
                <w:color w:val="auto"/>
              </w:rPr>
            </w:pPr>
            <w:r>
              <w:rPr>
                <w:rFonts w:ascii="Arial" w:cs="Arial" w:eastAsia="Arial" w:hAnsi="Arial"/>
                <w:sz w:val="18"/>
                <w:szCs w:val="18"/>
                <w:color w:val="auto"/>
              </w:rPr>
              <w:t>Renewable Portfolio Standards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RPV Holdco</w:t>
            </w:r>
          </w:p>
        </w:tc>
        <w:tc>
          <w:tcPr>
            <w:tcW w:w="8560" w:type="dxa"/>
            <w:vAlign w:val="bottom"/>
          </w:tcPr>
          <w:p>
            <w:pPr>
              <w:ind w:left="180"/>
              <w:spacing w:after="0"/>
              <w:rPr>
                <w:sz w:val="20"/>
                <w:szCs w:val="20"/>
                <w:color w:val="auto"/>
              </w:rPr>
            </w:pPr>
            <w:r>
              <w:rPr>
                <w:rFonts w:ascii="Arial" w:cs="Arial" w:eastAsia="Arial" w:hAnsi="Arial"/>
                <w:sz w:val="18"/>
                <w:szCs w:val="18"/>
                <w:color w:val="auto"/>
              </w:rPr>
              <w:t>NRG RPV Holdco 1 LLC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RTO</w:t>
            </w:r>
          </w:p>
        </w:tc>
        <w:tc>
          <w:tcPr>
            <w:tcW w:w="8560" w:type="dxa"/>
            <w:vAlign w:val="bottom"/>
          </w:tcPr>
          <w:p>
            <w:pPr>
              <w:ind w:left="180"/>
              <w:spacing w:after="0"/>
              <w:rPr>
                <w:sz w:val="20"/>
                <w:szCs w:val="20"/>
                <w:color w:val="auto"/>
              </w:rPr>
            </w:pPr>
            <w:r>
              <w:rPr>
                <w:rFonts w:ascii="Arial" w:cs="Arial" w:eastAsia="Arial" w:hAnsi="Arial"/>
                <w:sz w:val="18"/>
                <w:szCs w:val="18"/>
                <w:color w:val="auto"/>
              </w:rPr>
              <w:t>Regional Transmission Organization</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SCE</w:t>
            </w:r>
          </w:p>
        </w:tc>
        <w:tc>
          <w:tcPr>
            <w:tcW w:w="8560" w:type="dxa"/>
            <w:vAlign w:val="bottom"/>
          </w:tcPr>
          <w:p>
            <w:pPr>
              <w:ind w:left="180"/>
              <w:spacing w:after="0"/>
              <w:rPr>
                <w:sz w:val="20"/>
                <w:szCs w:val="20"/>
                <w:color w:val="auto"/>
              </w:rPr>
            </w:pPr>
            <w:r>
              <w:rPr>
                <w:rFonts w:ascii="Arial" w:cs="Arial" w:eastAsia="Arial" w:hAnsi="Arial"/>
                <w:sz w:val="18"/>
                <w:szCs w:val="18"/>
                <w:color w:val="auto"/>
              </w:rPr>
              <w:t>Southern California Edison</w:t>
            </w:r>
          </w:p>
        </w:tc>
        <w:tc>
          <w:tcPr>
            <w:tcW w:w="0" w:type="dxa"/>
            <w:vAlign w:val="bottom"/>
          </w:tcPr>
          <w:p>
            <w:pPr>
              <w:spacing w:after="0"/>
              <w:rPr>
                <w:sz w:val="1"/>
                <w:szCs w:val="1"/>
                <w:color w:val="auto"/>
              </w:rPr>
            </w:pPr>
          </w:p>
        </w:tc>
      </w:tr>
      <w:tr>
        <w:trPr>
          <w:trHeight w:val="486"/>
        </w:trPr>
        <w:tc>
          <w:tcPr>
            <w:tcW w:w="2780" w:type="dxa"/>
            <w:vAlign w:val="bottom"/>
          </w:tcPr>
          <w:p>
            <w:pPr>
              <w:spacing w:after="0"/>
              <w:rPr>
                <w:sz w:val="24"/>
                <w:szCs w:val="24"/>
                <w:color w:val="auto"/>
              </w:rPr>
            </w:pPr>
          </w:p>
        </w:tc>
        <w:tc>
          <w:tcPr>
            <w:tcW w:w="8560" w:type="dxa"/>
            <w:vAlign w:val="bottom"/>
          </w:tcPr>
          <w:p>
            <w:pPr>
              <w:ind w:left="28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40"/>
          </w:cols>
          <w:pgMar w:left="280" w:top="1044" w:right="279" w:bottom="1440" w:gutter="0" w:footer="0" w:header="0"/>
        </w:sectPr>
      </w:pPr>
    </w:p>
    <w:bookmarkStart w:id="4" w:name="page5"/>
    <w:bookmarkEnd w:id="4"/>
    <w:p>
      <w:pPr>
        <w:spacing w:after="0"/>
        <w:rPr>
          <w:sz w:val="20"/>
          <w:szCs w:val="20"/>
          <w:color w:val="auto"/>
        </w:rPr>
      </w:pPr>
      <w:r>
        <w:rPr>
          <w:rFonts w:ascii="Arial" w:cs="Arial" w:eastAsia="Arial" w:hAnsi="Arial"/>
          <w:sz w:val="15"/>
          <w:szCs w:val="15"/>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Securities and Exchange Commission</w:t>
      </w:r>
    </w:p>
    <w:p>
      <w:pPr>
        <w:spacing w:after="0" w:line="86" w:lineRule="exact"/>
        <w:rPr>
          <w:sz w:val="20"/>
          <w:szCs w:val="20"/>
          <w:color w:val="auto"/>
        </w:rPr>
      </w:pPr>
    </w:p>
    <w:p>
      <w:pPr>
        <w:sectPr>
          <w:pgSz w:w="11900" w:h="16838" w:orient="portrait"/>
          <w:cols w:equalWidth="0" w:num="2">
            <w:col w:w="2240" w:space="720"/>
            <w:col w:w="8380"/>
          </w:cols>
          <w:pgMar w:left="280" w:top="1044" w:right="279" w:bottom="1440" w:gutter="0" w:footer="0" w:header="0"/>
        </w:sectPr>
      </w:pPr>
    </w:p>
    <w:p>
      <w:pPr>
        <w:spacing w:after="0"/>
        <w:rPr>
          <w:sz w:val="20"/>
          <w:szCs w:val="20"/>
          <w:color w:val="auto"/>
        </w:rPr>
      </w:pPr>
      <w:r>
        <w:rPr>
          <w:rFonts w:ascii="Arial" w:cs="Arial" w:eastAsia="Arial" w:hAnsi="Arial"/>
          <w:sz w:val="16"/>
          <w:szCs w:val="16"/>
          <w:color w:val="auto"/>
        </w:rPr>
        <w:t>Securities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Securities Act of 1933</w:t>
      </w:r>
    </w:p>
    <w:p>
      <w:pPr>
        <w:spacing w:after="0" w:line="86" w:lineRule="exact"/>
        <w:rPr>
          <w:sz w:val="20"/>
          <w:szCs w:val="20"/>
          <w:color w:val="auto"/>
        </w:rPr>
      </w:pPr>
    </w:p>
    <w:p>
      <w:pPr>
        <w:sectPr>
          <w:pgSz w:w="11900" w:h="16838" w:orient="portrait"/>
          <w:cols w:equalWidth="0" w:num="2">
            <w:col w:w="2240" w:space="720"/>
            <w:col w:w="8380"/>
          </w:cols>
          <w:pgMar w:left="280" w:top="1044"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Senior Notes</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6"/>
          <w:szCs w:val="16"/>
          <w:color w:val="auto"/>
        </w:rPr>
        <w:t>NRG Yield Operating LLC's $500 million of 5.375% unsecured senior notes due 2024</w:t>
      </w:r>
    </w:p>
    <w:p>
      <w:pPr>
        <w:spacing w:after="0" w:line="86" w:lineRule="exact"/>
        <w:rPr>
          <w:sz w:val="20"/>
          <w:szCs w:val="20"/>
          <w:color w:val="auto"/>
        </w:rPr>
      </w:pPr>
    </w:p>
    <w:p>
      <w:pPr>
        <w:sectPr>
          <w:pgSz w:w="11900" w:h="16838" w:orient="portrait"/>
          <w:cols w:equalWidth="0" w:num="2">
            <w:col w:w="2240" w:space="720"/>
            <w:col w:w="8380"/>
          </w:cols>
          <w:pgMar w:left="280" w:top="1044" w:right="279" w:bottom="1440" w:gutter="0" w:footer="0" w:header="0"/>
          <w:type w:val="continuous"/>
        </w:sectPr>
      </w:pPr>
    </w:p>
    <w:p>
      <w:pPr>
        <w:spacing w:after="0"/>
        <w:rPr>
          <w:sz w:val="20"/>
          <w:szCs w:val="20"/>
          <w:color w:val="auto"/>
        </w:rPr>
      </w:pPr>
      <w:r>
        <w:rPr>
          <w:rFonts w:ascii="Arial" w:cs="Arial" w:eastAsia="Arial" w:hAnsi="Arial"/>
          <w:sz w:val="15"/>
          <w:szCs w:val="15"/>
          <w:color w:val="auto"/>
        </w:rPr>
        <w:t>SO</w:t>
      </w: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Sulfur Dioxide</w:t>
      </w:r>
    </w:p>
    <w:p>
      <w:pPr>
        <w:spacing w:after="0" w:line="75" w:lineRule="exact"/>
        <w:rPr>
          <w:sz w:val="20"/>
          <w:szCs w:val="20"/>
          <w:color w:val="auto"/>
        </w:rPr>
      </w:pPr>
    </w:p>
    <w:p>
      <w:pPr>
        <w:sectPr>
          <w:pgSz w:w="11900" w:h="16838" w:orient="portrait"/>
          <w:cols w:equalWidth="0" w:num="2">
            <w:col w:w="2240" w:space="720"/>
            <w:col w:w="8380"/>
          </w:cols>
          <w:pgMar w:left="280" w:top="1044" w:right="279" w:bottom="1440" w:gutter="0" w:footer="0" w:header="0"/>
          <w:type w:val="continuous"/>
        </w:sectPr>
      </w:pPr>
    </w:p>
    <w:p>
      <w:pPr>
        <w:spacing w:after="0"/>
        <w:rPr>
          <w:sz w:val="20"/>
          <w:szCs w:val="20"/>
          <w:color w:val="auto"/>
        </w:rPr>
      </w:pPr>
      <w:r>
        <w:rPr>
          <w:rFonts w:ascii="Arial" w:cs="Arial" w:eastAsia="Arial" w:hAnsi="Arial"/>
          <w:sz w:val="16"/>
          <w:szCs w:val="16"/>
          <w:color w:val="auto"/>
        </w:rPr>
        <w:t>TA High Desert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TA-High Desert LLC, the operating subsidiary of NRG Solar Mayfair LLC, which owns the TA High Desert project</w:t>
      </w:r>
    </w:p>
    <w:p>
      <w:pPr>
        <w:spacing w:after="0" w:line="86" w:lineRule="exact"/>
        <w:rPr>
          <w:sz w:val="20"/>
          <w:szCs w:val="20"/>
          <w:color w:val="auto"/>
        </w:rPr>
      </w:pPr>
    </w:p>
    <w:p>
      <w:pPr>
        <w:sectPr>
          <w:pgSz w:w="11900" w:h="16838" w:orient="portrait"/>
          <w:cols w:equalWidth="0" w:num="2">
            <w:col w:w="2240" w:space="720"/>
            <w:col w:w="8380"/>
          </w:cols>
          <w:pgMar w:left="280" w:top="1044" w:right="279" w:bottom="1440" w:gutter="0" w:footer="0" w:header="0"/>
          <w:type w:val="continuous"/>
        </w:sectPr>
      </w:pPr>
    </w:p>
    <w:p>
      <w:pPr>
        <w:spacing w:after="0"/>
        <w:rPr>
          <w:sz w:val="20"/>
          <w:szCs w:val="20"/>
          <w:color w:val="auto"/>
        </w:rPr>
      </w:pPr>
      <w:r>
        <w:rPr>
          <w:rFonts w:ascii="Arial" w:cs="Arial" w:eastAsia="Arial" w:hAnsi="Arial"/>
          <w:sz w:val="15"/>
          <w:szCs w:val="15"/>
          <w:color w:val="auto"/>
        </w:rPr>
        <w:t>Taloga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Taloga Wind, LLC, the operating subsidiary of Tapestry Wind LLC, which owns the Taloga project</w:t>
      </w:r>
    </w:p>
    <w:p>
      <w:pPr>
        <w:spacing w:after="0" w:line="86" w:lineRule="exact"/>
        <w:rPr>
          <w:sz w:val="20"/>
          <w:szCs w:val="20"/>
          <w:color w:val="auto"/>
        </w:rPr>
      </w:pPr>
    </w:p>
    <w:p>
      <w:pPr>
        <w:sectPr>
          <w:pgSz w:w="11900" w:h="16838" w:orient="portrait"/>
          <w:cols w:equalWidth="0" w:num="2">
            <w:col w:w="2240" w:space="720"/>
            <w:col w:w="8380"/>
          </w:cols>
          <w:pgMar w:left="280" w:top="1044" w:right="279" w:bottom="1440" w:gutter="0" w:footer="0" w:header="0"/>
          <w:type w:val="continuous"/>
        </w:sectPr>
      </w:pPr>
    </w:p>
    <w:p>
      <w:pPr>
        <w:spacing w:after="0"/>
        <w:rPr>
          <w:sz w:val="20"/>
          <w:szCs w:val="20"/>
          <w:color w:val="auto"/>
        </w:rPr>
      </w:pPr>
      <w:r>
        <w:rPr>
          <w:rFonts w:ascii="Arial" w:cs="Arial" w:eastAsia="Arial" w:hAnsi="Arial"/>
          <w:sz w:val="15"/>
          <w:szCs w:val="15"/>
          <w:color w:val="auto"/>
        </w:rPr>
        <w:t>Tapestry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Collection of the Pinnacle, Buffalo Bear and Taloga projects</w:t>
      </w:r>
    </w:p>
    <w:p>
      <w:pPr>
        <w:spacing w:after="0" w:line="86" w:lineRule="exact"/>
        <w:rPr>
          <w:sz w:val="20"/>
          <w:szCs w:val="20"/>
          <w:color w:val="auto"/>
        </w:rPr>
      </w:pPr>
    </w:p>
    <w:p>
      <w:pPr>
        <w:sectPr>
          <w:pgSz w:w="11900" w:h="16838" w:orient="portrait"/>
          <w:cols w:equalWidth="0" w:num="2">
            <w:col w:w="2240" w:space="720"/>
            <w:col w:w="8380"/>
          </w:cols>
          <w:pgMar w:left="280" w:top="1044" w:right="279" w:bottom="1440" w:gutter="0" w:footer="0" w:header="0"/>
          <w:type w:val="continuous"/>
        </w:sectPr>
      </w:pPr>
    </w:p>
    <w:p>
      <w:pPr>
        <w:spacing w:after="0"/>
        <w:rPr>
          <w:sz w:val="20"/>
          <w:szCs w:val="20"/>
          <w:color w:val="auto"/>
        </w:rPr>
      </w:pPr>
      <w:r>
        <w:rPr>
          <w:rFonts w:ascii="Arial" w:cs="Arial" w:eastAsia="Arial" w:hAnsi="Arial"/>
          <w:sz w:val="16"/>
          <w:szCs w:val="16"/>
          <w:color w:val="auto"/>
        </w:rPr>
        <w:t>Terra-Gen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Terra-Gen Operating Company, LLC</w:t>
      </w:r>
    </w:p>
    <w:p>
      <w:pPr>
        <w:spacing w:after="0" w:line="86" w:lineRule="exact"/>
        <w:rPr>
          <w:sz w:val="20"/>
          <w:szCs w:val="20"/>
          <w:color w:val="auto"/>
        </w:rPr>
      </w:pPr>
    </w:p>
    <w:p>
      <w:pPr>
        <w:sectPr>
          <w:pgSz w:w="11900" w:h="16838" w:orient="portrait"/>
          <w:cols w:equalWidth="0" w:num="2">
            <w:col w:w="2240" w:space="720"/>
            <w:col w:w="8380"/>
          </w:cols>
          <w:pgMar w:left="280" w:top="1044" w:right="279" w:bottom="1440" w:gutter="0" w:footer="0" w:header="0"/>
          <w:type w:val="continuous"/>
        </w:sectPr>
      </w:pPr>
    </w:p>
    <w:p>
      <w:pPr>
        <w:spacing w:after="0"/>
        <w:rPr>
          <w:sz w:val="20"/>
          <w:szCs w:val="20"/>
          <w:color w:val="auto"/>
        </w:rPr>
      </w:pPr>
      <w:r>
        <w:rPr>
          <w:rFonts w:ascii="Arial" w:cs="Arial" w:eastAsia="Arial" w:hAnsi="Arial"/>
          <w:sz w:val="15"/>
          <w:szCs w:val="15"/>
          <w:color w:val="auto"/>
        </w:rPr>
        <w:t>Thermal Business</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9" w:lineRule="exact"/>
        <w:rPr>
          <w:sz w:val="20"/>
          <w:szCs w:val="20"/>
          <w:color w:val="auto"/>
        </w:rPr>
      </w:pPr>
    </w:p>
    <w:p>
      <w:pPr>
        <w:sectPr>
          <w:pgSz w:w="11900" w:h="16838" w:orient="portrait"/>
          <w:cols w:equalWidth="0" w:num="2">
            <w:col w:w="2240" w:space="720"/>
            <w:col w:w="8380"/>
          </w:cols>
          <w:pgMar w:left="280" w:top="1044" w:right="27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40" w:space="720"/>
            <w:col w:w="8380"/>
          </w:cols>
          <w:pgMar w:left="280" w:top="1044" w:right="279" w:bottom="1440" w:gutter="0" w:footer="0" w:header="0"/>
          <w:type w:val="continuous"/>
        </w:sectPr>
      </w:pPr>
    </w:p>
    <w:p>
      <w:pPr>
        <w:spacing w:after="0"/>
        <w:rPr>
          <w:sz w:val="20"/>
          <w:szCs w:val="20"/>
          <w:color w:val="auto"/>
        </w:rPr>
      </w:pPr>
      <w:r>
        <w:rPr>
          <w:rFonts w:ascii="Arial" w:cs="Arial" w:eastAsia="Arial" w:hAnsi="Arial"/>
          <w:sz w:val="16"/>
          <w:szCs w:val="16"/>
          <w:color w:val="auto"/>
        </w:rPr>
        <w:t>U.S. DOE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Department of Energy</w:t>
      </w:r>
    </w:p>
    <w:p>
      <w:pPr>
        <w:spacing w:after="0" w:line="86" w:lineRule="exact"/>
        <w:rPr>
          <w:sz w:val="20"/>
          <w:szCs w:val="20"/>
          <w:color w:val="auto"/>
        </w:rPr>
      </w:pPr>
    </w:p>
    <w:p>
      <w:pPr>
        <w:sectPr>
          <w:pgSz w:w="11900" w:h="16838" w:orient="portrait"/>
          <w:cols w:equalWidth="0" w:num="2">
            <w:col w:w="2240" w:space="720"/>
            <w:col w:w="8380"/>
          </w:cols>
          <w:pgMar w:left="280" w:top="1044" w:right="279" w:bottom="1440" w:gutter="0" w:footer="0" w:header="0"/>
          <w:type w:val="continuous"/>
        </w:sectPr>
      </w:pPr>
    </w:p>
    <w:p>
      <w:pPr>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Accounting principles generally accepted in the United States</w:t>
      </w:r>
    </w:p>
    <w:p>
      <w:pPr>
        <w:spacing w:after="0" w:line="86" w:lineRule="exact"/>
        <w:rPr>
          <w:sz w:val="20"/>
          <w:szCs w:val="20"/>
          <w:color w:val="auto"/>
        </w:rPr>
      </w:pPr>
    </w:p>
    <w:p>
      <w:pPr>
        <w:sectPr>
          <w:pgSz w:w="11900" w:h="16838" w:orient="portrait"/>
          <w:cols w:equalWidth="0" w:num="2">
            <w:col w:w="2240" w:space="720"/>
            <w:col w:w="8380"/>
          </w:cols>
          <w:pgMar w:left="280" w:top="1044" w:right="279" w:bottom="1440" w:gutter="0" w:footer="0" w:header="0"/>
          <w:type w:val="continuous"/>
        </w:sectPr>
      </w:pPr>
    </w:p>
    <w:p>
      <w:pPr>
        <w:spacing w:after="0"/>
        <w:rPr>
          <w:sz w:val="20"/>
          <w:szCs w:val="20"/>
          <w:color w:val="auto"/>
        </w:rPr>
      </w:pPr>
      <w:r>
        <w:rPr>
          <w:rFonts w:ascii="Arial" w:cs="Arial" w:eastAsia="Arial" w:hAnsi="Arial"/>
          <w:sz w:val="16"/>
          <w:szCs w:val="16"/>
          <w:color w:val="auto"/>
        </w:rPr>
        <w:t>Utility-Scale Solar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380"/>
          </w:cols>
          <w:pgMar w:left="280" w:top="1044" w:right="279" w:bottom="1440" w:gutter="0" w:footer="0" w:header="0"/>
          <w:type w:val="continuous"/>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380"/>
          </w:cols>
          <w:pgMar w:left="280" w:top="1044" w:right="27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380"/>
          </w:cols>
          <w:pgMar w:left="280" w:top="1044" w:right="279" w:bottom="1440" w:gutter="0" w:footer="0" w:header="0"/>
          <w:type w:val="continuous"/>
        </w:sectPr>
      </w:pPr>
    </w:p>
    <w:p>
      <w:pPr>
        <w:spacing w:after="0"/>
        <w:rPr>
          <w:sz w:val="20"/>
          <w:szCs w:val="20"/>
          <w:color w:val="auto"/>
        </w:rPr>
      </w:pPr>
      <w:r>
        <w:rPr>
          <w:rFonts w:ascii="Arial" w:cs="Arial" w:eastAsia="Arial" w:hAnsi="Arial"/>
          <w:sz w:val="16"/>
          <w:szCs w:val="16"/>
          <w:color w:val="auto"/>
        </w:rPr>
        <w:t>Walnut Creek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Walnut Creek, LLC, the operating subsidiary of WCEP Holdings, LLC, which owns the Walnut Creek project</w:t>
      </w:r>
    </w:p>
    <w:p>
      <w:pPr>
        <w:spacing w:after="0" w:line="86" w:lineRule="exact"/>
        <w:rPr>
          <w:sz w:val="20"/>
          <w:szCs w:val="20"/>
          <w:color w:val="auto"/>
        </w:rPr>
      </w:pPr>
    </w:p>
    <w:p>
      <w:pPr>
        <w:sectPr>
          <w:pgSz w:w="11900" w:h="16838" w:orient="portrait"/>
          <w:cols w:equalWidth="0" w:num="2">
            <w:col w:w="2240" w:space="720"/>
            <w:col w:w="8380"/>
          </w:cols>
          <w:pgMar w:left="280" w:top="1044" w:right="279" w:bottom="1440" w:gutter="0" w:footer="0" w:header="0"/>
          <w:type w:val="continuous"/>
        </w:sectPr>
      </w:pPr>
    </w:p>
    <w:p>
      <w:pPr>
        <w:spacing w:after="0"/>
        <w:rPr>
          <w:sz w:val="20"/>
          <w:szCs w:val="20"/>
          <w:color w:val="auto"/>
        </w:rPr>
      </w:pPr>
      <w:r>
        <w:rPr>
          <w:rFonts w:ascii="Arial" w:cs="Arial" w:eastAsia="Arial" w:hAnsi="Arial"/>
          <w:sz w:val="16"/>
          <w:szCs w:val="16"/>
          <w:color w:val="auto"/>
        </w:rPr>
        <w:t>Yield,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Yield, Inc.</w:t>
      </w:r>
    </w:p>
    <w:p>
      <w:pPr>
        <w:spacing w:after="0" w:line="75" w:lineRule="exact"/>
        <w:rPr>
          <w:sz w:val="20"/>
          <w:szCs w:val="20"/>
          <w:color w:val="auto"/>
        </w:rPr>
      </w:pPr>
    </w:p>
    <w:p>
      <w:pPr>
        <w:sectPr>
          <w:pgSz w:w="11900" w:h="16838" w:orient="portrait"/>
          <w:cols w:equalWidth="0" w:num="2">
            <w:col w:w="2240" w:space="720"/>
            <w:col w:w="8380"/>
          </w:cols>
          <w:pgMar w:left="280" w:top="1044" w:right="279" w:bottom="1440" w:gutter="0" w:footer="0" w:header="0"/>
          <w:type w:val="continuous"/>
        </w:sectPr>
      </w:pPr>
    </w:p>
    <w:p>
      <w:pPr>
        <w:spacing w:after="0"/>
        <w:rPr>
          <w:sz w:val="20"/>
          <w:szCs w:val="20"/>
          <w:color w:val="auto"/>
        </w:rPr>
      </w:pPr>
      <w:r>
        <w:rPr>
          <w:rFonts w:ascii="Arial" w:cs="Arial" w:eastAsia="Arial" w:hAnsi="Arial"/>
          <w:sz w:val="17"/>
          <w:szCs w:val="17"/>
          <w:color w:val="auto"/>
        </w:rPr>
        <w:t>Yield Operating LLC</w:t>
      </w:r>
    </w:p>
    <w:p>
      <w:pPr>
        <w:spacing w:after="0" w:line="20" w:lineRule="exact"/>
        <w:rPr>
          <w:sz w:val="20"/>
          <w:szCs w:val="20"/>
          <w:color w:val="auto"/>
        </w:rPr>
      </w:pPr>
      <w:r>
        <w:rPr>
          <w:sz w:val="20"/>
          <w:szCs w:val="20"/>
          <w:color w:val="auto"/>
        </w:rPr>
        <w:br w:type="column"/>
      </w:r>
    </w:p>
    <w:p>
      <w:pPr>
        <w:ind w:right="780"/>
        <w:spacing w:after="0" w:line="277" w:lineRule="auto"/>
        <w:rPr>
          <w:sz w:val="20"/>
          <w:szCs w:val="20"/>
          <w:color w:val="auto"/>
        </w:rPr>
      </w:pPr>
      <w:r>
        <w:rPr>
          <w:rFonts w:ascii="Arial" w:cs="Arial" w:eastAsia="Arial" w:hAnsi="Arial"/>
          <w:sz w:val="18"/>
          <w:szCs w:val="18"/>
          <w:color w:val="auto"/>
        </w:rPr>
        <w:t>NRG Yield Operating LLC, the holding company that owns the project companies and is a wholly owned subsidiary of NRG Yield LLC</w:t>
      </w:r>
    </w:p>
    <w:p>
      <w:pPr>
        <w:spacing w:after="0" w:line="200" w:lineRule="exact"/>
        <w:rPr>
          <w:sz w:val="20"/>
          <w:szCs w:val="20"/>
          <w:color w:val="auto"/>
        </w:rPr>
      </w:pPr>
    </w:p>
    <w:p>
      <w:pPr>
        <w:sectPr>
          <w:pgSz w:w="11900" w:h="16838" w:orient="portrait"/>
          <w:cols w:equalWidth="0" w:num="2">
            <w:col w:w="2240" w:space="720"/>
            <w:col w:w="8380"/>
          </w:cols>
          <w:pgMar w:left="280" w:top="1044" w:right="279" w:bottom="1440" w:gutter="0" w:footer="0" w:header="0"/>
          <w:type w:val="continuous"/>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80" w:top="1044" w:right="27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NRG Yield LLC, together with its consolidated subsidiaries, or the Company, was formed by NRG as a Delaware limited liability company on March 5, 2013, to serve as the primary vehicle through which NRG owns, operates and acquires contracted renewable and conventional generation and thermal infrastructure assets.</w:t>
      </w:r>
    </w:p>
    <w:p>
      <w:pPr>
        <w:spacing w:after="0" w:line="12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The Company owns a diversified portfolio of contracted renewable and conventional generation and thermal infrastructure assets in the U.S. The Company’s contracted renewable and conventional generation portfolio as of December 31, 2015 collectively represents </w:t>
      </w:r>
      <w:r>
        <w:rPr>
          <w:rFonts w:ascii="Arial" w:cs="Arial" w:eastAsia="Arial" w:hAnsi="Arial"/>
          <w:sz w:val="16"/>
          <w:szCs w:val="16"/>
          <w:color w:val="231F20"/>
        </w:rPr>
        <w:t>4,435 net MW.</w:t>
      </w:r>
      <w:r>
        <w:rPr>
          <w:rFonts w:ascii="Arial" w:cs="Arial" w:eastAsia="Arial" w:hAnsi="Arial"/>
          <w:sz w:val="16"/>
          <w:szCs w:val="16"/>
          <w:color w:val="auto"/>
        </w:rPr>
        <w:t xml:space="preserve"> Each of these assets sells substantially all of its output pursuant to long-term offtake agreements with creditworthy counterparties. The average remaining contract duration of these offtake agreements was approximately </w:t>
      </w:r>
      <w:r>
        <w:rPr>
          <w:rFonts w:ascii="Arial" w:cs="Arial" w:eastAsia="Arial" w:hAnsi="Arial"/>
          <w:sz w:val="16"/>
          <w:szCs w:val="16"/>
          <w:color w:val="231F20"/>
        </w:rPr>
        <w:t>17 years as of</w:t>
      </w:r>
      <w:r>
        <w:rPr>
          <w:rFonts w:ascii="Arial" w:cs="Arial" w:eastAsia="Arial" w:hAnsi="Arial"/>
          <w:sz w:val="16"/>
          <w:szCs w:val="16"/>
          <w:color w:val="auto"/>
        </w:rPr>
        <w:t xml:space="preserve"> December 31, 2015</w:t>
      </w:r>
      <w:r>
        <w:rPr>
          <w:rFonts w:ascii="Arial" w:cs="Arial" w:eastAsia="Arial" w:hAnsi="Arial"/>
          <w:sz w:val="16"/>
          <w:szCs w:val="16"/>
          <w:color w:val="231F20"/>
        </w:rPr>
        <w:t>, based on CAFD. The Company also owns thermal infrastructure assets with</w:t>
      </w:r>
      <w:r>
        <w:rPr>
          <w:rFonts w:ascii="Arial" w:cs="Arial" w:eastAsia="Arial" w:hAnsi="Arial"/>
          <w:sz w:val="16"/>
          <w:szCs w:val="16"/>
          <w:color w:val="auto"/>
        </w:rPr>
        <w:t xml:space="preserve"> </w:t>
      </w:r>
      <w:r>
        <w:rPr>
          <w:rFonts w:ascii="Arial" w:cs="Arial" w:eastAsia="Arial" w:hAnsi="Arial"/>
          <w:sz w:val="16"/>
          <w:szCs w:val="16"/>
          <w:color w:val="231F20"/>
        </w:rPr>
        <w:t>an aggregate steam and chilled water capacity of 1,315 net MWt and electric generation capacity of 124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complete listing of the Company's interests in facilities, operations and/or projects owned or leased as of December 31, 2015 can be found in Item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Properties.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History</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22, 2013, Yield, Inc. closed the initial public offering of 22,511,250 shares of its Class A common stock for net proceeds, after deducting underwriting discounts, of $468 million, of which Yield, Inc. used $395 million to purchase 19,011,250 of the Company's Class A units from NRG and $73 million to purchase 3,500,000 of the Company's Class A units directly from the Company. On July 29, 2014, Yield, Inc. issued 12,075,000 shares of Class A common stock for net proceeds, after underwriting discount and expenses, of $630 million and utilized the proceeds of the offering to acquire 12,075,000 additional Class A units of the Company.</w:t>
      </w:r>
    </w:p>
    <w:p>
      <w:pPr>
        <w:spacing w:after="0" w:line="13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Effective May 14, 2015, Yield, Inc. amended its certificate of incorporation to create two new classes of capital stock, Class C common stock and Class D common stock, and distributed shares of the Class C common stock and Class D common stock to holders of Yield, Inc.'s outstanding Class A common stock and Class B common stock, respectively, through a stock split. The stock split is referred to as the Recapitalization. Contemporaneously with Yield, Inc.’s Recapitalization, each Class A unit of the Company was automatically reclassified into one Class A unit and one Class C unit and each Class B unit of the Company was automatically reclassified into one Class B unit and one Class D unit. On June 29, 2015, Yield, Inc. issued 28,198,000 shares of Class C common stock for net proceeds of $599 million and utilized the proceeds of the offering to acquire 28,198,000 Class C units of the Company.</w:t>
      </w:r>
    </w:p>
    <w:p>
      <w:pPr>
        <w:spacing w:after="0" w:line="111" w:lineRule="exact"/>
        <w:rPr>
          <w:sz w:val="20"/>
          <w:szCs w:val="20"/>
          <w:color w:val="auto"/>
        </w:rPr>
      </w:pPr>
    </w:p>
    <w:p>
      <w:pPr>
        <w:jc w:val="both"/>
        <w:ind w:firstLine="224"/>
        <w:spacing w:after="0" w:line="279" w:lineRule="auto"/>
        <w:rPr>
          <w:sz w:val="20"/>
          <w:szCs w:val="20"/>
          <w:color w:val="auto"/>
        </w:rPr>
      </w:pPr>
      <w:r>
        <w:rPr>
          <w:rFonts w:ascii="Arial" w:cs="Arial" w:eastAsia="Arial" w:hAnsi="Arial"/>
          <w:sz w:val="17"/>
          <w:szCs w:val="17"/>
          <w:color w:val="auto"/>
        </w:rPr>
        <w:t>As of December 31, 2015, NRG owned 42,738,750 of each of the Company's Class B units and Class D units and Yield, Inc. owned 34,586,250 of the Company's Class A units and 62,784,250 of the Company's Class C units. Yield, Inc., through its holdings of Class A units and Class C units, has a 53.3% economic interest in the Company. Yield, Inc. consolidates the results of the Company through its controlling interest as sole managing member. NRG, through its holdings of Class B units and Class D units, has a 46.7% economic interest in the Company.</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is a holding company for the companies that directly and indirectly own and operate Yield, Inc.'s business. As of December 31, 2015, NRG continues to control Yield, Inc., and Yield, Inc. in turn, as the sole managing member of the Company, controls the Company and its subsidiaries.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77" w:right="23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color w:val="auto"/>
        </w:rPr>
        <w:t>The diagram below depicts the Company’s organizational structure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14605</wp:posOffset>
            </wp:positionV>
            <wp:extent cx="4159250" cy="3061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59250"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business strategy is to focus on the acquisition and ownership of assets with predictable, long-term cash flows in order that it may be able to increase the cash distributions to Yield, Inc. and NRG over time without compromising the ongoing stability of the business. The Company's plan for executing this strategy includes the following key components:</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Focus on contracted renewable energy and conventional generation and thermal infrastructure assets. </w:t>
      </w:r>
      <w:r>
        <w:rPr>
          <w:rFonts w:ascii="Arial" w:cs="Arial" w:eastAsia="Arial" w:hAnsi="Arial"/>
          <w:sz w:val="17"/>
          <w:szCs w:val="17"/>
          <w:color w:val="auto"/>
        </w:rPr>
        <w:t>The Company owns and operates utility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scale and distributed renewable energy and natural gas-fired generation, thermal and other infrastructure assets with proven technologies,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Growing the business through acquisitions of contracted operating assets. </w:t>
      </w:r>
      <w:r>
        <w:rPr>
          <w:rFonts w:ascii="Arial" w:cs="Arial" w:eastAsia="Arial" w:hAnsi="Arial"/>
          <w:sz w:val="18"/>
          <w:szCs w:val="18"/>
          <w:color w:val="auto"/>
        </w:rPr>
        <w:t>The Company believes that its base of operations and relationship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NRG provide a platform in the conventional and renewable power generation and thermal sectors for strategic growth through cash accretive and tax advantaged acquisitions complementary to its existing portfolio. In connection with its initial public offering, the Company entered into a Right of First Offer Agreement with NRG, which was amended and restated in connection with the Recapitalization, or as amended and restated, the ROFO Agreement. Under the ROFO Agreement, NRG has granted the Company and its affiliates a right of first offer on any proposed sale, transfer or other disposition of certain assets of NRG for a period of seven years from the completion of the Recapitalization. In addition to the assets described in the table below which reflects the remaining assets subject to sale, the ROFO Agreement also provides the Company with a right of first offer with respect to up to $250 million of equity in one or more residential or distributed solar generation portfolios developed by affiliates of NRG, together with the assets listed in the table below, the NRG ROFO Assets.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4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Rated Capacity</w:t>
            </w:r>
          </w:p>
        </w:tc>
        <w:tc>
          <w:tcPr>
            <w:tcW w:w="1940" w:type="dxa"/>
            <w:vAlign w:val="bottom"/>
          </w:tcPr>
          <w:p>
            <w:pPr>
              <w:spacing w:after="0"/>
              <w:rPr>
                <w:sz w:val="16"/>
                <w:szCs w:val="16"/>
                <w:color w:val="auto"/>
              </w:rPr>
            </w:pPr>
          </w:p>
        </w:tc>
      </w:tr>
      <w:tr>
        <w:trPr>
          <w:trHeight w:val="236"/>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Asset</w:t>
            </w:r>
          </w:p>
        </w:tc>
        <w:tc>
          <w:tcPr>
            <w:tcW w:w="12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Fuel Type</w:t>
            </w:r>
          </w:p>
        </w:tc>
        <w:tc>
          <w:tcPr>
            <w:tcW w:w="12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COD</w:t>
            </w:r>
          </w:p>
        </w:tc>
      </w:tr>
      <w:tr>
        <w:trPr>
          <w:trHeight w:val="25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CVSR</w:t>
            </w:r>
            <w:r>
              <w:rPr>
                <w:rFonts w:ascii="Arial" w:cs="Arial" w:eastAsia="Arial" w:hAnsi="Arial"/>
                <w:sz w:val="8"/>
                <w:szCs w:val="8"/>
                <w:color w:val="auto"/>
              </w:rPr>
              <w:t>(b)</w:t>
            </w: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Solar</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128</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2013</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Ivanpah</w:t>
            </w:r>
            <w:r>
              <w:rPr>
                <w:rFonts w:ascii="Arial" w:cs="Arial" w:eastAsia="Arial" w:hAnsi="Arial"/>
                <w:sz w:val="8"/>
                <w:szCs w:val="8"/>
                <w:color w:val="auto"/>
              </w:rPr>
              <w:t>(c)</w:t>
            </w: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Solar</w:t>
            </w:r>
          </w:p>
        </w:tc>
        <w:tc>
          <w:tcPr>
            <w:tcW w:w="1940" w:type="dxa"/>
            <w:vAlign w:val="bottom"/>
          </w:tcPr>
          <w:p>
            <w:pPr>
              <w:jc w:val="center"/>
              <w:spacing w:after="0"/>
              <w:rPr>
                <w:sz w:val="20"/>
                <w:szCs w:val="20"/>
                <w:color w:val="auto"/>
              </w:rPr>
            </w:pPr>
            <w:r>
              <w:rPr>
                <w:rFonts w:ascii="Arial" w:cs="Arial" w:eastAsia="Arial" w:hAnsi="Arial"/>
                <w:sz w:val="14"/>
                <w:szCs w:val="14"/>
                <w:color w:val="auto"/>
                <w:w w:val="94"/>
              </w:rPr>
              <w:t>193</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89"/>
              </w:rPr>
              <w:t>2013</w:t>
            </w: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Agua Caliente</w:t>
            </w:r>
            <w:r>
              <w:rPr>
                <w:rFonts w:ascii="Arial" w:cs="Arial" w:eastAsia="Arial" w:hAnsi="Arial"/>
                <w:sz w:val="8"/>
                <w:szCs w:val="8"/>
                <w:color w:val="auto"/>
              </w:rPr>
              <w:t>(d)</w:t>
            </w: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Solar</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148</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2014</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Carlsbad</w:t>
            </w: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Conventional</w:t>
            </w:r>
          </w:p>
        </w:tc>
        <w:tc>
          <w:tcPr>
            <w:tcW w:w="1940" w:type="dxa"/>
            <w:vAlign w:val="bottom"/>
          </w:tcPr>
          <w:p>
            <w:pPr>
              <w:jc w:val="center"/>
              <w:spacing w:after="0"/>
              <w:rPr>
                <w:sz w:val="20"/>
                <w:szCs w:val="20"/>
                <w:color w:val="auto"/>
              </w:rPr>
            </w:pPr>
            <w:r>
              <w:rPr>
                <w:rFonts w:ascii="Arial" w:cs="Arial" w:eastAsia="Arial" w:hAnsi="Arial"/>
                <w:sz w:val="14"/>
                <w:szCs w:val="14"/>
                <w:color w:val="auto"/>
                <w:w w:val="94"/>
              </w:rPr>
              <w:t>527</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89"/>
              </w:rPr>
              <w:t>2018</w:t>
            </w: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Puente/Mandalay</w:t>
            </w: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Conventional</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262</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r>
      <w:tr>
        <w:trPr>
          <w:trHeight w:val="231"/>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TE Wind Holdco</w:t>
            </w:r>
            <w:r>
              <w:rPr>
                <w:rFonts w:ascii="Arial" w:cs="Arial" w:eastAsia="Arial" w:hAnsi="Arial"/>
                <w:sz w:val="8"/>
                <w:szCs w:val="8"/>
                <w:color w:val="auto"/>
              </w:rPr>
              <w:t>(e)</w:t>
            </w:r>
            <w:r>
              <w:rPr>
                <w:rFonts w:ascii="Arial" w:cs="Arial" w:eastAsia="Arial" w:hAnsi="Arial"/>
                <w:sz w:val="14"/>
                <w:szCs w:val="14"/>
                <w:color w:val="auto"/>
              </w:rPr>
              <w:t>:</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9"/>
        </w:trPr>
        <w:tc>
          <w:tcPr>
            <w:tcW w:w="5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tcPr>
          <w:p>
            <w:pPr>
              <w:spacing w:after="0"/>
              <w:rPr>
                <w:sz w:val="3"/>
                <w:szCs w:val="3"/>
                <w:color w:val="auto"/>
              </w:rPr>
            </w:pPr>
          </w:p>
        </w:tc>
      </w:tr>
      <w:tr>
        <w:trPr>
          <w:trHeight w:val="270"/>
        </w:trPr>
        <w:tc>
          <w:tcPr>
            <w:tcW w:w="5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Elkhorn Ridge</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Wind</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13</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2009</w:t>
            </w:r>
          </w:p>
        </w:tc>
      </w:tr>
      <w:tr>
        <w:trPr>
          <w:trHeight w:val="264"/>
        </w:trPr>
        <w:tc>
          <w:tcPr>
            <w:tcW w:w="5380" w:type="dxa"/>
            <w:vAlign w:val="bottom"/>
            <w:gridSpan w:val="2"/>
          </w:tcPr>
          <w:p>
            <w:pPr>
              <w:ind w:left="280"/>
              <w:spacing w:after="0"/>
              <w:rPr>
                <w:sz w:val="20"/>
                <w:szCs w:val="20"/>
                <w:color w:val="auto"/>
              </w:rPr>
            </w:pPr>
            <w:r>
              <w:rPr>
                <w:rFonts w:ascii="Arial" w:cs="Arial" w:eastAsia="Arial" w:hAnsi="Arial"/>
                <w:sz w:val="14"/>
                <w:szCs w:val="14"/>
                <w:color w:val="auto"/>
              </w:rPr>
              <w:t>San Juan Mesa</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color w:val="auto"/>
              </w:rPr>
              <w:t>Wind</w:t>
            </w:r>
          </w:p>
        </w:tc>
        <w:tc>
          <w:tcPr>
            <w:tcW w:w="1940" w:type="dxa"/>
            <w:vAlign w:val="bottom"/>
          </w:tcPr>
          <w:p>
            <w:pPr>
              <w:jc w:val="center"/>
              <w:spacing w:after="0"/>
              <w:rPr>
                <w:sz w:val="20"/>
                <w:szCs w:val="20"/>
                <w:color w:val="auto"/>
              </w:rPr>
            </w:pPr>
            <w:r>
              <w:rPr>
                <w:rFonts w:ascii="Arial" w:cs="Arial" w:eastAsia="Arial" w:hAnsi="Arial"/>
                <w:sz w:val="14"/>
                <w:szCs w:val="14"/>
                <w:color w:val="auto"/>
                <w:w w:val="89"/>
              </w:rPr>
              <w:t>22</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89"/>
              </w:rPr>
              <w:t>2005</w:t>
            </w:r>
          </w:p>
        </w:tc>
      </w:tr>
      <w:tr>
        <w:trPr>
          <w:trHeight w:val="276"/>
        </w:trPr>
        <w:tc>
          <w:tcPr>
            <w:tcW w:w="5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Wildorado</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Wind</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2007</w:t>
            </w:r>
          </w:p>
        </w:tc>
      </w:tr>
      <w:tr>
        <w:trPr>
          <w:trHeight w:val="264"/>
        </w:trPr>
        <w:tc>
          <w:tcPr>
            <w:tcW w:w="5380" w:type="dxa"/>
            <w:vAlign w:val="bottom"/>
            <w:gridSpan w:val="2"/>
          </w:tcPr>
          <w:p>
            <w:pPr>
              <w:ind w:left="280"/>
              <w:spacing w:after="0"/>
              <w:rPr>
                <w:sz w:val="20"/>
                <w:szCs w:val="20"/>
                <w:color w:val="auto"/>
              </w:rPr>
            </w:pPr>
            <w:r>
              <w:rPr>
                <w:rFonts w:ascii="Arial" w:cs="Arial" w:eastAsia="Arial" w:hAnsi="Arial"/>
                <w:sz w:val="14"/>
                <w:szCs w:val="14"/>
                <w:color w:val="auto"/>
              </w:rPr>
              <w:t>Crosswinds</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color w:val="auto"/>
              </w:rPr>
              <w:t>Wind</w:t>
            </w:r>
          </w:p>
        </w:tc>
        <w:tc>
          <w:tcPr>
            <w:tcW w:w="1940" w:type="dxa"/>
            <w:vAlign w:val="bottom"/>
          </w:tcPr>
          <w:p>
            <w:pPr>
              <w:jc w:val="center"/>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89"/>
              </w:rPr>
              <w:t>2007</w:t>
            </w:r>
          </w:p>
        </w:tc>
      </w:tr>
      <w:tr>
        <w:trPr>
          <w:trHeight w:val="276"/>
        </w:trPr>
        <w:tc>
          <w:tcPr>
            <w:tcW w:w="5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Forward</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Wind</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2008</w:t>
            </w:r>
          </w:p>
        </w:tc>
      </w:tr>
      <w:tr>
        <w:trPr>
          <w:trHeight w:val="264"/>
        </w:trPr>
        <w:tc>
          <w:tcPr>
            <w:tcW w:w="5380" w:type="dxa"/>
            <w:vAlign w:val="bottom"/>
            <w:gridSpan w:val="2"/>
          </w:tcPr>
          <w:p>
            <w:pPr>
              <w:ind w:left="280"/>
              <w:spacing w:after="0"/>
              <w:rPr>
                <w:sz w:val="20"/>
                <w:szCs w:val="20"/>
                <w:color w:val="auto"/>
              </w:rPr>
            </w:pPr>
            <w:r>
              <w:rPr>
                <w:rFonts w:ascii="Arial" w:cs="Arial" w:eastAsia="Arial" w:hAnsi="Arial"/>
                <w:sz w:val="14"/>
                <w:szCs w:val="14"/>
                <w:color w:val="auto"/>
              </w:rPr>
              <w:t>Hardin</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color w:val="auto"/>
              </w:rPr>
              <w:t>Wind</w:t>
            </w:r>
          </w:p>
        </w:tc>
        <w:tc>
          <w:tcPr>
            <w:tcW w:w="194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89"/>
              </w:rPr>
              <w:t>2007</w:t>
            </w:r>
          </w:p>
        </w:tc>
      </w:tr>
      <w:tr>
        <w:trPr>
          <w:trHeight w:val="276"/>
        </w:trPr>
        <w:tc>
          <w:tcPr>
            <w:tcW w:w="5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Odin</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Wind</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2007</w:t>
            </w:r>
          </w:p>
        </w:tc>
      </w:tr>
      <w:tr>
        <w:trPr>
          <w:trHeight w:val="264"/>
        </w:trPr>
        <w:tc>
          <w:tcPr>
            <w:tcW w:w="5380" w:type="dxa"/>
            <w:vAlign w:val="bottom"/>
            <w:gridSpan w:val="2"/>
          </w:tcPr>
          <w:p>
            <w:pPr>
              <w:ind w:left="280"/>
              <w:spacing w:after="0"/>
              <w:rPr>
                <w:sz w:val="20"/>
                <w:szCs w:val="20"/>
                <w:color w:val="auto"/>
              </w:rPr>
            </w:pPr>
            <w:r>
              <w:rPr>
                <w:rFonts w:ascii="Arial" w:cs="Arial" w:eastAsia="Arial" w:hAnsi="Arial"/>
                <w:sz w:val="14"/>
                <w:szCs w:val="14"/>
                <w:color w:val="auto"/>
              </w:rPr>
              <w:t>Sleeping Bear</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color w:val="auto"/>
              </w:rPr>
              <w:t>Wind</w:t>
            </w:r>
          </w:p>
        </w:tc>
        <w:tc>
          <w:tcPr>
            <w:tcW w:w="1940" w:type="dxa"/>
            <w:vAlign w:val="bottom"/>
          </w:tcPr>
          <w:p>
            <w:pPr>
              <w:jc w:val="center"/>
              <w:spacing w:after="0"/>
              <w:rPr>
                <w:sz w:val="20"/>
                <w:szCs w:val="20"/>
                <w:color w:val="auto"/>
              </w:rPr>
            </w:pPr>
            <w:r>
              <w:rPr>
                <w:rFonts w:ascii="Arial" w:cs="Arial" w:eastAsia="Arial" w:hAnsi="Arial"/>
                <w:sz w:val="14"/>
                <w:szCs w:val="14"/>
                <w:color w:val="auto"/>
                <w:w w:val="89"/>
              </w:rPr>
              <w:t>24</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89"/>
              </w:rPr>
              <w:t>2007</w:t>
            </w:r>
          </w:p>
        </w:tc>
      </w:tr>
      <w:tr>
        <w:trPr>
          <w:trHeight w:val="276"/>
        </w:trPr>
        <w:tc>
          <w:tcPr>
            <w:tcW w:w="5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Spanish Fork</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Wind</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2008</w:t>
            </w:r>
          </w:p>
        </w:tc>
      </w:tr>
      <w:tr>
        <w:trPr>
          <w:trHeight w:val="264"/>
        </w:trPr>
        <w:tc>
          <w:tcPr>
            <w:tcW w:w="5380" w:type="dxa"/>
            <w:vAlign w:val="bottom"/>
            <w:gridSpan w:val="2"/>
          </w:tcPr>
          <w:p>
            <w:pPr>
              <w:ind w:left="280"/>
              <w:spacing w:after="0"/>
              <w:rPr>
                <w:sz w:val="20"/>
                <w:szCs w:val="20"/>
                <w:color w:val="auto"/>
              </w:rPr>
            </w:pPr>
            <w:r>
              <w:rPr>
                <w:rFonts w:ascii="Arial" w:cs="Arial" w:eastAsia="Arial" w:hAnsi="Arial"/>
                <w:sz w:val="14"/>
                <w:szCs w:val="14"/>
                <w:color w:val="auto"/>
              </w:rPr>
              <w:t>Goat Wind</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color w:val="auto"/>
              </w:rPr>
              <w:t>Wind</w:t>
            </w:r>
          </w:p>
        </w:tc>
        <w:tc>
          <w:tcPr>
            <w:tcW w:w="1940" w:type="dxa"/>
            <w:vAlign w:val="bottom"/>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2008/2009</w:t>
            </w:r>
          </w:p>
        </w:tc>
      </w:tr>
      <w:tr>
        <w:trPr>
          <w:trHeight w:val="276"/>
        </w:trPr>
        <w:tc>
          <w:tcPr>
            <w:tcW w:w="5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Lookout</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Wind</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2008</w:t>
            </w:r>
          </w:p>
        </w:tc>
      </w:tr>
      <w:tr>
        <w:trPr>
          <w:trHeight w:val="264"/>
        </w:trPr>
        <w:tc>
          <w:tcPr>
            <w:tcW w:w="5380" w:type="dxa"/>
            <w:vAlign w:val="bottom"/>
            <w:gridSpan w:val="2"/>
          </w:tcPr>
          <w:p>
            <w:pPr>
              <w:ind w:left="280"/>
              <w:spacing w:after="0"/>
              <w:rPr>
                <w:sz w:val="20"/>
                <w:szCs w:val="20"/>
                <w:color w:val="auto"/>
              </w:rPr>
            </w:pPr>
            <w:r>
              <w:rPr>
                <w:rFonts w:ascii="Arial" w:cs="Arial" w:eastAsia="Arial" w:hAnsi="Arial"/>
                <w:sz w:val="14"/>
                <w:szCs w:val="14"/>
                <w:color w:val="auto"/>
              </w:rPr>
              <w:t>Elbow Creek</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color w:val="auto"/>
              </w:rPr>
              <w:t>Wind</w:t>
            </w:r>
          </w:p>
        </w:tc>
        <w:tc>
          <w:tcPr>
            <w:tcW w:w="1940" w:type="dxa"/>
            <w:vAlign w:val="bottom"/>
          </w:tcPr>
          <w:p>
            <w:pPr>
              <w:jc w:val="center"/>
              <w:spacing w:after="0"/>
              <w:rPr>
                <w:sz w:val="20"/>
                <w:szCs w:val="20"/>
                <w:color w:val="auto"/>
              </w:rPr>
            </w:pPr>
            <w:r>
              <w:rPr>
                <w:rFonts w:ascii="Arial" w:cs="Arial" w:eastAsia="Arial" w:hAnsi="Arial"/>
                <w:sz w:val="14"/>
                <w:szCs w:val="14"/>
                <w:color w:val="auto"/>
                <w:w w:val="89"/>
              </w:rPr>
              <w:t>30</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89"/>
              </w:rPr>
              <w:t>2008</w:t>
            </w: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Community</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Wind</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30</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2011</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Jeffers</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color w:val="auto"/>
              </w:rPr>
              <w:t>Wind</w:t>
            </w:r>
          </w:p>
        </w:tc>
        <w:tc>
          <w:tcPr>
            <w:tcW w:w="1940" w:type="dxa"/>
            <w:vAlign w:val="bottom"/>
          </w:tcPr>
          <w:p>
            <w:pPr>
              <w:jc w:val="center"/>
              <w:spacing w:after="0"/>
              <w:rPr>
                <w:sz w:val="20"/>
                <w:szCs w:val="20"/>
                <w:color w:val="auto"/>
              </w:rPr>
            </w:pPr>
            <w:r>
              <w:rPr>
                <w:rFonts w:ascii="Arial" w:cs="Arial" w:eastAsia="Arial" w:hAnsi="Arial"/>
                <w:sz w:val="14"/>
                <w:szCs w:val="14"/>
                <w:color w:val="auto"/>
                <w:w w:val="89"/>
              </w:rPr>
              <w:t>50</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89"/>
              </w:rPr>
              <w:t>2008</w:t>
            </w: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Minnesota Portfolio</w:t>
            </w:r>
            <w:r>
              <w:rPr>
                <w:rFonts w:ascii="Arial" w:cs="Arial" w:eastAsia="Arial" w:hAnsi="Arial"/>
                <w:sz w:val="8"/>
                <w:szCs w:val="8"/>
                <w:color w:val="auto"/>
              </w:rPr>
              <w:t>(f)</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Wind</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2003/2006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Represents the maximum, or rated, electricity generating capacity of the facility in MW multiplied by NRG’s percentage ownership interest in the facility as of December 31, 2015.</w:t>
      </w:r>
    </w:p>
    <w:p>
      <w:pPr>
        <w:ind w:left="140" w:hanging="132"/>
        <w:spacing w:after="0" w:line="221" w:lineRule="auto"/>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Represents NRG’s remaining 51.05% ownership interest in CVSR.</w:t>
      </w:r>
    </w:p>
    <w:p>
      <w:pPr>
        <w:ind w:right="20" w:firstLine="8"/>
        <w:spacing w:after="0" w:line="211" w:lineRule="auto"/>
        <w:tabs>
          <w:tab w:leader="none" w:pos="136" w:val="left"/>
        </w:tabs>
        <w:numPr>
          <w:ilvl w:val="0"/>
          <w:numId w:val="4"/>
        </w:numPr>
        <w:rPr>
          <w:rFonts w:ascii="Arial" w:cs="Arial" w:eastAsia="Arial" w:hAnsi="Arial"/>
          <w:sz w:val="9"/>
          <w:szCs w:val="9"/>
          <w:color w:val="auto"/>
        </w:rPr>
      </w:pPr>
      <w:r>
        <w:rPr>
          <w:rFonts w:ascii="Arial" w:cs="Arial" w:eastAsia="Arial" w:hAnsi="Arial"/>
          <w:sz w:val="14"/>
          <w:szCs w:val="14"/>
          <w:color w:val="auto"/>
        </w:rPr>
        <w:t>Represents 49.95% of NRG’s 50.01% ownership interest in Ivanpah. Following a sale of this 49.95% interest, the remaining 50.05% of Ivanpah would be owned by NRG, Google Inc. and BrightSource Energy Inc.</w:t>
      </w:r>
    </w:p>
    <w:p>
      <w:pPr>
        <w:ind w:left="140" w:hanging="132"/>
        <w:spacing w:after="0" w:line="221" w:lineRule="auto"/>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Represents NRG’s 51% ownership interest in Agua Caliente. The remaining 49% of Agua Caliente is owned by MidAmerican Energy Holdings Inc.</w:t>
      </w:r>
    </w:p>
    <w:p>
      <w:pPr>
        <w:ind w:firstLine="8"/>
        <w:spacing w:after="0" w:line="211" w:lineRule="auto"/>
        <w:tabs>
          <w:tab w:leader="none" w:pos="122" w:val="left"/>
        </w:tabs>
        <w:numPr>
          <w:ilvl w:val="0"/>
          <w:numId w:val="4"/>
        </w:numPr>
        <w:rPr>
          <w:rFonts w:ascii="Arial" w:cs="Arial" w:eastAsia="Arial" w:hAnsi="Arial"/>
          <w:sz w:val="9"/>
          <w:szCs w:val="9"/>
          <w:color w:val="auto"/>
        </w:rPr>
      </w:pPr>
      <w:r>
        <w:rPr>
          <w:rFonts w:ascii="Arial" w:cs="Arial" w:eastAsia="Arial" w:hAnsi="Arial"/>
          <w:sz w:val="14"/>
          <w:szCs w:val="14"/>
          <w:color w:val="auto"/>
        </w:rPr>
        <w:t>Represents NRG's remaining 25% of the Class B interests of NRG Wind TE Holdco. NRG Yield, Inc. acquired 75% of the Class B interests in November 2015. A tax equity investor owns the Class A interests in NRG Wind TE Holdco.</w:t>
      </w: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Includes Bingham Lake, Eastridge, and Westridge projects.</w:t>
      </w:r>
    </w:p>
    <w:p>
      <w:pPr>
        <w:spacing w:after="0" w:line="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NRG is not obligated to sell the remaining NRG ROFO Assets to the Company and, if offered by NRG, the Company cannot be sure whether these assets will be offered on acceptable terms, or that the Company will choose to consummate such acquisitions. In addition, NRG may offer additional assets to the Company, as described in Item 7 —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The Company may also have opportunities to acquire other generation and thermal infrastructure assets from third parties where the Company believes its knowledge of the market and operating expertise provides it with a competitive advantage.</w:t>
      </w:r>
    </w:p>
    <w:p>
      <w:pPr>
        <w:spacing w:after="0" w:line="188"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Primary Focus on North America. </w:t>
      </w:r>
      <w:r>
        <w:rPr>
          <w:rFonts w:ascii="Arial" w:cs="Arial" w:eastAsia="Arial" w:hAnsi="Arial"/>
          <w:sz w:val="18"/>
          <w:szCs w:val="18"/>
          <w:color w:val="auto"/>
        </w:rPr>
        <w:t>The Company intends to primarily focus its investments in North America (including the unincorporated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territories of the U.S.). The Company believes that industry fundamentals in North America present it with significant opportunity to acquire renewable, natural gas-fired generation and thermal infrastructure assets, without creating significant exposure to currency and sovereign risk. By primarily focusing its efforts on North America, the Company believes it will best leverage its regional knowledge of power markets, industry relationships and skill sets to maximize the performance of the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3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Power generation is a capital-intensive business with numerous and diverse industry participants. The Company competes on the basis of the location of its plants and on the basis of contract price and terms of individual project. Within the power industry, there is a wide variation in terms of the capabilities, resources, nature and identity of the companies with whom the Company competes with depending on the market. Competitors for energy supply are utilities, independent power producers and other providers of distributed generation. The Company also competes to acquire new projects with solar developers who retain solar power plant ownership, independent power producers, financial investors and other dividend, growth-oriented companies. Competitive conditions may be substantially affected by various forms of energy legislation and regulation considered by federal, state and local legislatures and administrative agencies. Such laws and regulations may substantially increase the costs of acquiring, constructing and operating projects, and it could be difficult for the Company to adapt to and operate under such laws and regulations.</w:t>
      </w:r>
    </w:p>
    <w:p>
      <w:pPr>
        <w:spacing w:after="0" w:line="1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thermal business has certain cost efficiencies that may form barriers to entry. Generally, there is only one district energy system in a given territory, for which the only competition comes from on-site systems. While the district energy system can usually make an effective case for the efficiency of its services, some building owners nonetheless may opt for on-site systems, either due to corporate policies regarding allocation of capital, unique situations where an on-site system might in fact prove more efficient, or because of previously committed capital in systems that are already on-site. Growth in existing district energy systems generally comes from new building construction or existing building conversions within the service territory of the district energy provider.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Stable, high quality cash flows. </w:t>
      </w:r>
      <w:r>
        <w:rPr>
          <w:rFonts w:ascii="Arial" w:cs="Arial" w:eastAsia="Arial" w:hAnsi="Arial"/>
          <w:sz w:val="17"/>
          <w:szCs w:val="17"/>
          <w:color w:val="auto"/>
        </w:rPr>
        <w:t>The Company's facilities have a highly stable, predictable cash flow profile consisting of predominantly long-life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electric generation assets that sell electricity under long-term fixed priced contracts or pursuant to regulated rates with investment grade and certain other credit-worthy counterparties. Additionally, the Company's facilities have minimal fuel risk. For the Company's five conventional assets, fuel is provided by the toll counterparty or the cost thereof is a pass-through cost under the CfD. Renewable facilities have no fuel costs, and most of the Company's thermal infrastructure assets have contractual or regulatory tariff mechanisms for fuel cost recovery. The offtake agreements for the Company's conventional and renewable generation facilities have a weighted-average remaining duration of approximately 17 years as of December 31, 2015, based on CAFD, providing long-term cash flow stability. The Company's generation offtake agreements with counterparties for whom credit ratings are available have a weighted-average Moody’s rating of A3 based on rated capacity under contract. All of the Company's assets are in the U.S. and accordingly have no currency or repatriation risks.</w:t>
      </w:r>
    </w:p>
    <w:p>
      <w:pPr>
        <w:spacing w:after="0" w:line="12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High quality, long-lived assets with low operating and capital requirements. </w:t>
      </w:r>
      <w:r>
        <w:rPr>
          <w:rFonts w:ascii="Arial" w:cs="Arial" w:eastAsia="Arial" w:hAnsi="Arial"/>
          <w:sz w:val="17"/>
          <w:szCs w:val="17"/>
          <w:color w:val="auto"/>
        </w:rPr>
        <w:t>The Company benefits from a portfolio of relatively newly-constructed assets, other than thermal infrastructure assets. The Company's assets are comprised of proven and reliable technologies, provided by leading original solar and wind equipment manufacturers such as General Electric, Siemens AG, SunPower Corporation, or SunPower, First Solar Inc., or First Solar, Vestas, Suzlon and Mitsubishi. Given the modern nature of the portfolio, which includes a substantial number of relatively low operating and maintenance cost solar and wind generation assets, the Company expects to achieve high fleet availability and expend modest maintenance-related capital expenditures. The Company estimates each of its solar and wind portfolios have weighted average remaining expected lives based on CAFD of approximately 20 years. Additionally, with the support of services provided by NRG, the Company expects to continue to implement the same rigorous preventative operating and management practices that NRG uses across its fleet of assets. In 2015, NRG achieved a 0.71 OSHA recordable rate, which is within the top quartile plant operating performance for its entire fleet, based on applicable OSHA standards.</w:t>
      </w:r>
    </w:p>
    <w:p>
      <w:pPr>
        <w:spacing w:after="0" w:line="12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Significant scale and diversity. </w:t>
      </w:r>
      <w:r>
        <w:rPr>
          <w:rFonts w:ascii="Arial" w:cs="Arial" w:eastAsia="Arial" w:hAnsi="Arial"/>
          <w:sz w:val="18"/>
          <w:szCs w:val="18"/>
          <w:color w:val="auto"/>
        </w:rPr>
        <w:t>The Company owns and operates a large and diverse portfolio of contracted electric generation and thermal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infrastructure assets. As of December 31, 2015, the Company's </w:t>
      </w:r>
      <w:r>
        <w:rPr>
          <w:rFonts w:ascii="Arial" w:cs="Arial" w:eastAsia="Arial" w:hAnsi="Arial"/>
          <w:sz w:val="18"/>
          <w:szCs w:val="18"/>
          <w:color w:val="231F20"/>
        </w:rPr>
        <w:t>4,435</w:t>
      </w:r>
      <w:r>
        <w:rPr>
          <w:rFonts w:ascii="Arial" w:cs="Arial" w:eastAsia="Arial" w:hAnsi="Arial"/>
          <w:sz w:val="18"/>
          <w:szCs w:val="18"/>
          <w:color w:val="auto"/>
        </w:rPr>
        <w:t xml:space="preserve"> net MW contracted generation portfolio benefits from significant diversification in terms of technology, fuel type, counterparty and geography. The Company's thermal business consists of twelve operations, seven of which are district energy centers that provide steam and chilled water to approximately 695 customers, and five of which provide generation.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77" w:right="239" w:bottom="1440" w:gutter="0" w:footer="0" w:header="0"/>
        </w:sectPr>
      </w:pPr>
    </w:p>
    <w:bookmarkStart w:id="9" w:name="page10"/>
    <w:bookmarkEnd w:id="9"/>
    <w:p>
      <w:pPr>
        <w:jc w:val="both"/>
        <w:ind w:firstLine="648"/>
        <w:spacing w:after="0" w:line="305" w:lineRule="auto"/>
        <w:rPr>
          <w:sz w:val="20"/>
          <w:szCs w:val="20"/>
          <w:color w:val="auto"/>
        </w:rPr>
      </w:pPr>
      <w:r>
        <w:rPr>
          <w:rFonts w:ascii="Arial" w:cs="Arial" w:eastAsia="Arial" w:hAnsi="Arial"/>
          <w:sz w:val="16"/>
          <w:szCs w:val="16"/>
          <w:b w:val="1"/>
          <w:bCs w:val="1"/>
          <w:i w:val="1"/>
          <w:iCs w:val="1"/>
          <w:color w:val="auto"/>
        </w:rPr>
        <w:t xml:space="preserve">Relationship with NRG. </w:t>
      </w:r>
      <w:r>
        <w:rPr>
          <w:rFonts w:ascii="Arial" w:cs="Arial" w:eastAsia="Arial" w:hAnsi="Arial"/>
          <w:sz w:val="16"/>
          <w:szCs w:val="16"/>
          <w:color w:val="auto"/>
        </w:rPr>
        <w:t>The Company believes its relationship with NRG, including NRG’s expressed intention to maintain a controlling interest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provides significant benefits, including management and operational expertise, and future growth opportunities. The Company's executive officers have considerable experience in owning and operating, as well as developing, acquiring and integrating, generation and thermal infrastructure assets:</w:t>
      </w:r>
    </w:p>
    <w:p>
      <w:pPr>
        <w:spacing w:after="0" w:line="1" w:lineRule="exact"/>
        <w:rPr>
          <w:sz w:val="20"/>
          <w:szCs w:val="20"/>
          <w:color w:val="auto"/>
        </w:rPr>
      </w:pPr>
    </w:p>
    <w:p>
      <w:pPr>
        <w:jc w:val="both"/>
        <w:ind w:left="660" w:hanging="4"/>
        <w:spacing w:after="0" w:line="264" w:lineRule="auto"/>
        <w:tabs>
          <w:tab w:leader="none" w:pos="7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NRG Management and Operational Expertise. </w:t>
      </w:r>
      <w:r>
        <w:rPr>
          <w:rFonts w:ascii="Arial" w:cs="Arial" w:eastAsia="Arial" w:hAnsi="Arial"/>
          <w:sz w:val="18"/>
          <w:szCs w:val="18"/>
          <w:color w:val="auto"/>
        </w:rPr>
        <w:t>The Company has access to the significant resources of NRG, the largest competitive power</w:t>
      </w:r>
      <w:r>
        <w:rPr>
          <w:rFonts w:ascii="Arial" w:cs="Arial" w:eastAsia="Arial" w:hAnsi="Arial"/>
          <w:sz w:val="18"/>
          <w:szCs w:val="18"/>
          <w:i w:val="1"/>
          <w:iCs w:val="1"/>
          <w:color w:val="auto"/>
        </w:rPr>
        <w:t xml:space="preserve"> </w:t>
      </w:r>
      <w:r>
        <w:rPr>
          <w:rFonts w:ascii="Arial" w:cs="Arial" w:eastAsia="Arial" w:hAnsi="Arial"/>
          <w:sz w:val="18"/>
          <w:szCs w:val="18"/>
          <w:color w:val="auto"/>
        </w:rPr>
        <w:t>generator in the U.S., to support the operational, finance, legal, regulatory and environmental aspects, and growth strategy of its business. As such, the Company believes it avails itself of best-in-class resources, including management and operational expertise.</w:t>
      </w:r>
    </w:p>
    <w:p>
      <w:pPr>
        <w:spacing w:after="0" w:line="73" w:lineRule="exact"/>
        <w:rPr>
          <w:rFonts w:ascii="Arial" w:cs="Arial" w:eastAsia="Arial" w:hAnsi="Arial"/>
          <w:sz w:val="18"/>
          <w:szCs w:val="18"/>
          <w:color w:val="auto"/>
        </w:rPr>
      </w:pPr>
    </w:p>
    <w:p>
      <w:pPr>
        <w:jc w:val="both"/>
        <w:ind w:left="660" w:hanging="4"/>
        <w:spacing w:after="0" w:line="264" w:lineRule="auto"/>
        <w:tabs>
          <w:tab w:leader="none" w:pos="76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NRG Asset Development and Acquisition Track Record. </w:t>
      </w:r>
      <w:r>
        <w:rPr>
          <w:rFonts w:ascii="Arial" w:cs="Arial" w:eastAsia="Arial" w:hAnsi="Arial"/>
          <w:sz w:val="18"/>
          <w:szCs w:val="18"/>
          <w:color w:val="auto"/>
        </w:rPr>
        <w:t>NRG's development and strategic teams are focused on the development and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renewable and conventional generation assets. They have successfully helped grow NRG's power generation portfolio from 24,365 net MWs at the end of 2009 to 49,324 net MWs as of December 31, 2015.</w:t>
      </w:r>
    </w:p>
    <w:p>
      <w:pPr>
        <w:spacing w:after="0" w:line="73" w:lineRule="exact"/>
        <w:rPr>
          <w:rFonts w:ascii="Arial" w:cs="Arial" w:eastAsia="Arial" w:hAnsi="Arial"/>
          <w:sz w:val="18"/>
          <w:szCs w:val="18"/>
          <w:color w:val="auto"/>
        </w:rPr>
      </w:pPr>
    </w:p>
    <w:p>
      <w:pPr>
        <w:jc w:val="both"/>
        <w:ind w:left="660" w:hanging="4"/>
        <w:spacing w:after="0" w:line="264" w:lineRule="auto"/>
        <w:tabs>
          <w:tab w:leader="none" w:pos="76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NRG Financing Experience. </w:t>
      </w:r>
      <w:r>
        <w:rPr>
          <w:rFonts w:ascii="Arial" w:cs="Arial" w:eastAsia="Arial" w:hAnsi="Arial"/>
          <w:sz w:val="18"/>
          <w:szCs w:val="18"/>
          <w:color w:val="auto"/>
        </w:rPr>
        <w:t>The Company believes NRG has demonstrated a successful track record of sourcing attractive low-cost, long duration</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to fund project development and acquisitions. The Company expects to realize significant benefits from NRG’s financing and structuring expertise as well as its relationships with financial institutions and other lenders.</w:t>
      </w:r>
    </w:p>
    <w:p>
      <w:pPr>
        <w:spacing w:after="0" w:line="12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Environmentally well-positioned portfolio of assets. </w:t>
      </w:r>
      <w:r>
        <w:rPr>
          <w:rFonts w:ascii="Arial" w:cs="Arial" w:eastAsia="Arial" w:hAnsi="Arial"/>
          <w:sz w:val="16"/>
          <w:szCs w:val="16"/>
          <w:color w:val="auto"/>
        </w:rPr>
        <w:t>On a net capacity basis, the Company's portfolio of electric generation assets consists of 2,490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MW of renewable generation capacity that are non-emitting sources of power generation. The Company's conventional assets consist of the dual fuel-fired GenConn assets as well as the Marsh Landing and Walnut Creek simple cycle natural gas-fired peaking generation facilities and the El Segundo combined cycle natural gas-fired peaking facility.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Thermal infrastructure business has high entry costs. </w:t>
      </w:r>
      <w:r>
        <w:rPr>
          <w:rFonts w:ascii="Arial" w:cs="Arial" w:eastAsia="Arial" w:hAnsi="Arial"/>
          <w:sz w:val="17"/>
          <w:szCs w:val="17"/>
          <w:color w:val="auto"/>
        </w:rPr>
        <w:t>Significant capital has been invested to construct the Company's thermal infrastructure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serving as a barrier to entry in the markets in which such assets operate. As of December 31, 2015, the Company's thermal gross property, plant, and equipment was approximately $452 million. The Company's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the Company believes it has the ability to retain customers over long periods of time and to compete effectively for additional business against stand-alone on-site heating and cooling generation facilities. Installation of stand-alone equipment can require significant modification to a building as well as significant space for equipment and funding for capital expenditures. The Company's system technologies often provide economies of scale in terms of fuel procurement, ability to switch between multiple types of fuel to generate thermal energy, and fuel conversion efficiency. The Company's top ten thermal customers, which make up approximately 7% of the Company's consolidated revenues for the year ended December 31, 2015, have had a relationship with the Company for an average of over 20 years.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following table summarizes the Company's operating revenues, net income and assets by segment for the years ended December 31, 2015, 2014 and 2013, as discussed in Item 15 — Note 11,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 the Consolidated Financial Statements. Refer to that footnote for additional information about the Company's segments. In addition, refer to Item 2 — </w:t>
      </w:r>
      <w:r>
        <w:rPr>
          <w:rFonts w:ascii="Arial" w:cs="Arial" w:eastAsia="Arial" w:hAnsi="Arial"/>
          <w:sz w:val="18"/>
          <w:szCs w:val="18"/>
          <w:i w:val="1"/>
          <w:iCs w:val="1"/>
          <w:color w:val="auto"/>
        </w:rPr>
        <w:t>Properties</w:t>
      </w:r>
      <w:r>
        <w:rPr>
          <w:rFonts w:ascii="Arial" w:cs="Arial" w:eastAsia="Arial" w:hAnsi="Arial"/>
          <w:sz w:val="18"/>
          <w:szCs w:val="18"/>
          <w:color w:val="auto"/>
        </w:rPr>
        <w:t>, for information about the facilities in each of the Company's segments. All amounts have been recast to include the effect of the acquisitions of the Drop Down Assets, which were accounted for as transfers of entities under common control. The accounting guidance requires retrospective combination of the entities for all periods presented as if the combination has been in effect since the inception of common control. Accordingly, the Company prepared its consolidated financial statements to reflect the transfers as if they had taken place from the beginning of the financial statements period or from the date the entities were under common control (if later than the beginning of the financial statements period).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2015</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6"/>
                <w:szCs w:val="16"/>
                <w:color w:val="auto"/>
              </w:rPr>
              <w:t>—   $</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5,056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7,608</w:t>
            </w:r>
          </w:p>
        </w:tc>
        <w:tc>
          <w:tcPr>
            <w:tcW w:w="0" w:type="dxa"/>
            <w:vAlign w:val="bottom"/>
          </w:tcPr>
          <w:p>
            <w:pPr>
              <w:spacing w:after="0"/>
              <w:rPr>
                <w:sz w:val="1"/>
                <w:szCs w:val="1"/>
                <w:color w:val="auto"/>
              </w:rPr>
            </w:pPr>
          </w:p>
        </w:tc>
      </w:tr>
      <w:tr>
        <w:trPr>
          <w:trHeight w:val="33"/>
        </w:trPr>
        <w:tc>
          <w:tcPr>
            <w:tcW w:w="5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8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2014</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4,790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7,727</w:t>
            </w:r>
          </w:p>
        </w:tc>
        <w:tc>
          <w:tcPr>
            <w:tcW w:w="0" w:type="dxa"/>
            <w:vAlign w:val="bottom"/>
          </w:tcPr>
          <w:p>
            <w:pPr>
              <w:spacing w:after="0"/>
              <w:rPr>
                <w:sz w:val="1"/>
                <w:szCs w:val="1"/>
                <w:color w:val="auto"/>
              </w:rPr>
            </w:pPr>
          </w:p>
        </w:tc>
      </w:tr>
      <w:tr>
        <w:trPr>
          <w:trHeight w:val="723"/>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2013</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Incentives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Government incentives can enhance the economics of the Company's generating assets and investments by providing, for example, loan guarantees, cash grants, favorable tax treatment, favorable depreciation rules, or other incentives. Certain recent government approvals have enhanced federal incentives for renewable generation — including through the extension of the wind power Production Tax Credit and the extension of the solar Investment Tax Credit as further described in </w:t>
      </w:r>
      <w:r>
        <w:rPr>
          <w:rFonts w:ascii="Arial" w:cs="Arial" w:eastAsia="Arial" w:hAnsi="Arial"/>
          <w:sz w:val="18"/>
          <w:szCs w:val="18"/>
          <w:i w:val="1"/>
          <w:iCs w:val="1"/>
          <w:color w:val="auto"/>
        </w:rPr>
        <w:t>Regulatory Developments</w:t>
      </w:r>
      <w:r>
        <w:rPr>
          <w:rFonts w:ascii="Arial" w:cs="Arial" w:eastAsia="Arial" w:hAnsi="Arial"/>
          <w:sz w:val="18"/>
          <w:szCs w:val="18"/>
          <w:color w:val="auto"/>
        </w:rPr>
        <w:t>, and could incentivize the development of additional renewable energy projects that would fit within the Company’s asset portfolio. In addition, direct cash incentives may encourage additional renewable energy development by entities that cannot presently benefit from tax credits.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As owners of power plants and participants in wholesale and thermal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the Company must also comply with the mandatory reliability requirements imposed by NERC and the regional reliability entities in the regions where the Company operates. The Company's operations within the ERCOT footprint are not subject to rate regulation by FERC, as they are deemed to operate solely within the ERCOT market and not in interstate commerce. These operations are subject to regulation by PUCT.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CFTC</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CFTC, among other things, has regulatory oversight authority over the trading of swaps, futures and many commodities under the Commodity Exchange Act, or CEA. Since 2010, there have been a number of reforms to the regulation of the derivatives markets, both in the U.S. and internationally. These regulations, and any further changes thereto, or adoption of additional regulations, including any regulations relating to position limits on futures and other derivatives or margin for derivatives, could negatively impact the Company’s ability to hedge its portfolio in an efficient, cost-effective manner by, among other things, potentially decreasing liquidity in the forward commodity and derivatives markets or limiting the Company’s ability to utilize non-cash collateral for derivatives transactions.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FERC</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FERC, among other things, regulates the transmission and the wholesale sale of electricity in interstate commerce under the authority of the FPA. The transmission of electric energy occurring wholly within ERCOT is not subject to FERC’s jurisdiction under Sections 203 or 205 of the FPA. Under existing regulations, FERC determines whether an entity owning a generation facility is an EWG, as defined in the PUHCA. FERC also determines whether a generation facility meets the ownership and technical criteria of a QF under the PURPA. Each of the Company’s non-ERCOT U.S. generating facilities qualifies as an EWG.</w:t>
      </w:r>
    </w:p>
    <w:p>
      <w:pPr>
        <w:spacing w:after="0" w:line="13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FPA gives FERC exclusive rate-making jurisdiction over the wholesale sale of electricity and transmission of electricity in interstate commerce of public utilities (as defined by the FPA). Under the FPA, FERC, with certain exceptions, regulates the owners of facilities used for the wholesale sale of electricity or transmission in interstate commerce as public utilities, and establishes market rules that are just and reasonable.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03" w:right="239" w:bottom="1440" w:gutter="0" w:footer="0" w:header="0"/>
        </w:sectPr>
      </w:pPr>
    </w:p>
    <w:bookmarkStart w:id="11" w:name="page12"/>
    <w:bookmarkEnd w:id="11"/>
    <w:p>
      <w:pPr>
        <w:jc w:val="both"/>
        <w:ind w:firstLine="648"/>
        <w:spacing w:after="0" w:line="259" w:lineRule="auto"/>
        <w:rPr>
          <w:sz w:val="20"/>
          <w:szCs w:val="20"/>
          <w:color w:val="auto"/>
        </w:rPr>
      </w:pPr>
      <w:r>
        <w:rPr>
          <w:rFonts w:ascii="Arial" w:cs="Arial" w:eastAsia="Arial" w:hAnsi="Arial"/>
          <w:sz w:val="18"/>
          <w:szCs w:val="18"/>
          <w:color w:val="auto"/>
        </w:rPr>
        <w:t>Public utilities are required to obtain FERC’s acceptance, pursuant to Section 205 of the FPA, of their rate schedules for the wholesale sale of electricity. All of the Company’s non-QF generating entities located outside of ERCOT make sales of electricity pursuant to market-based rates, as opposed to traditional cost-of-service regulated rates. Every three years FERC will conduct a review of the Company’s market based rates and potential market power on a regional basis.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In addition to complying with NERC requirements, each NRG entity must comply with the requirements of the regional reliability entity for the region in which it is located.</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PURPA was passed in 1978 in large part to promote increased energy efficiency and development of independent power producers. The PURPA created QFs to further both goals, and FERC is primarily charged with administering the PURPA as it applies to QFs. Certain QFs are exempt from regulation, either in whole or in part, under the FPA as public utilities.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PUHCA provides FERC with certain authority over and access to books and records of public utility holding companies not otherwise exempt by virtue of their ownership of EWGs, QFs, and Foreign Utility Companies. The Company is exempt from many of the accounting, record retention, and reporting requirements of the PUHCA.</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U.S. Supreme Court Agrees to Consider the Constitutionality of Maryland's Generator Contracting Programs </w:t>
      </w:r>
      <w:r>
        <w:rPr>
          <w:rFonts w:ascii="Arial" w:cs="Arial" w:eastAsia="Arial" w:hAnsi="Arial"/>
          <w:sz w:val="17"/>
          <w:szCs w:val="17"/>
          <w:color w:val="auto"/>
        </w:rPr>
        <w:t>— On October 19, 2015, the U.S.</w:t>
      </w:r>
      <w:r>
        <w:rPr>
          <w:rFonts w:ascii="Arial" w:cs="Arial" w:eastAsia="Arial" w:hAnsi="Arial"/>
          <w:sz w:val="17"/>
          <w:szCs w:val="17"/>
          <w:i w:val="1"/>
          <w:iCs w:val="1"/>
          <w:color w:val="auto"/>
        </w:rPr>
        <w:t xml:space="preserve"> </w:t>
      </w:r>
      <w:r>
        <w:rPr>
          <w:rFonts w:ascii="Arial" w:cs="Arial" w:eastAsia="Arial" w:hAnsi="Arial"/>
          <w:sz w:val="17"/>
          <w:szCs w:val="17"/>
          <w:color w:val="auto"/>
        </w:rPr>
        <w:t>Supreme Court agreed to hear challenges to one of two cases involving the rights of states to enter into long-term contracts for power generation facilities. The case involves the right of the Maryland Public Service Commission to award long-term power purchase contracts to a generation developer to encourage the construction of new generation capacity in Maryland. The constitutionality of the long-term contracts was challenged in the U.S. District Court for the District of Maryland, which, in an October 24, 2013, decision, found that the contract violated the Supremacy Clause of the U.S. Constitution and was invalid. On June 30, 2014, the U.S. Court of Appeals for the Fourth Circuit affirmed the Maryland District Court's decision. A companion case alleging similar facts in New Jersey will be decided in accordance with the Supreme Court’s decision in the Maryland case. NRG filed a friend-of-the-court brief urging the Supreme Court to uphold the right of states to enter into long-term contracts, which play an important role in financing new generation resources. The Supreme Court heard oral argument on February 24, 2016, and the outcome of this litigation could have broad impacts on how states contract with new generation resources, as well as how such contracted resources interact with the wholesale markets.</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Solar ITC and Wind PTC Extensions </w:t>
      </w:r>
      <w:r>
        <w:rPr>
          <w:rFonts w:ascii="Arial" w:cs="Arial" w:eastAsia="Arial" w:hAnsi="Arial"/>
          <w:sz w:val="17"/>
          <w:szCs w:val="17"/>
          <w:color w:val="auto"/>
        </w:rPr>
        <w:t>— In December 2015, the U.S. Congress enacted an extension of the 30% solar ITC so that projects that begin</w:t>
      </w:r>
      <w:r>
        <w:rPr>
          <w:rFonts w:ascii="Arial" w:cs="Arial" w:eastAsia="Arial" w:hAnsi="Arial"/>
          <w:sz w:val="17"/>
          <w:szCs w:val="17"/>
          <w:i w:val="1"/>
          <w:iCs w:val="1"/>
          <w:color w:val="auto"/>
        </w:rPr>
        <w:t xml:space="preserve"> </w:t>
      </w:r>
      <w:r>
        <w:rPr>
          <w:rFonts w:ascii="Arial" w:cs="Arial" w:eastAsia="Arial" w:hAnsi="Arial"/>
          <w:sz w:val="17"/>
          <w:szCs w:val="17"/>
          <w:color w:val="auto"/>
        </w:rPr>
        <w:t>construction in 2016 through 2019 will continue to qualify for the 30% ITC. Projects beginning construction in 2020 and 2021 will be eligible for the ITC at the rates of 26% and 22%, respectively. The same legislation also extended the 10-year wind PTC for wind projects that begin construction in years 2016 through 2019. Wind projects that begin construction in the years 2017, 2018 and 2019 are eligible for PTC at 80%, 60% and 40% of the statutory rate per kWh, respectively. The extension of the ITC and PTC could promote additional development of solar and wind energy resources.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regarding the protection of wildlife, including migratory birds, eagles and threatened and endangered species. Environmental laws have become increasingly stringent and the Company expects this trend to continue.</w:t>
      </w:r>
    </w:p>
    <w:p>
      <w:pPr>
        <w:spacing w:after="0" w:line="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2015, the EPA promulgated a GHG emissions rule for existing fossil-fuel-fired electric generating units. The rule is called the Clean Power Plan, or CPP. On February 9, 2016, the U.S. Supreme Court stayed the CPP. The CPP faces numerous legal challenges that likely will take several years to resolve. If the CPP is eventually upheld, it may take several more years for the impacts of this rule to be clear as states would be required to develop and put in place plans to implement the rule to achieve state-specific goals.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sells its electricity and environmental attributes, including RECs, primarily to local utilities under long-term, fixed-price PPAs. During the year ended December 31, 2015, the Company derived approximately 43% of its consolidated revenue from Southern California Edison, or SCE, and approximately 17% of its consolidated revenue from Pacific Gas and Electric, or PG&amp;E.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8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The Company does not employ any of the individuals who manage operations. The personnel that carry out these activities are employees of NRG, and their services are provided for the Company's benefit under the Management Services Agreement and project operations and maintenance agreements with NRG as described in Item 15 — Note 13,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to the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Company's annual reports on Form 10-K, quarterly reports on Form 10-Q, current reports on Form 8-K, and amendments to those reports filed or furnished pursuant to section 13(a) or 15(d) of the Exchange Act are available free of charge through Yield, Inc.'s website, </w:t>
      </w:r>
      <w:r>
        <w:rPr>
          <w:rFonts w:ascii="Arial" w:cs="Arial" w:eastAsia="Arial" w:hAnsi="Arial"/>
          <w:sz w:val="18"/>
          <w:szCs w:val="18"/>
          <w:i w:val="1"/>
          <w:iCs w:val="1"/>
          <w:color w:val="auto"/>
        </w:rPr>
        <w:t>www.nrgyield.com</w:t>
      </w:r>
      <w:r>
        <w:rPr>
          <w:rFonts w:ascii="Arial" w:cs="Arial" w:eastAsia="Arial" w:hAnsi="Arial"/>
          <w:sz w:val="18"/>
          <w:szCs w:val="18"/>
          <w:color w:val="auto"/>
        </w:rPr>
        <w:t>, as soon as reasonably practicable after they are electronically filed with, or furnished to, the SEC. The Company also routinely posts press releases, presentations, webcasts, and other information regarding the Company on Yield, Inc.'s website.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facilities are newly constructed and may not perform as expected.</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of the Company's conventional and renewable assets are newly constructed. The ability of these facilities to meet the Company's performance expectations is subject to the risks inherent in newly constructed power generation facilities and the construction of such facilities, including, but not limited to, degradation of equipment in excess of the Company's expectations, system failures, and outages. The failure of these facilities to perform as the Company expects could have a material adverse effect on the Company's business, financial condition, results of operations and cash flows and its ability to pay distributions to Yield, Inc. and NRG.</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Pursuant to the Company's cash distribution policy, the Company intends to distribute all or substantially all of the CAFD through regular quarterly distributions, and the Company's ability to grow and make acquisitions through cash on hand could be limited.</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expects to distribute all or substantially all of the CAFD each quarter and to rely primarily upon external financing sources, including the issuance of debt and equity securities and, if applicable, borrowings under the Company's amended and restated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The Company's growth may not be as fast as that of businesses that reinvest their available cash to expand ongoing operations. The incurrence of bank borrowings or other debt by NRG Yield Operating LLC or by the Company's project-level subsidiaries to finance the Company’s growth strategy will result in increased interest expense and the imposition of additional or more restrictive covenants, which, in turn, may impact the cash distributions the Company makes to Yield, Inc. and NRG.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effectively identify or consummate any future acquisitions on favorable terms, or at all.</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dividends paid to holders of Yield, Inc.'s common stock.</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77"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availability and continuation of public policy support mechanisms will drive a significant part of the economics and viability of the Company’s growth strategy and expansion into clean energy investments.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ability to effectively consummate future acquisitions will also depend on the Company’s ability to arrange the required or desired financing for acquisitions.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The Company’s ability to consummate future acquisitions may also depend on the Company’s ability to obtain any required regulatory approvals for such acquisitions, including, but not limited to, approval by FERC under Section 203 of the FPA.</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Finally, the acquisition of companies and assets are subject to substantial risks, including the failure to identify material problems during due diligence (for which the Company may not be indemnified post-closing), the risk of over-paying for assets (or not making acquisitions on an accretive basis) and the ability to retain customers. Further,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As a result, the consummation of acquisitions may have a material adverse effect on the Company's business, financial condition, results of operations and cash flows and ability to pay distributions to Yield, Inc. and NRG.</w:t>
      </w:r>
    </w:p>
    <w:p>
      <w:pPr>
        <w:spacing w:after="0" w:line="167"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Even if the Company consummates acquisitions that it believes will be accretive to CAFD, those acquisitions may decrease CAFD as a result of incorrect assumptions in the Company’s evaluation of such acquisitions, unforeseen consequences or other external events beyond the Company’s control.</w:t>
      </w:r>
    </w:p>
    <w:p>
      <w:pPr>
        <w:spacing w:after="0" w:line="20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acquisition of existing generation assets involves the risk of overpaying for such projects (or not making acquisitions on an accretive basis) and failing to retain the customers of such projects. While the Company will perform due diligence on prospective acquisitions, the Company may not discover all potential risks, operational issues or other issues in such generation assets. Further, the integration and consolidation of acquisitions require substantial human, financial and other resources and, ultimately, the Company’s acquisitions may divert the Company’s management’s attention from its existing business concerns, disrupt its ongoing business or not be successfully integrated. Future acquisitions might not perform as expected or the returns from such acquisitions might not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unitholders. Any failure of the Company’s acquired generation assets to be accretive or difficulty in integrating such acquisition into the Company’s business could have a material adverse effect on the Company’s ability to grow its business and make cash distributions to its unitholders.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81"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b w:val="1"/>
          <w:bCs w:val="1"/>
          <w:i w:val="1"/>
          <w:iCs w:val="1"/>
          <w:color w:val="auto"/>
        </w:rPr>
        <w:t>The Company’s indebtedness could adversely affect its ability to raise additional capital to fund the Company’s operations or pay distributions. It could also expose the Company to the risk of increased interest rates and limit the Company’s ability to react to changes in the economy or the Company’s industry as well as impact the Company’s CAFD.</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2015, the Company had approximately $4,885 million of total consolidated indebtedness, $3,461 million of which was incurred by the Company's non-guarantor subsidiaries. In addition, the Company’s share of its unconsolidated affiliates’ total indebtedness and letters of credit outstanding as of December 31, 2015, totaled approximately $842 million and $83 million, respectively (calculated as the Company’s unconsolidated affiliates’ total indebtedness as of such date multiplied by the Company’s percentage membership interest in such assets). The Company’s substantial debt could have important negative consequences on the Company’s financial condition, including:</w:t>
      </w:r>
    </w:p>
    <w:p>
      <w:pPr>
        <w:spacing w:after="0" w:line="18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the Company’s vulnerability to general economic and industry conditions;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requiring a substantial portion of the Company’s cash flow from operations to be dedicated to the payment of principal and interest on the Company’s indebtedness, therefore reducing the Company’s ability to pay distributions to Yield, Inc. and NRG or to use the Company’s cash flow to fund its operations, capital expenditures and future business opportunities;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the Company’s ability to enter into long-term power sales or fuel purchases which require credit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the Company’s ability to fund operations or future acquisitions;</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restricting the Company’s ability to make certain distributions to Yield, Inc. and NRG and the ability of the Company’s subsidiaries to make certain distributions to it, in light of restricted payment and other financial covenants in the Company’s credit facilities and other financing agreements;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exposing the Company to the risk of increased interest rates because certain of the Company’s borrowings, which may include borrowings under the Company’s amended and restated revolving credit facility, are at variable rates of interest;</w:t>
      </w: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the Company’s ability to obtain additional financing for working capital including collateral postings, capital expenditures, debt service requirements, acquisitions and general corporate or other purposes; and</w:t>
      </w: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the Company’s ability to adjust to changing market conditions and placing it at a competitive disadvantage compared to the Company’s competitors who have less debt.</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amended and restated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distributions,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distributions to Yield, Inc. and NRG.</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Letter of credit facilities to support project-level contractual obligations generally need to be renewed after five to seven years, at which time the Company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or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spacing w:after="0" w:line="3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Company’s ability to arrange financing, either at the corporate level or at a non-recourse project-level subsidiary, and the costs of such capital, are dependent on numerous factors, including:</w:t>
      </w:r>
    </w:p>
    <w:p>
      <w:pPr>
        <w:spacing w:after="0" w:line="6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and capital market conditions;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81" w:right="239" w:bottom="1440" w:gutter="0" w:footer="0" w:header="0"/>
        </w:sectPr>
      </w:pPr>
    </w:p>
    <w:bookmarkStart w:id="15" w:name="page16"/>
    <w:bookmarkEnd w:id="15"/>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availability from banks and other financial institutions;</w:t>
      </w:r>
    </w:p>
    <w:p>
      <w:pPr>
        <w:spacing w:after="0" w:line="63" w:lineRule="exact"/>
        <w:rPr>
          <w:rFonts w:ascii="Arial" w:cs="Arial" w:eastAsia="Arial" w:hAnsi="Arial"/>
          <w:sz w:val="18"/>
          <w:szCs w:val="18"/>
          <w:color w:val="auto"/>
        </w:rPr>
      </w:pPr>
    </w:p>
    <w:p>
      <w:pPr>
        <w:ind w:left="660" w:right="20" w:hanging="328"/>
        <w:spacing w:after="0" w:line="31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investor confidence in the Company, its partners, Yield, Inc. (as the Company's sole managing member), NRG (as Yield Inc.’s principal stockholder, on a combined voting basis, and manager under the Management Services Agreement), and the regional wholesale power markets;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financial performance and the financial performance of the Company subsidiaries;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level of indebtedness and compliance with covenants in debt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maintenance of acceptable project credit ratings or credit quality;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flow;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of tax and securities laws that may impact raising capital.</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the Company's long-term bilateral contracts result from state-mandated procurements and could be declared invalid by a court of competent jurisdiction.</w:t>
      </w:r>
    </w:p>
    <w:p>
      <w:pPr>
        <w:spacing w:after="0" w:line="11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 significant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To date, federal district courts in New Jersey and Maryland have struck down contracts on similar grounds, and the U.S. Courts of Appeals for the Third and Fourth Circuits, respectively, have affirmed the lower court decisions. On October 19, 2015, the U.S. Supreme Court granted certiorari in the Fourth Circuit case, and the Court heard oral argument on February 24, 2016. The outcome of this litigation could affect future capacity prices in PJM, as well as the legal status of the Company's bilateral contracts with state-regulated utilities. If certain of the Company's state-mandated agreements with utilities are held to be invalid, the Company may be unable to replace such contracts, which could have a material adverse effect on the Company's business, financial condition, results of operations and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generation of electric energy from solar and wind energy sources depends heavily on suitable meteorological conditions.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solar or wind conditions are unfavorable, the Company's electricity generation and revenue from renewable generation facilities may be substantially below the Company's expectations. The electricity produced and revenues generated by a solar electric or wind energy generation facility is highly dependent on suitable solar or wind conditions, as applicable, and associated weather conditions, which are beyond the Company's control. Furthermore, components of the Company's systems, such as solar panels and inverters, could be damaged by severe weather, such as hailstorms or tornadoes. In addition, replacement and spare parts for key components may be difficult or costly to acquire or may be unavailable. Unfavorable weather and atmospheric conditions could impair the effectiveness of the Company's assets or reduce their output beneath their rated capacity or require shutdown of key equipment, impeding operation of the Company's renewable assets. In addition, climate change may have the long-term effect of changing wind patterns at our projects. Changing wind patterns could cause changes in expected electricity generation. These events could also degrade equipment or components and the interconnection and transmission facilities’ lives or maintenance costs.</w:t>
      </w:r>
    </w:p>
    <w:p>
      <w:pPr>
        <w:spacing w:after="0" w:line="12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business, financial condition and results of operations and cash flows.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81"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1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ongoing operation of the Company's facilities involves risks that include the breakdown or failure of equipment or processes or performance below expected levels of output or efficiency due to wear and tear, latent defect, design error or operator error or force majeure events, among other things.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and may reduce revenues as a result of selling fewer MWh or require the Company to incur significant costs as a result of obtaining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Power generation involves hazardous activities, including acquiring, transporting and unloading fuel, operating large pieces of rotating equipment and delivering electricity to transmission and distribution systems.</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to natural risks such as earthquake, flood, lightning,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The occurrence of any one of these events may result in the Company being named as a defendant in lawsuits asserting claims for substantial damages, including for environmental cleanup costs, personal injury and property damage and fines and/or penalties.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Maintenance, expansion and refurbishment of electric generation facilities involve significant risks that could result in unplanned power outages or reduced output.</w:t>
      </w:r>
    </w:p>
    <w:p>
      <w:pPr>
        <w:spacing w:after="0" w:line="1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distributions to Yield, Inc. and NRG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1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CAA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81" w:right="239" w:bottom="1440" w:gutter="0" w:footer="0" w:header="0"/>
        </w:sectPr>
      </w:pPr>
    </w:p>
    <w:bookmarkStart w:id="17" w:name="page18"/>
    <w:bookmarkEnd w:id="17"/>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significant portion of the electric power the Company generates is sold under long-term offtake agreements with public utilities or industrial or commercial end-users, with a weighted average remaining duration of approximately 14 years (based on net capacity under contract). As of December 31, 2015, the largest customers of the Company's power generation assets, including assets in which the Company has less than a 100% membership interest, were SCE and PG&amp;E, which represented 46% and 23%, respectively, of the net electric generation capacity of the Company's facilities.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13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power generation industry is characterized by intense competition and the Company's electric generation assets encounter competition from utilities, industrial companies and other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customers and have extensive knowledge of its target markets. As a result, these competitors may be able to respond more quickly to evolving industry standards and changing customer requirements than the Company will be able to. Adoption of technology more advanced than the Company's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could also impair the ability of some counterparties to the Company's offtake agreements and other customer agreements to pay for energy and/or other products and services received.</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the Company's assets have previously or currently operate, wholly or partially, without long-term power sale agreements.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Certain of the Company's assets have previously or currently operate, wholly or partially, without long-term power sale agreements. The generation capacity of the Company’s Paxton thermal generation asset has been sold through May 2019 in the annual Base Residual Auction, or BRA, under the PJM-administered RPM. Capacity revenue beginning in June 2019 is not yet determined. This facility does not have an offtake agreement for energy sales and sells energy through NRG Power Marketing LLC, an NRG affiliate, into the bid-based auction market for energy administered by PJM based on economic dispatch of its unit. If the Company is unable to sell available capacity from the Paxton facility beginning in June 2019 through the BRA or one of the other RPM capacity auctions or is unable to enter into a offtake agreement or otherwise sell unallocated or unsold capacity at favorable terms, there may be a material adverse effect on the Company's business, financial condition, results of operations and cash flows.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 portion of the steam and chilled water produced by the Company's thermal assets is sold at regulated rates, and the revenue earned by the Company's GenConn assets is established each year in a rate case; accordingly, the profitability of these assets is dependent on regulatory approval.</w:t>
      </w:r>
    </w:p>
    <w:p>
      <w:pPr>
        <w:spacing w:after="0" w:line="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Approximately 375 net MWt of capacity from certain of the Company's thermal assets are sold at rates approved by one or more federal or state regulatory commissions, including the Pennsylvania Public Utility Commission and the California Public Utilities Commission for the thermal assets. Similarly, the revenues related to approximately 380 MW of capacity from the GenConn assets are established each year by the Connecticut Public Utilities Regulatory Authority. While such regulatory oversight is generally premised on the recovery of prudently incurred costs and a reasonable rate of return on invested capital, the rates that the Company may charge, or the revenue that the Company may earn with respect to this capacity are subject to authorization of the applicable regulatory authorities. There can be no assurance that such regulatory authorities will consider all of the costs to</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81" w:right="239" w:bottom="1440" w:gutter="0" w:footer="0" w:header="0"/>
        </w:sectPr>
      </w:pPr>
    </w:p>
    <w:bookmarkStart w:id="18" w:name="page19"/>
    <w:bookmarkEnd w:id="18"/>
    <w:p>
      <w:pPr>
        <w:jc w:val="both"/>
        <w:spacing w:after="0" w:line="276" w:lineRule="auto"/>
        <w:rPr>
          <w:sz w:val="20"/>
          <w:szCs w:val="20"/>
          <w:color w:val="auto"/>
        </w:rPr>
      </w:pPr>
      <w:r>
        <w:rPr>
          <w:rFonts w:ascii="Arial" w:cs="Arial" w:eastAsia="Arial" w:hAnsi="Arial"/>
          <w:sz w:val="17"/>
          <w:szCs w:val="17"/>
          <w:color w:val="auto"/>
        </w:rPr>
        <w:t>have been prudently incurred or that the regulatory process by which rates or revenues are determined will always result in rates or revenues that achieve full recovery of costs or an adequate return on the Company's capital investments. While the Company's rates and revenues are generally established based on an analysis of costs incurred in a base year, the rates the Company is allowed to charge, and the revenues the Company is authorized to earn, may or may not match the costs at any given time. If the Company's costs are not adequately recovered through these regulatory processes, it could have a material adverse effect on the business, financial condition, results of operations and cash flows.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Supplier and/or customer concentration at certain of the Company's facilities may expose the Company to significant financial credit or performance risks.</w:t>
      </w:r>
    </w:p>
    <w:p>
      <w:pPr>
        <w:spacing w:after="0" w:line="11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1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potential or existing customers at the Company’s district energy centers and combined heat and power plants, or the Energy Centers, may opt for on-site systems in lieu of using the Company’s Energy Centers, either due to corporate policies regarding the allocation of capital, unique situations where an on-site system might in fact prove more efficient, because of previously committed capital in systems that are already on-site, or otherwise. At times, the Company relies on a single customer or a few customers to purchase all or a significant portion of a facility's output, in some cases under long-term agreements that account for a substantial percentage of the anticipated revenue from a given facility.</w:t>
      </w:r>
    </w:p>
    <w:p>
      <w:pPr>
        <w:spacing w:after="0" w:line="1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has limited control over the operation of GenConn, Avenal, CVSR and Desert Sunlight because the Company beneficially owns 50%, 50%, 48.95% and 25%, respectively,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1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approval of co-venturers also may be required for the Company to receive distributions of funds from assets or to sell, pledge, transfer, assign or otherwise convey its interest in such assets, or for the Company to acquire NRG's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10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Furthermore, certain of the Company's facilities are operated by third-party operators, such as First Solar. To the extent that third-party operators do not fulfill their obligations to manage operations of the facilities or are not effective in doing so, the amount of CAFD may be adversely affected.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81" w:right="239" w:bottom="1440" w:gutter="0" w:footer="0" w:header="0"/>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assets are exposed to risks inherent in the use of interest rate swaps and forward fuel purchase contracts and the Company may be exposed to additional risks in the future if it utilizes other derivative instruments.</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uses interest rate swaps to manage interest rate risk. In addition, the Company uses forward fuel purchase contracts to hedge its limited commodity exposure with respect to the Company's district energy assets. If the Company elects to enter into such commodity hedges, the related asset could recognize financial losses on these arrangements as a result of volatility in the market values of the underlying commodities or if a counterparty fails to perform under a contract. If actively quoted market prices and pricing information from external sources are not available, the valuation of these contracts would involve judgment or the use of estimates.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 is subject to restrictions resulting from environmental, health and safety laws and regulations.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undertake to indemnify it for environmental liabilities they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does not own all of the land on which its power generation or thermal assets are located, which could result in disruption to its operations.</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does not own all of the land on which its power generation or thermal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generation and thermal infrastructure assets.</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use and enjoyment of real property rights for its projects may be adversely affected by the rights of lienholders and leaseholders that are superior to those of the grantors of those real property rights to the Company.</w:t>
      </w:r>
    </w:p>
    <w:p>
      <w:pPr>
        <w:spacing w:after="0" w:line="116" w:lineRule="exact"/>
        <w:rPr>
          <w:sz w:val="20"/>
          <w:szCs w:val="20"/>
          <w:color w:val="auto"/>
        </w:rPr>
      </w:pPr>
    </w:p>
    <w:p>
      <w:pPr>
        <w:jc w:val="both"/>
        <w:ind w:firstLine="339"/>
        <w:spacing w:after="0" w:line="255" w:lineRule="auto"/>
        <w:rPr>
          <w:sz w:val="20"/>
          <w:szCs w:val="20"/>
          <w:color w:val="auto"/>
        </w:rPr>
      </w:pPr>
      <w:r>
        <w:rPr>
          <w:rFonts w:ascii="Arial" w:cs="Arial" w:eastAsia="Arial" w:hAnsi="Arial"/>
          <w:sz w:val="18"/>
          <w:szCs w:val="18"/>
          <w:color w:val="auto"/>
        </w:rPr>
        <w:t>Solar and wind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81" w:right="239" w:bottom="1440" w:gutter="0" w:footer="0" w:header="0"/>
        </w:sectPr>
      </w:pPr>
    </w:p>
    <w:bookmarkStart w:id="20" w:name="page21"/>
    <w:bookmarkEnd w:id="20"/>
    <w:p>
      <w:pPr>
        <w:jc w:val="both"/>
        <w:spacing w:after="0" w:line="308" w:lineRule="auto"/>
        <w:rPr>
          <w:sz w:val="20"/>
          <w:szCs w:val="20"/>
          <w:color w:val="auto"/>
        </w:rPr>
      </w:pPr>
      <w:r>
        <w:rPr>
          <w:rFonts w:ascii="Arial" w:cs="Arial" w:eastAsia="Arial" w:hAnsi="Arial"/>
          <w:sz w:val="17"/>
          <w:szCs w:val="17"/>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electric generation business is subject to extensive U.S. federal, state and local laws and regulation.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within the footprint of ERCOT which are regulated by the PUCT, all of the Company’s assets make wholesale sales of electric energy, capacity and ancillary services in interstate commerce and are public utilities for purposes of the FPA, unless otherwise exempt from such status. FERC's orders that grant market-based rate authority to wholesale power marketers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market-based sales will be subject to certain rules prohibiting manipulative or deceptive conduct, and if any of the Company's generating companies are deemed to have violated those rules, they will be subject to potential disgorgement of profits associated with the violation, penalties, suspension or revocation of market 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 based rate schedules. This could have a material adverse effect on the rates the Company is able to charge for power from its facilities.</w:t>
      </w:r>
    </w:p>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Most of the Company's assets are operating as EWGs as defined under the PUHCA, or QFs as defined under the PURPA, as amended, and therefore are exempt from certain regulation under the PUHCA and the PURPA. If a facility fails to maintain its status as an EWG or a QF or there are legislative or regulatory changes revoking or limiting the exemptions to the PUHCA,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13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81"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and the Company expects this trend to continue.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11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Risks that are beyond the Company's control, including but not limited to acts of terrorism or related acts of war, natural disaster, hostile cyber intrusions or other catastrophic events, could have a material adverse effect on the business, financial condition, results of operations and cash flows.</w:t>
      </w:r>
    </w:p>
    <w:p>
      <w:pPr>
        <w:spacing w:after="0" w:line="4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1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Furthermore, certain of the Company's power generation thermal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The occurrence of a natural disaster, such as an earthquake, drought, flood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 of the Company’s businesses is subject to cyber-based security and integrity risk.</w:t>
      </w:r>
    </w:p>
    <w:p>
      <w:pPr>
        <w:spacing w:after="0" w:line="2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Numerous functions affecting the efficient operation of the Company’s businesses are dependent on the secure and reliable storage, processing and communication of electronic data and the use of sophisticated computer hardware and software systems. The operation of the Company's generating assets are reliant on cyber-based technologies and, therefore, subject to the risk that such systems could be the target of disruptive actions, particularly through cyber-attack or cyber intrusion, including by computer hackers, foreign governments and cyber terrorists, or otherwise be compromised by unintentional events. As a result, operations could be interrupted, property could be damaged and sensitive customer information could be lost or stolen, causing the Company to incur significant losses of revenues, other substantial liabilities and damages, costs to replace or repair damaged equipment and damage to the Company's reputation. In addition, the Company may experience increased capital and operating costs to implement increased security for its cyber systems and generating assets.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81"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b w:val="1"/>
          <w:bCs w:val="1"/>
          <w:i w:val="1"/>
          <w:iCs w:val="1"/>
          <w:color w:val="auto"/>
        </w:rPr>
        <w:t>Government regulations providing incentives for renewable generation could change at any time and such changes may negatively impact the Company's growth strategy.</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Company's growth strategy depends in part on government policies that support renewable generation and enhance the economic viability of owning renewable electric generation assets. Renewable generation assets currently benefit from various federal, state and local governmental incentives such as ITCs, cash grants in lieu of ITCs, loan guarantees, RPS, programs, modified accelerated cost-recovery system of depreciation and bonus depreciation. In December 2015, the U.S. Congress enacted an extension of the 30% solar ITC so that projects that begin construction in 2016 through 2019 will continue to qualify for the 30% ITC. Projects beginning construction in 2020 and 2021 will be eligible for the ITC at the rates of 26% and 22%, respectively. The same legislation also extended the 10-year wind PTC for wind projects that begin construction in years 2016 through 2019. Wind projects that begin construction in the years 2017, 2018 and 2019 are eligible for PTC at 80%, 60% and 40% of the statutory rate per kWh, respectively.</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the Company's future growth prospects. Such material adverse effects may result from decreased revenues, reduced economic returns on certain project company investments, increased financing costs, and/or difficulty obtaining financing. Furthermore, the ARRA included incentives to encourage investment in the renewable energy sector, such as cash grants in lieu of ITCs, bonus depreciation and expansion of the U.S. DOE loan guarantee program. It is uncertain what loan guarantees may be made by the U.S. DOE loan guarantee program in the future. In addition, the cash grant in lieu of ITCs program only applies to facilities that commenced construction prior to December 31, 2011, which commencement date may be determined in accordance with the safe harbor if more than 5% of the total cost of the eligible property was paid or incurred by December 31, 2011.</w:t>
      </w:r>
    </w:p>
    <w:p>
      <w:pPr>
        <w:spacing w:after="0" w:line="1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Company is unable to utilize various federal, state and local government incentives to acquire additional renewable assets in the future, or the terms of such incentives are revised in a manner that is less favorable to the Company, it may suffer a material adverse effect on the business, financial condition, results of operations and cash flows.</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The Company relies on electric interconnection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depends on electric interconnection and transmission facilities owned and operated by others to deliver the wholesale power it will sell from its electric generation assets to its customers. A failure or delay in the operation or development of these interconnection or transmission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interconnection and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81" w:right="2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costs, results of operations, financial condition and cash flows could be adversely impacted by the disruption of the fuel supplies necessary to generate power at its conventional and thermal power generation facilities.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Delivery of fossil fuels to fuel the Company's conventional and thermal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a limited operating history and as a result there is no assurance the Company can operate on a profitable basis.</w:t>
      </w:r>
    </w:p>
    <w:p>
      <w:pPr>
        <w:spacing w:after="0" w:line="171" w:lineRule="exact"/>
        <w:rPr>
          <w:sz w:val="20"/>
          <w:szCs w:val="20"/>
          <w:color w:val="auto"/>
        </w:rPr>
      </w:pPr>
    </w:p>
    <w:p>
      <w:pPr>
        <w:jc w:val="both"/>
        <w:ind w:firstLine="965"/>
        <w:spacing w:after="0" w:line="259" w:lineRule="auto"/>
        <w:rPr>
          <w:sz w:val="20"/>
          <w:szCs w:val="20"/>
          <w:color w:val="auto"/>
        </w:rPr>
      </w:pPr>
      <w:r>
        <w:rPr>
          <w:rFonts w:ascii="Arial" w:cs="Arial" w:eastAsia="Arial" w:hAnsi="Arial"/>
          <w:sz w:val="18"/>
          <w:szCs w:val="18"/>
          <w:color w:val="auto"/>
        </w:rPr>
        <w:t>The Company has a limited operating history on which to base an evaluation of its business and prospects. The Company's prospects must be considered in light of the risks, expenses and difficulties frequently encountered by companies in their early stages of operation. The Company cannot assure investors that it will be successful in addressing the risks the Company may encounter, and the Company's failure to do so could have a material adverse effect on its business, financial condition, results of operations and cash flows.</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 Company is deemed to be an investment company, the Company may be required to institute burdensome compliance requirements and the Company's activities may be restricted, which may make it difficult for the Company to complete strategic acquisitions or effect combinations.</w:t>
      </w:r>
    </w:p>
    <w:p>
      <w:pPr>
        <w:spacing w:after="0" w:line="70" w:lineRule="exact"/>
        <w:rPr>
          <w:sz w:val="20"/>
          <w:szCs w:val="20"/>
          <w:color w:val="auto"/>
        </w:rPr>
      </w:pPr>
    </w:p>
    <w:p>
      <w:pPr>
        <w:jc w:val="both"/>
        <w:ind w:firstLine="940"/>
        <w:spacing w:after="0" w:line="264" w:lineRule="auto"/>
        <w:rPr>
          <w:sz w:val="20"/>
          <w:szCs w:val="20"/>
          <w:color w:val="auto"/>
        </w:rPr>
      </w:pPr>
      <w:r>
        <w:rPr>
          <w:rFonts w:ascii="Arial" w:cs="Arial" w:eastAsia="Arial" w:hAnsi="Arial"/>
          <w:sz w:val="18"/>
          <w:szCs w:val="18"/>
          <w:color w:val="auto"/>
        </w:rPr>
        <w:t>If the Company is deemed to be an investment company under the Investment Company Act of 1940, or the Investment Company Act, the Company's business would be subject to applicable restrictions under the Investment Company Act, which could make it impracticable for the Company to continue its business as contemplated.</w:t>
      </w:r>
    </w:p>
    <w:p>
      <w:pPr>
        <w:spacing w:after="0" w:line="127" w:lineRule="exact"/>
        <w:rPr>
          <w:sz w:val="20"/>
          <w:szCs w:val="20"/>
          <w:color w:val="auto"/>
        </w:rPr>
      </w:pPr>
    </w:p>
    <w:p>
      <w:pPr>
        <w:jc w:val="both"/>
        <w:ind w:firstLine="756"/>
        <w:spacing w:after="0" w:line="257" w:lineRule="auto"/>
        <w:rPr>
          <w:sz w:val="20"/>
          <w:szCs w:val="20"/>
          <w:color w:val="auto"/>
        </w:rPr>
      </w:pPr>
      <w:r>
        <w:rPr>
          <w:rFonts w:ascii="Arial" w:cs="Arial" w:eastAsia="Arial" w:hAnsi="Arial"/>
          <w:sz w:val="18"/>
          <w:szCs w:val="18"/>
          <w:color w:val="auto"/>
        </w:rPr>
        <w:t>The Company believes it is not an investment company under Section 3(b)(1) of the Investment Company Act because the Company is primarily engaged in a non-investment company business. The Company intends to conduct its operations so that the Company will not be deemed an investment company. However, if the Company were to be deemed an investment company, restrictions imposed by the Investment Company Act, including limitations on the Company's capital structure and the Company's ability to transact with affiliates, could make it impractical for the Company to continue its business as contemplated.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Relationship with NRG</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NRG exercises substantial influence over the Company through its position as controlling shareholder of Yield, Inc. The Company is highly dependent on NRG.</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NRG owns all of the outstanding Class B and Class D common stock of Yield, Inc. and owns 55.1% of the combined voting power of Yield, Inc. as of December 31, 2015. NRG has also expressed its intention to maintain a controlling interest in Yield, Inc. As a result of NRG's ownership of Yield, Inc. and Yield, Inc.'s position as sole managing member of the Company, NRG has a substantial influence on the Company's affairs and its voting power will constitute a large percentage of any quorum of Yield, Inc.'s stockholders voting on any matter requiring the approval of its stockholders. Such matters include approval of mergers or sale of all or substantially all of its assets. This concentration of ownership may also have the effect of delaying or preventing a change in control of Yield, Inc. or discouraging others from making tender offers for their shares. In addition, NRG has the right to appoint all of Yield, Inc.'s directors. NRG may cause corporate actions to be taken even if their interests conflict with the interests of Yield, Inc.'s other stockholders.</w:t>
      </w:r>
    </w:p>
    <w:p>
      <w:pPr>
        <w:spacing w:after="0" w:line="1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Furthermore, the Company depends on the management and administration services provided by or under the direction of NRG under the Management Services Agreement. NRG personnel and support staff that provide services to the Company under the Management Services Agreement are not required to, and the Company does not expect that they will, have as their primary responsibility the management and administration of the Company or to act exclusively for the Company and the Management Services Agreement does not require any specific individuals to be provided by NRG. Under the Management Services Agreement, NRG has the discretion to determine which of its employees perform assignments required to be provided to the Company. Any failure to effectively manage the Company's operations or to implement its strategy could have a material adverse effect on the business, financial condition, results of operations and cash flows. The Management Services Agreement will continue in perpetuity, until terminated in accordance with its terms.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81" w:right="239" w:bottom="1440" w:gutter="0" w:footer="0" w:header="0"/>
        </w:sectPr>
      </w:pPr>
    </w:p>
    <w:bookmarkStart w:id="24" w:name="page25"/>
    <w:bookmarkEnd w:id="24"/>
    <w:p>
      <w:pPr>
        <w:jc w:val="both"/>
        <w:ind w:firstLine="648"/>
        <w:spacing w:after="0" w:line="302" w:lineRule="auto"/>
        <w:rPr>
          <w:sz w:val="20"/>
          <w:szCs w:val="20"/>
          <w:color w:val="auto"/>
        </w:rPr>
      </w:pPr>
      <w:r>
        <w:rPr>
          <w:rFonts w:ascii="Arial" w:cs="Arial" w:eastAsia="Arial" w:hAnsi="Arial"/>
          <w:sz w:val="16"/>
          <w:szCs w:val="16"/>
          <w:color w:val="auto"/>
        </w:rPr>
        <w:t>The Company also depends upon NRG for the provision of management, administration and certain other services at all of the Company's facilities and contracts with NRG, or its subsidiaries, to procure fuel and sell power for certain of its operating facilities. Any failure by NRG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consummate future acquisitions from NRG.</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ability to grow through acquisitions depends, in part, on NRG's ability to identify and present the Company with acquisition opportunities. NRG established the Company to hold and acquire a diversified suite of power generating assets in the U.S. and its territories. Although NRG has agreed to grant the Company a right of first offer with respect to certain power generation assets that NRG may elect to sell in the future, NRG is under no obligation to sell any such power generation assets or to accept any related offer from the Company. Furthermore, NRG has no obligation to source acquisition opportunities specifically for the Company. In addition, NRG has not agreed to commit any minimum level of dedicated resources for the pursuit of renewable power-related acquisitions. There are a number of factors which could materially and adversely impact the extent to which suitable acquisition opportunities are made available from NRG, including:</w:t>
      </w:r>
    </w:p>
    <w:p>
      <w:pPr>
        <w:spacing w:after="0" w:line="135" w:lineRule="exact"/>
        <w:rPr>
          <w:sz w:val="20"/>
          <w:szCs w:val="20"/>
          <w:color w:val="auto"/>
        </w:rPr>
      </w:pPr>
    </w:p>
    <w:p>
      <w:pPr>
        <w:jc w:val="both"/>
        <w:ind w:left="1300" w:hanging="320"/>
        <w:spacing w:after="0" w:line="305"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same professionals within NRG's organization that are involved in acquisitions that are suitable for the Company have responsibilities within NRG's broader asset management business, which may include sourcing acquisition opportunities for NRG. Limits on the availability of such individuals will likewise result in a limitation on the availability of acquisition opportunities for the Company; and</w:t>
      </w:r>
    </w:p>
    <w:p>
      <w:pPr>
        <w:jc w:val="both"/>
        <w:ind w:left="1300" w:hanging="320"/>
        <w:spacing w:after="0" w:line="30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addition to structural limitations, the question of whether a particular asset is suitable is highly subjective and is dependent on a number of factors including an assessment by NRG relating to the Company's liquidity position at the time, the risk profile of the opportunity and its fit with the balance of the Company's then current operations and other factors. If NRG determines that an opportunity is not suitable for the Company, it may still pursue such opportunity on its own behalf, or on behalf of another NRG affiliate.</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making these determinations, NRG may be influenced by factors that result in a misalignment or conflict of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departure of some or all of NRG's employees could prevent the Company from achieving its objectives.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depends on the diligence, skill and business contacts of NRG's professionals and the information and opportunities they generate during the normal course of their activities. Furthermore, approximately 27% of NRG's employees at the Company's generation plants are covered by collective bargaining agreements as of December 31, 2015. The Company's future success will depend on the continued service of these individuals, who are not obligated to remain employed with NRG, or otherwise successfully renegotiate their collective bargaining agreements when such agreements expire or otherwise terminate. NRG has experienced departures of key professionals and personnel in the past and may do so in the future, and the Company cannot predict the impact that any such departures will have on its ability to achieve its objectives. The Management Services Agreement does not require NRG to maintain the employment of any of its professionals or to cause any particular professional to provide services to the Company or on its behalf. The departure of a significant number of NRG's professionals or a material portion of the NRG employees who work at any of the Company's facilities for any reason, or the failure to appoint qualified or effective successors in the event of such departures, could have a material adverse effect on the Company's ability to achieve its objectives. The Management Services Agreement does not require NRG to maintain the employment of any of its professionals or to cause any particular professional to provide services to the Company or on its behalf.</w:t>
      </w:r>
    </w:p>
    <w:p>
      <w:pPr>
        <w:spacing w:after="0" w:line="1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The Company's organizational and ownership structure may create significant conflicts of interest that may be resolved in a manner that is not in the best interests of the Company and that may have a material adverse effect on the business, financial condition, results of operations and cash flows.</w:t>
      </w:r>
    </w:p>
    <w:p>
      <w:pPr>
        <w:spacing w:after="0" w:line="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organizational and ownership structure involves a number of relationships that may give rise to certain conflicts of interest between the Company and NRG. Pursuant to the Management Services Agreement with NRG, each of the Company's executive officers are a shared NRG executive and devote his or her time to both the Company and NRG as needed to conduct the respective businesses. Although the Company's directors and executive officers owe fiduciary duties to the Company's stockholders, these shared NRG executives have fiduciary and other duties to NRG, which duties may be inconsistent with the Company's best interests. In addition, NRG and its representatives, agents and affiliates have access to the Company's confidential information. Although some of these persons are subject to confidentiality obligations pursuant to confidentiality agreements or implied duties of confidence, the Management Services Agreement does not contain general confidentiality provisions.</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Additionally, all of the Company's executive officers continue to have economic interests in NRG and, accordingly, the benefit to NRG from a transaction between the Company and NRG will proportionately inure to their benefit as holders of economic</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81" w:right="23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6"/>
          <w:szCs w:val="16"/>
          <w:color w:val="auto"/>
        </w:rPr>
        <w:t>interests in NRG. NRG is a related party under the applicable securities laws governing related party transactions and may have interests which differ from the Company's interests, including with respect to the types of acquisitions made, the timing and amount of distributions by the Company, the reinvestment of returns generated by the Company's operations, the use of leverage when making acquisitions and the appointment of outside advisors and service providers. Any material transaction between the Company and NRG will be subject to the Company's related party transaction policy, which will require prior approval of such transaction by the Company's corporate committees. Those of the Company's executive officers who have economic interests in NRG may be conflicted when advising the Company's corporate committees or otherwise participating in the negotiation or approval of such transactions. These executive officers have significant project- and industry-specific expertise that could prove beneficial to the Company's decision-making process and the absence of such strategic guidance could have a material adverse effect on the corporate committees' ability to evaluate any such transaction. Furthermore, the creation of corporate committees and the Company's related party transaction approval policy may not insulate the Company from derivative claims related to related party transactions and the conflicts of interest described in this risk factor. Regardless of the merits of such claims, the Company may be required to expend significant management time and financial resources in the defense thereof. Additionally, to the extent the Company fails to appropriately deal with any such conflicts, it could negatively impact the Company's reputation and ability to raise additional funds and the willingness of counterparties to do business with the Company, all of which could have a material adverse effect on the business, financial condition, results of operations and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or unwilling to terminate the Management Services Agreement.</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Management Services Agreement provides that the Company may terminate the agreement upon 30 days prior written notice to NRG upon the occurrence of any of the following: (i) NRG defaults in the performance or observance of any material term, condition or covenant contained therein in a manner that results in material harm to the Company and the default continues unremedied for a period of 30 days after written notice thereof is given to NRG; (ii) NRG engages in any act of fraud, misappropriation of funds or embezzlement that results in material harm to the Company; (iii) NRG is grossly negligent in the performance of its duties under the agreement and such negligence results in material harm to the Company; or (iv) upon the happening of certain events relating to the bankruptcy or insolvency of NRG. Furthermore, if the Company requests an amendment to the scope of services provided by NRG under the Management Services Agreement and is not able to agree with NRG as to a change to the service fee resulting from a change in the scope of services within 180 days of the request, the Company will be able to terminate the agreement upon 30 days prior notice to NRG. The Company will not be able to terminate the agreement for any other reason, including if NRG experiences a change of control, and the agreement continues in perpetuity, until terminated in accordance with its terms.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NRG terminates the Management Services Agreement or defaults in the performance of its obligations under the agreement the Company may be unable to contract with a substitute service provider on similar terms, or at all.</w:t>
      </w:r>
    </w:p>
    <w:p>
      <w:pPr>
        <w:spacing w:after="0" w:line="11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relies on NRG to provide it with management services under the Management Services Agreement and does not have executive or senior management personnel independent from NRG. The Management Services Agreement provides that NRG may terminate the agreement upon 180 days prior written notice of termination to the Company if it defaults in the performance or observance of any material term, condition or covenant contained in the agreement in a manner that results in material harm and the default continues unremedied for a period of 30 days after written notice of the breach is given. If NRG terminates the Management Services Agreement or defaults in the performance of its obligations under the agreement, the Company may be unable to contract with a substitute service provider on similar terms or at all, and the costs of substituting service providers may be substantial. In addition, in light of NRG's familiarity with the Company's assets, a substitute service provider may not be able to provide the same level of service due to lack of pre-existing synergies. If the Company cannot locate a service provider that is able to provide substantially similar services as NRG does under the Management Services Agreement on similar terms, it would likely have a material adverse effect on the business, financial condition, results of operation and cash flows.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liability of NRG is limited under the Company's arrangements with it and the Company has agreed to indemnify NRG against claims that it may face in connection with such arrangements, which may lead it to assume greater risks when making decisions relating to the Company than it otherwise would if acting solely for its own account.</w:t>
      </w:r>
    </w:p>
    <w:p>
      <w:pPr>
        <w:spacing w:after="0" w:line="1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the Management Services Agreement, NRG does not assume any responsibility other than to provide or arrange for the provision of the services described in the Management Services Agreement in good faith. In addition, under the Management Services Agreement, the liability of NRG and its affiliates is limited to the fullest extent permitted by law to conduct involving bad faith, fraud, willful misconduct or gross negligence or, in the case of a criminal matter, action that was known to have been unlawful. In addition, the Company has agreed to indemnify NRG to the fullest extent permitted by law from and against any claims, liabilities, losses, damages, costs or expenses incurred by an indemnified person or threatened in connection with the Company's operations, investments and activities or in respect of or arising from the Management Services Agreement or the services provided by NRG, except to the extent that the claims, liabilities, losses, damages, costs or expenses are determined to have resulted from the conduct in respect of which such persons have liability as described above. These protections may result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81"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in NRG tolerating greater risks when making decisions than otherwise would be the case, including when determining whether to use leverage in connection with acquisitions. The indemnification arrangements to which NRG is a party may also give rise to legal claims for indemnification that are adverse to the Company.</w:t>
      </w:r>
    </w:p>
    <w:p>
      <w:pPr>
        <w:spacing w:after="0" w:line="12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Certain of the Company’s PPAs and project-level financing arrangements include provisions that would permit the counterparty to terminate the contract or accelerate maturity in the event NRG ceases to control or own, directly or indirectly, a majority of the Company.</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NRG ceases to own, directly or indirectly, capital stock representing more than 50% of the voting power of all of Yield, Inc.’s capital stock outstanding on such date, or, in some cases, if NRG ceases to be the majority owner, directly or indirectly, of the applicable project subsidiary. As a result, if NRG ceases to control, or in some cases, own a majority of the Company, the counterparties could terminate such contracts or accelerate the maturity of such financing arrangements. The termination of any of the Company’s PPAs or the acceleration of the maturity of any of the Company’s project-level financing could have a material adverse effect on the Company’s business, financial condition, results of operations and cash flow.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8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 xml:space="preserve">This Annual Report on Form 10-K of NRG Yield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the following:</w:t>
      </w:r>
    </w:p>
    <w:p>
      <w:pPr>
        <w:spacing w:after="0" w:line="1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ability to acquire assets from NRG;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17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3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ability to receive anticipated cash grants with respect to certain renewable (wind and solar) assets;</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and its subsidiaries that are contained in the project-level debt facilities and other agreements of certain subsidiaries and project-level subsidiaries generally, in the NRG Yield Operating LLC amended and restated revolving credit facility and in the indenture governing the Senior Notes; and</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7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 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descriptions of the Company's interests in facilities, operations and/or projects owned or leased as of December 31,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328"/>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Rated</w:t>
            </w:r>
          </w:p>
        </w:tc>
        <w:tc>
          <w:tcPr>
            <w:tcW w:w="660" w:type="dxa"/>
            <w:vAlign w:val="bottom"/>
            <w:vMerge w:val="restart"/>
          </w:tcPr>
          <w:p>
            <w:pPr>
              <w:jc w:val="right"/>
              <w:ind w:right="128"/>
              <w:spacing w:after="0"/>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ind w:left="1040"/>
              <w:spacing w:after="0"/>
              <w:rPr>
                <w:sz w:val="20"/>
                <w:szCs w:val="20"/>
                <w:color w:val="auto"/>
              </w:rPr>
            </w:pPr>
            <w:r>
              <w:rPr>
                <w:rFonts w:ascii="Arial" w:cs="Arial" w:eastAsia="Arial" w:hAnsi="Arial"/>
                <w:sz w:val="16"/>
                <w:szCs w:val="16"/>
                <w:b w:val="1"/>
                <w:bCs w:val="1"/>
                <w:color w:val="auto"/>
                <w:w w:val="88"/>
              </w:rPr>
              <w:t>PPA Terms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2"/>
                <w:szCs w:val="22"/>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Location</w:t>
            </w:r>
          </w:p>
        </w:tc>
        <w:tc>
          <w:tcPr>
            <w:tcW w:w="120" w:type="dxa"/>
            <w:vAlign w:val="bottom"/>
          </w:tcPr>
          <w:p>
            <w:pPr>
              <w:spacing w:after="0"/>
              <w:rPr>
                <w:sz w:val="22"/>
                <w:szCs w:val="22"/>
                <w:color w:val="auto"/>
              </w:rPr>
            </w:pPr>
          </w:p>
        </w:tc>
        <w:tc>
          <w:tcPr>
            <w:tcW w:w="68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MW</w:t>
            </w:r>
          </w:p>
        </w:tc>
        <w:tc>
          <w:tcPr>
            <w:tcW w:w="120" w:type="dxa"/>
            <w:vAlign w:val="bottom"/>
          </w:tcPr>
          <w:p>
            <w:pPr>
              <w:spacing w:after="0"/>
              <w:rPr>
                <w:sz w:val="22"/>
                <w:szCs w:val="22"/>
                <w:color w:val="auto"/>
              </w:rPr>
            </w:pPr>
          </w:p>
        </w:tc>
        <w:tc>
          <w:tcPr>
            <w:tcW w:w="660" w:type="dxa"/>
            <w:vAlign w:val="bottom"/>
            <w:tcBorders>
              <w:bottom w:val="single" w:sz="8" w:color="auto"/>
            </w:tcBorders>
          </w:tcPr>
          <w:p>
            <w:pPr>
              <w:jc w:val="right"/>
              <w:ind w:right="48"/>
              <w:spacing w:after="0" w:line="264" w:lineRule="exact"/>
              <w:rPr>
                <w:sz w:val="20"/>
                <w:szCs w:val="20"/>
                <w:color w:val="auto"/>
              </w:rPr>
            </w:pPr>
            <w:r>
              <w:rPr>
                <w:rFonts w:ascii="Arial" w:cs="Arial" w:eastAsia="Arial" w:hAnsi="Arial"/>
                <w:sz w:val="30"/>
                <w:szCs w:val="30"/>
                <w:b w:val="1"/>
                <w:bCs w:val="1"/>
                <w:color w:val="auto"/>
                <w:vertAlign w:val="subscript"/>
              </w:rPr>
              <w:t>MW</w:t>
            </w:r>
            <w:r>
              <w:rPr>
                <w:rFonts w:ascii="Arial" w:cs="Arial" w:eastAsia="Arial" w:hAnsi="Arial"/>
                <w:sz w:val="10"/>
                <w:szCs w:val="10"/>
                <w:b w:val="1"/>
                <w:bCs w:val="1"/>
                <w:color w:val="auto"/>
              </w:rPr>
              <w:t>(a)</w:t>
            </w:r>
          </w:p>
        </w:tc>
        <w:tc>
          <w:tcPr>
            <w:tcW w:w="1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Ownership</w:t>
            </w:r>
          </w:p>
        </w:tc>
        <w:tc>
          <w:tcPr>
            <w:tcW w:w="120" w:type="dxa"/>
            <w:vAlign w:val="bottom"/>
          </w:tcPr>
          <w:p>
            <w:pPr>
              <w:spacing w:after="0"/>
              <w:rPr>
                <w:sz w:val="22"/>
                <w:szCs w:val="22"/>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Fuel</w:t>
            </w:r>
          </w:p>
        </w:tc>
        <w:tc>
          <w:tcPr>
            <w:tcW w:w="100" w:type="dxa"/>
            <w:vAlign w:val="bottom"/>
          </w:tcPr>
          <w:p>
            <w:pPr>
              <w:spacing w:after="0"/>
              <w:rPr>
                <w:sz w:val="22"/>
                <w:szCs w:val="22"/>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COD</w:t>
            </w:r>
          </w:p>
        </w:tc>
        <w:tc>
          <w:tcPr>
            <w:tcW w:w="100" w:type="dxa"/>
            <w:vAlign w:val="bottom"/>
          </w:tcPr>
          <w:p>
            <w:pPr>
              <w:spacing w:after="0"/>
              <w:rPr>
                <w:sz w:val="22"/>
                <w:szCs w:val="22"/>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Counterparty</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rPr>
                <w:sz w:val="1"/>
                <w:szCs w:val="1"/>
                <w:color w:val="auto"/>
              </w:rPr>
            </w:pPr>
          </w:p>
        </w:tc>
      </w:tr>
      <w:tr>
        <w:trPr>
          <w:trHeight w:val="231"/>
        </w:trPr>
        <w:tc>
          <w:tcPr>
            <w:tcW w:w="150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Conventional</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El Segundo</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El Segundo,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550</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August 2013</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6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 xml:space="preserve">GenConn Devon </w:t>
            </w:r>
            <w:r>
              <w:rPr>
                <w:rFonts w:ascii="Arial" w:cs="Arial" w:eastAsia="Arial" w:hAnsi="Arial"/>
                <w:sz w:val="8"/>
                <w:szCs w:val="8"/>
                <w:color w:val="auto"/>
              </w:rPr>
              <w:t>(b)</w:t>
            </w: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Milford, CT</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Natural Gas/Oil</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June 2010</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Connecticut Light &amp; Power</w:t>
            </w:r>
          </w:p>
        </w:tc>
        <w:tc>
          <w:tcPr>
            <w:tcW w:w="1020" w:type="dxa"/>
            <w:vAlign w:val="bottom"/>
          </w:tcPr>
          <w:p>
            <w:pPr>
              <w:jc w:val="right"/>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163"/>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GenConn</w:t>
            </w: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Middletown </w:t>
            </w:r>
            <w:r>
              <w:rPr>
                <w:rFonts w:ascii="Arial" w:cs="Arial" w:eastAsia="Arial" w:hAnsi="Arial"/>
                <w:sz w:val="8"/>
                <w:szCs w:val="8"/>
                <w:color w:val="auto"/>
              </w:rPr>
              <w:t>(b)</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Middletown, CT</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Gas/Oil</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2011</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Connecticut Light &amp; Power</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26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Marsh Landing</w:t>
            </w: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Antioch, CA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May 2013</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Pacific Gas and Electric</w:t>
            </w:r>
          </w:p>
        </w:tc>
        <w:tc>
          <w:tcPr>
            <w:tcW w:w="1020" w:type="dxa"/>
            <w:vAlign w:val="bottom"/>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Walnut Creek</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City of Industry, CA</w:t>
            </w:r>
          </w:p>
        </w:tc>
        <w:tc>
          <w:tcPr>
            <w:tcW w:w="6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May 2013</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44"/>
        </w:trPr>
        <w:tc>
          <w:tcPr>
            <w:tcW w:w="3120" w:type="dxa"/>
            <w:vAlign w:val="bottom"/>
            <w:gridSpan w:val="4"/>
          </w:tcPr>
          <w:p>
            <w:pPr>
              <w:ind w:left="380"/>
              <w:spacing w:after="0"/>
              <w:rPr>
                <w:sz w:val="20"/>
                <w:szCs w:val="20"/>
                <w:color w:val="auto"/>
              </w:rPr>
            </w:pPr>
            <w:r>
              <w:rPr>
                <w:rFonts w:ascii="Arial" w:cs="Arial" w:eastAsia="Arial" w:hAnsi="Arial"/>
                <w:sz w:val="16"/>
                <w:szCs w:val="16"/>
                <w:b w:val="1"/>
                <w:bCs w:val="1"/>
                <w:i w:val="1"/>
                <w:iCs w:val="1"/>
                <w:color w:val="auto"/>
              </w:rPr>
              <w:t>Total Conventional</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2,135</w:t>
            </w: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1,945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Utility Scale Solar</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Alpine</w:t>
            </w: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Lancaster, CA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January 2013</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Pacific Gas and Electric</w:t>
            </w:r>
          </w:p>
        </w:tc>
        <w:tc>
          <w:tcPr>
            <w:tcW w:w="1020" w:type="dxa"/>
            <w:vAlign w:val="bottom"/>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Avenal </w:t>
            </w:r>
            <w:r>
              <w:rPr>
                <w:rFonts w:ascii="Arial" w:cs="Arial" w:eastAsia="Arial" w:hAnsi="Arial"/>
                <w:sz w:val="8"/>
                <w:szCs w:val="8"/>
                <w:color w:val="auto"/>
              </w:rPr>
              <w:t>(b)</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Avenal,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August 2011</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Pacific Gas and Electric</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26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Avra Valley</w:t>
            </w: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Pima County, AZ</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December 2012</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Tucson Electric Power</w:t>
            </w:r>
          </w:p>
        </w:tc>
        <w:tc>
          <w:tcPr>
            <w:tcW w:w="1020" w:type="dxa"/>
            <w:vAlign w:val="bottom"/>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Blythe</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Blythe,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2009</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6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Borrego</w:t>
            </w: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Borrego Springs, CA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February 2013</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San Diego Gas and Electric</w:t>
            </w:r>
          </w:p>
        </w:tc>
        <w:tc>
          <w:tcPr>
            <w:tcW w:w="1020" w:type="dxa"/>
            <w:vAlign w:val="bottom"/>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CVSR</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San Luis Obispo,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48.95%</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October 2013</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Pacific Gas and Electric</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Desert Center,</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Desert Sunlight 250</w:t>
            </w: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December 2013</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63"/>
        </w:trPr>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Desert Center,</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Desert Sunlight 300</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2013</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Pacific Gas and Electric</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26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Kansas South</w:t>
            </w: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Lemoore, CA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June 2013</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Pacific Gas and Electric</w:t>
            </w:r>
          </w:p>
        </w:tc>
        <w:tc>
          <w:tcPr>
            <w:tcW w:w="1020" w:type="dxa"/>
            <w:vAlign w:val="bottom"/>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Roadrunner</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Santa Teresa, NM</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August 2011</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El Paso Electric</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264"/>
        </w:trPr>
        <w:tc>
          <w:tcPr>
            <w:tcW w:w="15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TA High Desert</w:t>
            </w:r>
          </w:p>
        </w:tc>
        <w:tc>
          <w:tcPr>
            <w:tcW w:w="1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Lancaster, CA</w:t>
            </w: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March 2013</w:t>
            </w:r>
          </w:p>
        </w:tc>
        <w:tc>
          <w:tcPr>
            <w:tcW w:w="1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256"/>
        </w:trPr>
        <w:tc>
          <w:tcPr>
            <w:tcW w:w="3120" w:type="dxa"/>
            <w:vAlign w:val="bottom"/>
            <w:gridSpan w:val="4"/>
            <w:shd w:val="clear" w:color="auto" w:fill="CCEEFF"/>
          </w:tcPr>
          <w:p>
            <w:pPr>
              <w:ind w:left="380"/>
              <w:spacing w:after="0"/>
              <w:rPr>
                <w:sz w:val="20"/>
                <w:szCs w:val="20"/>
                <w:color w:val="auto"/>
              </w:rPr>
            </w:pPr>
            <w:r>
              <w:rPr>
                <w:rFonts w:ascii="Arial" w:cs="Arial" w:eastAsia="Arial" w:hAnsi="Arial"/>
                <w:sz w:val="16"/>
                <w:szCs w:val="16"/>
                <w:b w:val="1"/>
                <w:bCs w:val="1"/>
                <w:i w:val="1"/>
                <w:iCs w:val="1"/>
                <w:color w:val="auto"/>
              </w:rPr>
              <w:t>Total Utility Scale Solar</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1,044</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0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Distributed Solar</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December 2010 -</w:t>
            </w: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AZ DG Solar Projects</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AZ</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January 2013</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Various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2025 - 2033</w:t>
            </w:r>
          </w:p>
        </w:tc>
        <w:tc>
          <w:tcPr>
            <w:tcW w:w="0" w:type="dxa"/>
            <w:vAlign w:val="bottom"/>
          </w:tcPr>
          <w:p>
            <w:pPr>
              <w:spacing w:after="0"/>
              <w:rPr>
                <w:sz w:val="1"/>
                <w:szCs w:val="1"/>
                <w:color w:val="auto"/>
              </w:rPr>
            </w:pPr>
          </w:p>
        </w:tc>
      </w:tr>
      <w:tr>
        <w:trPr>
          <w:trHeight w:val="157"/>
        </w:trPr>
        <w:tc>
          <w:tcPr>
            <w:tcW w:w="15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PFMG DG Solar</w:t>
            </w: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October 2012 -</w:t>
            </w: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Projects</w:t>
            </w:r>
          </w:p>
        </w:tc>
        <w:tc>
          <w:tcPr>
            <w:tcW w:w="1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CA</w:t>
            </w: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Solar</w:t>
            </w:r>
          </w:p>
        </w:tc>
        <w:tc>
          <w:tcPr>
            <w:tcW w:w="1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December 2012</w:t>
            </w:r>
          </w:p>
        </w:tc>
        <w:tc>
          <w:tcPr>
            <w:tcW w:w="1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Various</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256"/>
        </w:trPr>
        <w:tc>
          <w:tcPr>
            <w:tcW w:w="3120" w:type="dxa"/>
            <w:vAlign w:val="bottom"/>
            <w:gridSpan w:val="4"/>
            <w:shd w:val="clear" w:color="auto" w:fill="CCEEFF"/>
          </w:tcPr>
          <w:p>
            <w:pPr>
              <w:ind w:left="380"/>
              <w:spacing w:after="0"/>
              <w:rPr>
                <w:sz w:val="20"/>
                <w:szCs w:val="20"/>
                <w:color w:val="auto"/>
              </w:rPr>
            </w:pPr>
            <w:r>
              <w:rPr>
                <w:rFonts w:ascii="Arial" w:cs="Arial" w:eastAsia="Arial" w:hAnsi="Arial"/>
                <w:sz w:val="16"/>
                <w:szCs w:val="16"/>
                <w:b w:val="1"/>
                <w:bCs w:val="1"/>
                <w:i w:val="1"/>
                <w:iCs w:val="1"/>
                <w:color w:val="auto"/>
              </w:rPr>
              <w:t>Total Distributed Solar</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0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Wind</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Alta I</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Tehachapi,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2010</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6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Alta II</w:t>
            </w: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Tehachapi, CA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December 2010</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Alta III</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Tehachapi,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February 2011</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6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Alta IV</w:t>
            </w: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Tehachapi, CA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March 2011</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Alta V</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Tehachapi,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April 2011</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6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8"/>
                <w:szCs w:val="8"/>
                <w:color w:val="auto"/>
              </w:rPr>
              <w:t>(c)(d)</w:t>
            </w: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Tehachapi, CA</w:t>
            </w: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February 2014</w:t>
            </w:r>
          </w:p>
        </w:tc>
        <w:tc>
          <w:tcPr>
            <w:tcW w:w="1820" w:type="dxa"/>
            <w:vAlign w:val="bottom"/>
            <w:gridSpan w:val="2"/>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8"/>
                <w:szCs w:val="8"/>
                <w:color w:val="auto"/>
              </w:rPr>
              <w:t>(c)(d)</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Tehachapi, CA</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February 2014</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Southern California Edison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77"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368"/>
              <w:spacing w:after="0"/>
              <w:rPr>
                <w:sz w:val="20"/>
                <w:szCs w:val="20"/>
                <w:color w:val="auto"/>
              </w:rPr>
            </w:pPr>
            <w:r>
              <w:rPr>
                <w:rFonts w:ascii="Arial" w:cs="Arial" w:eastAsia="Arial" w:hAnsi="Arial"/>
                <w:sz w:val="16"/>
                <w:szCs w:val="16"/>
                <w:b w:val="1"/>
                <w:bCs w:val="1"/>
                <w:color w:val="auto"/>
              </w:rPr>
              <w:t>Capacity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Rated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Owner-</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3"/>
          </w:tcPr>
          <w:p>
            <w:pPr>
              <w:ind w:left="1040"/>
              <w:spacing w:after="0"/>
              <w:rPr>
                <w:sz w:val="20"/>
                <w:szCs w:val="20"/>
                <w:color w:val="auto"/>
              </w:rPr>
            </w:pPr>
            <w:r>
              <w:rPr>
                <w:rFonts w:ascii="Arial" w:cs="Arial" w:eastAsia="Arial" w:hAnsi="Arial"/>
                <w:sz w:val="16"/>
                <w:szCs w:val="16"/>
                <w:b w:val="1"/>
                <w:bCs w:val="1"/>
                <w:color w:val="auto"/>
              </w:rPr>
              <w:t>PPA Terms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26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ind w:left="440"/>
              <w:spacing w:after="0"/>
              <w:rPr>
                <w:sz w:val="20"/>
                <w:szCs w:val="20"/>
                <w:color w:val="auto"/>
              </w:rPr>
            </w:pPr>
            <w:r>
              <w:rPr>
                <w:rFonts w:ascii="Arial" w:cs="Arial" w:eastAsia="Arial" w:hAnsi="Arial"/>
                <w:sz w:val="16"/>
                <w:szCs w:val="16"/>
                <w:b w:val="1"/>
                <w:bCs w:val="1"/>
                <w:color w:val="auto"/>
              </w:rPr>
              <w:t>Location</w:t>
            </w: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MW</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Net MW</w:t>
            </w:r>
          </w:p>
        </w:tc>
        <w:tc>
          <w:tcPr>
            <w:tcW w:w="10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ship</w:t>
            </w:r>
          </w:p>
        </w:tc>
        <w:tc>
          <w:tcPr>
            <w:tcW w:w="1340" w:type="dxa"/>
            <w:vAlign w:val="bottom"/>
            <w:gridSpan w:val="2"/>
          </w:tcPr>
          <w:p>
            <w:pPr>
              <w:ind w:left="460"/>
              <w:spacing w:after="0"/>
              <w:rPr>
                <w:sz w:val="20"/>
                <w:szCs w:val="20"/>
                <w:color w:val="auto"/>
              </w:rPr>
            </w:pPr>
            <w:r>
              <w:rPr>
                <w:rFonts w:ascii="Arial" w:cs="Arial" w:eastAsia="Arial" w:hAnsi="Arial"/>
                <w:sz w:val="16"/>
                <w:szCs w:val="16"/>
                <w:b w:val="1"/>
                <w:bCs w:val="1"/>
                <w:color w:val="auto"/>
              </w:rPr>
              <w:t>Fuel</w:t>
            </w:r>
          </w:p>
        </w:tc>
        <w:tc>
          <w:tcPr>
            <w:tcW w:w="1580" w:type="dxa"/>
            <w:vAlign w:val="bottom"/>
            <w:gridSpan w:val="2"/>
          </w:tcPr>
          <w:p>
            <w:pPr>
              <w:ind w:left="560"/>
              <w:spacing w:after="0"/>
              <w:rPr>
                <w:sz w:val="20"/>
                <w:szCs w:val="20"/>
                <w:color w:val="auto"/>
              </w:rPr>
            </w:pPr>
            <w:r>
              <w:rPr>
                <w:rFonts w:ascii="Arial" w:cs="Arial" w:eastAsia="Arial" w:hAnsi="Arial"/>
                <w:sz w:val="16"/>
                <w:szCs w:val="16"/>
                <w:b w:val="1"/>
                <w:bCs w:val="1"/>
                <w:color w:val="auto"/>
              </w:rPr>
              <w:t>COD</w:t>
            </w:r>
          </w:p>
        </w:tc>
        <w:tc>
          <w:tcPr>
            <w:tcW w:w="1940" w:type="dxa"/>
            <w:vAlign w:val="bottom"/>
            <w:gridSpan w:val="3"/>
          </w:tcPr>
          <w:p>
            <w:pPr>
              <w:ind w:left="380"/>
              <w:spacing w:after="0"/>
              <w:rPr>
                <w:sz w:val="20"/>
                <w:szCs w:val="20"/>
                <w:color w:val="auto"/>
              </w:rPr>
            </w:pPr>
            <w:r>
              <w:rPr>
                <w:rFonts w:ascii="Arial" w:cs="Arial" w:eastAsia="Arial" w:hAnsi="Arial"/>
                <w:sz w:val="16"/>
                <w:szCs w:val="16"/>
                <w:b w:val="1"/>
                <w:bCs w:val="1"/>
                <w:color w:val="auto"/>
              </w:rPr>
              <w:t>Counterparty</w:t>
            </w:r>
          </w:p>
        </w:tc>
        <w:tc>
          <w:tcPr>
            <w:tcW w:w="900" w:type="dxa"/>
            <w:vAlign w:val="bottom"/>
          </w:tcPr>
          <w:p>
            <w:pPr>
              <w:jc w:val="right"/>
              <w:ind w:right="68"/>
              <w:spacing w:after="0"/>
              <w:rPr>
                <w:sz w:val="20"/>
                <w:szCs w:val="20"/>
                <w:color w:val="auto"/>
              </w:rPr>
            </w:pPr>
            <w:r>
              <w:rPr>
                <w:rFonts w:ascii="Arial" w:cs="Arial" w:eastAsia="Arial" w:hAnsi="Arial"/>
                <w:sz w:val="16"/>
                <w:szCs w:val="16"/>
                <w:b w:val="1"/>
                <w:bCs w:val="1"/>
                <w:color w:val="auto"/>
                <w:w w:val="94"/>
              </w:rPr>
              <w:t>Expiration</w:t>
            </w:r>
          </w:p>
        </w:tc>
        <w:tc>
          <w:tcPr>
            <w:tcW w:w="0" w:type="dxa"/>
            <w:vAlign w:val="bottom"/>
          </w:tcPr>
          <w:p>
            <w:pPr>
              <w:spacing w:after="0"/>
              <w:rPr>
                <w:sz w:val="1"/>
                <w:szCs w:val="1"/>
                <w:color w:val="auto"/>
              </w:rPr>
            </w:pPr>
          </w:p>
        </w:tc>
      </w:tr>
      <w:tr>
        <w:trPr>
          <w:trHeight w:val="33"/>
        </w:trPr>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40" w:type="dxa"/>
            <w:vAlign w:val="bottom"/>
            <w:gridSpan w:val="3"/>
            <w:shd w:val="clear" w:color="auto" w:fill="CCEEFF"/>
          </w:tcPr>
          <w:p>
            <w:pPr>
              <w:ind w:left="40"/>
              <w:spacing w:after="0" w:line="151" w:lineRule="exact"/>
              <w:rPr>
                <w:sz w:val="20"/>
                <w:szCs w:val="20"/>
                <w:color w:val="auto"/>
              </w:rPr>
            </w:pPr>
            <w:r>
              <w:rPr>
                <w:rFonts w:ascii="Arial" w:cs="Arial" w:eastAsia="Arial" w:hAnsi="Arial"/>
                <w:sz w:val="14"/>
                <w:szCs w:val="14"/>
                <w:color w:val="auto"/>
              </w:rPr>
              <w:t>Western Farmers Electric</w:t>
            </w: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Buffalo Bear</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Buffalo, OK</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2008</w:t>
            </w: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Co-operative</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57"/>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Corn Belt Power</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Crosswinds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Ayrshire, IA</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June 2007</w:t>
            </w:r>
          </w:p>
        </w:tc>
        <w:tc>
          <w:tcPr>
            <w:tcW w:w="1940" w:type="dxa"/>
            <w:vAlign w:val="bottom"/>
            <w:gridSpan w:val="3"/>
          </w:tcPr>
          <w:p>
            <w:pPr>
              <w:ind w:left="40"/>
              <w:spacing w:after="0"/>
              <w:rPr>
                <w:sz w:val="20"/>
                <w:szCs w:val="20"/>
                <w:color w:val="auto"/>
              </w:rPr>
            </w:pPr>
            <w:r>
              <w:rPr>
                <w:rFonts w:ascii="Arial" w:cs="Arial" w:eastAsia="Arial" w:hAnsi="Arial"/>
                <w:sz w:val="14"/>
                <w:szCs w:val="14"/>
                <w:color w:val="auto"/>
              </w:rPr>
              <w:t>Cooperative</w:t>
            </w:r>
          </w:p>
        </w:tc>
        <w:tc>
          <w:tcPr>
            <w:tcW w:w="900" w:type="dxa"/>
            <w:vAlign w:val="bottom"/>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226"/>
        </w:trPr>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NRG Power Marketing</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Elbow Creek</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Howard County, TX</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2008</w:t>
            </w: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0"/>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3"/>
          </w:tcPr>
          <w:p>
            <w:pPr>
              <w:ind w:left="40"/>
              <w:spacing w:after="0"/>
              <w:rPr>
                <w:sz w:val="20"/>
                <w:szCs w:val="20"/>
                <w:color w:val="auto"/>
              </w:rPr>
            </w:pPr>
            <w:r>
              <w:rPr>
                <w:rFonts w:ascii="Arial" w:cs="Arial" w:eastAsia="Arial" w:hAnsi="Arial"/>
                <w:sz w:val="16"/>
                <w:szCs w:val="16"/>
                <w:color w:val="auto"/>
              </w:rPr>
              <w:t>Nebraska Public Power</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260" w:type="dxa"/>
            <w:vAlign w:val="bottom"/>
          </w:tcPr>
          <w:p>
            <w:pPr>
              <w:ind w:left="40"/>
              <w:spacing w:after="0"/>
              <w:rPr>
                <w:sz w:val="20"/>
                <w:szCs w:val="20"/>
                <w:color w:val="auto"/>
              </w:rPr>
            </w:pPr>
            <w:r>
              <w:rPr>
                <w:rFonts w:ascii="Arial" w:cs="Arial" w:eastAsia="Arial" w:hAnsi="Arial"/>
                <w:sz w:val="14"/>
                <w:szCs w:val="14"/>
                <w:color w:val="auto"/>
              </w:rPr>
              <w:t>Elkhorn Ridge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Bloomfield, NE</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0"/>
                <w:szCs w:val="20"/>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50.3%</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March 2009</w:t>
            </w:r>
          </w:p>
        </w:tc>
        <w:tc>
          <w:tcPr>
            <w:tcW w:w="1940" w:type="dxa"/>
            <w:vAlign w:val="bottom"/>
            <w:gridSpan w:val="3"/>
          </w:tcPr>
          <w:p>
            <w:pPr>
              <w:ind w:left="40"/>
              <w:spacing w:after="0"/>
              <w:rPr>
                <w:sz w:val="20"/>
                <w:szCs w:val="20"/>
                <w:color w:val="auto"/>
              </w:rPr>
            </w:pPr>
            <w:r>
              <w:rPr>
                <w:rFonts w:ascii="Arial" w:cs="Arial" w:eastAsia="Arial" w:hAnsi="Arial"/>
                <w:sz w:val="16"/>
                <w:szCs w:val="16"/>
                <w:color w:val="auto"/>
              </w:rPr>
              <w:t>District</w:t>
            </w:r>
          </w:p>
        </w:tc>
        <w:tc>
          <w:tcPr>
            <w:tcW w:w="900" w:type="dxa"/>
            <w:vAlign w:val="bottom"/>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Constellation NewEnergy,</w:t>
            </w: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Forward</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Berlin, PA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April 2008</w:t>
            </w: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Inc.</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64"/>
        </w:trPr>
        <w:tc>
          <w:tcPr>
            <w:tcW w:w="1260" w:type="dxa"/>
            <w:vAlign w:val="bottom"/>
          </w:tcPr>
          <w:p>
            <w:pPr>
              <w:ind w:left="40"/>
              <w:spacing w:after="0"/>
              <w:rPr>
                <w:sz w:val="20"/>
                <w:szCs w:val="20"/>
                <w:color w:val="auto"/>
              </w:rPr>
            </w:pPr>
            <w:r>
              <w:rPr>
                <w:rFonts w:ascii="Arial" w:cs="Arial" w:eastAsia="Arial" w:hAnsi="Arial"/>
                <w:sz w:val="14"/>
                <w:szCs w:val="14"/>
                <w:color w:val="auto"/>
              </w:rPr>
              <w:t>Goat Wind</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Sterling City, TX</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74.9%</w:t>
            </w: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April 2008/June 2009</w:t>
            </w:r>
          </w:p>
        </w:tc>
        <w:tc>
          <w:tcPr>
            <w:tcW w:w="1940" w:type="dxa"/>
            <w:vAlign w:val="bottom"/>
            <w:gridSpan w:val="3"/>
          </w:tcPr>
          <w:p>
            <w:pPr>
              <w:ind w:left="40"/>
              <w:spacing w:after="0"/>
              <w:rPr>
                <w:sz w:val="20"/>
                <w:szCs w:val="20"/>
                <w:color w:val="auto"/>
              </w:rPr>
            </w:pPr>
            <w:r>
              <w:rPr>
                <w:rFonts w:ascii="Arial" w:cs="Arial" w:eastAsia="Arial" w:hAnsi="Arial"/>
                <w:sz w:val="14"/>
                <w:szCs w:val="14"/>
                <w:color w:val="auto"/>
              </w:rPr>
              <w:t>Dow Pipeline Company</w:t>
            </w:r>
          </w:p>
        </w:tc>
        <w:tc>
          <w:tcPr>
            <w:tcW w:w="900" w:type="dxa"/>
            <w:vAlign w:val="bottom"/>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Interstate Power and Light</w:t>
            </w: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Hardin</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Jefferson, IA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May 2007</w:t>
            </w: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Company</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57"/>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Nebraska Public Power</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Laredo Ridge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Petersburg, NE</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February 2011</w:t>
            </w:r>
          </w:p>
        </w:tc>
        <w:tc>
          <w:tcPr>
            <w:tcW w:w="1940" w:type="dxa"/>
            <w:vAlign w:val="bottom"/>
            <w:gridSpan w:val="3"/>
          </w:tcPr>
          <w:p>
            <w:pPr>
              <w:ind w:left="40"/>
              <w:spacing w:after="0"/>
              <w:rPr>
                <w:sz w:val="20"/>
                <w:szCs w:val="20"/>
                <w:color w:val="auto"/>
              </w:rPr>
            </w:pPr>
            <w:r>
              <w:rPr>
                <w:rFonts w:ascii="Arial" w:cs="Arial" w:eastAsia="Arial" w:hAnsi="Arial"/>
                <w:sz w:val="14"/>
                <w:szCs w:val="14"/>
                <w:color w:val="auto"/>
              </w:rPr>
              <w:t>District</w:t>
            </w:r>
          </w:p>
        </w:tc>
        <w:tc>
          <w:tcPr>
            <w:tcW w:w="900" w:type="dxa"/>
            <w:vAlign w:val="bottom"/>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Southern Maryland Electric</w:t>
            </w: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Lookout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Berlin, PA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October 2008</w:t>
            </w: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Cooperative</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157"/>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Missouri River Energy</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Odin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Odin, MN</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74.9%</w:t>
            </w: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June 2008</w:t>
            </w:r>
          </w:p>
        </w:tc>
        <w:tc>
          <w:tcPr>
            <w:tcW w:w="1940" w:type="dxa"/>
            <w:vAlign w:val="bottom"/>
            <w:gridSpan w:val="3"/>
          </w:tcPr>
          <w:p>
            <w:pPr>
              <w:ind w:left="40"/>
              <w:spacing w:after="0"/>
              <w:rPr>
                <w:sz w:val="20"/>
                <w:szCs w:val="20"/>
                <w:color w:val="auto"/>
              </w:rPr>
            </w:pPr>
            <w:r>
              <w:rPr>
                <w:rFonts w:ascii="Arial" w:cs="Arial" w:eastAsia="Arial" w:hAnsi="Arial"/>
                <w:sz w:val="14"/>
                <w:szCs w:val="14"/>
                <w:color w:val="auto"/>
              </w:rPr>
              <w:t>Services</w:t>
            </w:r>
          </w:p>
        </w:tc>
        <w:tc>
          <w:tcPr>
            <w:tcW w:w="900" w:type="dxa"/>
            <w:vAlign w:val="bottom"/>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Maryland Department of</w:t>
            </w: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General Services and</w:t>
            </w: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University System of</w:t>
            </w: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Pinnacle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Keyser, WV</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2011</w:t>
            </w: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57"/>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Southwestern Public</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San Juan Mesa</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Elida, NM</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December 2005</w:t>
            </w:r>
          </w:p>
        </w:tc>
        <w:tc>
          <w:tcPr>
            <w:tcW w:w="1940" w:type="dxa"/>
            <w:vAlign w:val="bottom"/>
            <w:gridSpan w:val="3"/>
          </w:tcPr>
          <w:p>
            <w:pPr>
              <w:ind w:left="40"/>
              <w:spacing w:after="0"/>
              <w:rPr>
                <w:sz w:val="20"/>
                <w:szCs w:val="20"/>
                <w:color w:val="auto"/>
              </w:rPr>
            </w:pPr>
            <w:r>
              <w:rPr>
                <w:rFonts w:ascii="Arial" w:cs="Arial" w:eastAsia="Arial" w:hAnsi="Arial"/>
                <w:sz w:val="14"/>
                <w:szCs w:val="14"/>
                <w:color w:val="auto"/>
              </w:rPr>
              <w:t>Service Company</w:t>
            </w:r>
          </w:p>
        </w:tc>
        <w:tc>
          <w:tcPr>
            <w:tcW w:w="900" w:type="dxa"/>
            <w:vAlign w:val="bottom"/>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Public Service Company of</w:t>
            </w: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Sleeping Bear</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Woodward, OK</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October 2007</w:t>
            </w: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Oklahoma</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264"/>
        </w:trPr>
        <w:tc>
          <w:tcPr>
            <w:tcW w:w="1260" w:type="dxa"/>
            <w:vAlign w:val="bottom"/>
          </w:tcPr>
          <w:p>
            <w:pPr>
              <w:ind w:left="40"/>
              <w:spacing w:after="0"/>
              <w:rPr>
                <w:sz w:val="20"/>
                <w:szCs w:val="20"/>
                <w:color w:val="auto"/>
              </w:rPr>
            </w:pPr>
            <w:r>
              <w:rPr>
                <w:rFonts w:ascii="Arial" w:cs="Arial" w:eastAsia="Arial" w:hAnsi="Arial"/>
                <w:sz w:val="14"/>
                <w:szCs w:val="14"/>
                <w:color w:val="auto"/>
              </w:rPr>
              <w:t>South Trent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Sweetwater, TX</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January 2009</w:t>
            </w:r>
          </w:p>
        </w:tc>
        <w:tc>
          <w:tcPr>
            <w:tcW w:w="1940" w:type="dxa"/>
            <w:vAlign w:val="bottom"/>
            <w:gridSpan w:val="3"/>
          </w:tcPr>
          <w:p>
            <w:pPr>
              <w:ind w:left="40"/>
              <w:spacing w:after="0"/>
              <w:rPr>
                <w:sz w:val="20"/>
                <w:szCs w:val="20"/>
                <w:color w:val="auto"/>
              </w:rPr>
            </w:pPr>
            <w:r>
              <w:rPr>
                <w:rFonts w:ascii="Arial" w:cs="Arial" w:eastAsia="Arial" w:hAnsi="Arial"/>
                <w:sz w:val="14"/>
                <w:szCs w:val="14"/>
                <w:color w:val="auto"/>
              </w:rPr>
              <w:t>AEP Energy Partners</w:t>
            </w:r>
          </w:p>
        </w:tc>
        <w:tc>
          <w:tcPr>
            <w:tcW w:w="900" w:type="dxa"/>
            <w:vAlign w:val="bottom"/>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76"/>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Spanish Fork</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Spanish Fork, UT</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July 2008</w:t>
            </w: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PacifiCorp</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57"/>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Platte River Power</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8"/>
                <w:szCs w:val="8"/>
                <w:color w:val="auto"/>
              </w:rPr>
              <w:t>(c)</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Logan County, CO</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90.1%</w:t>
            </w: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October 2014</w:t>
            </w:r>
          </w:p>
        </w:tc>
        <w:tc>
          <w:tcPr>
            <w:tcW w:w="1940" w:type="dxa"/>
            <w:vAlign w:val="bottom"/>
            <w:gridSpan w:val="3"/>
          </w:tcPr>
          <w:p>
            <w:pPr>
              <w:ind w:left="40"/>
              <w:spacing w:after="0"/>
              <w:rPr>
                <w:sz w:val="20"/>
                <w:szCs w:val="20"/>
                <w:color w:val="auto"/>
              </w:rPr>
            </w:pPr>
            <w:r>
              <w:rPr>
                <w:rFonts w:ascii="Arial" w:cs="Arial" w:eastAsia="Arial" w:hAnsi="Arial"/>
                <w:sz w:val="14"/>
                <w:szCs w:val="14"/>
                <w:color w:val="auto"/>
              </w:rPr>
              <w:t>Authority</w:t>
            </w:r>
          </w:p>
        </w:tc>
        <w:tc>
          <w:tcPr>
            <w:tcW w:w="900" w:type="dxa"/>
            <w:vAlign w:val="bottom"/>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Platte River Power</w:t>
            </w: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 xml:space="preserve">Spring Canyon III </w:t>
            </w:r>
            <w:r>
              <w:rPr>
                <w:rFonts w:ascii="Arial" w:cs="Arial" w:eastAsia="Arial" w:hAnsi="Arial"/>
                <w:sz w:val="8"/>
                <w:szCs w:val="8"/>
                <w:color w:val="auto"/>
                <w:w w:val="98"/>
              </w:rPr>
              <w:t>(c)</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Logan County, CO</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2014</w:t>
            </w: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Authority</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264"/>
        </w:trPr>
        <w:tc>
          <w:tcPr>
            <w:tcW w:w="1260" w:type="dxa"/>
            <w:vAlign w:val="bottom"/>
          </w:tcPr>
          <w:p>
            <w:pPr>
              <w:ind w:left="40"/>
              <w:spacing w:after="0"/>
              <w:rPr>
                <w:sz w:val="20"/>
                <w:szCs w:val="20"/>
                <w:color w:val="auto"/>
              </w:rPr>
            </w:pPr>
            <w:r>
              <w:rPr>
                <w:rFonts w:ascii="Arial" w:cs="Arial" w:eastAsia="Arial" w:hAnsi="Arial"/>
                <w:sz w:val="14"/>
                <w:szCs w:val="14"/>
                <w:color w:val="auto"/>
              </w:rPr>
              <w:t>Taloga</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Putnam, OK</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July 2011</w:t>
            </w:r>
          </w:p>
        </w:tc>
        <w:tc>
          <w:tcPr>
            <w:tcW w:w="1940" w:type="dxa"/>
            <w:vAlign w:val="bottom"/>
            <w:gridSpan w:val="3"/>
          </w:tcPr>
          <w:p>
            <w:pPr>
              <w:ind w:left="40"/>
              <w:spacing w:after="0"/>
              <w:rPr>
                <w:sz w:val="20"/>
                <w:szCs w:val="20"/>
                <w:color w:val="auto"/>
              </w:rPr>
            </w:pPr>
            <w:r>
              <w:rPr>
                <w:rFonts w:ascii="Arial" w:cs="Arial" w:eastAsia="Arial" w:hAnsi="Arial"/>
                <w:sz w:val="14"/>
                <w:szCs w:val="14"/>
                <w:color w:val="auto"/>
              </w:rPr>
              <w:t>Oklahoma Gas &amp; Electric</w:t>
            </w:r>
          </w:p>
        </w:tc>
        <w:tc>
          <w:tcPr>
            <w:tcW w:w="900" w:type="dxa"/>
            <w:vAlign w:val="bottom"/>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Southwestern Public</w:t>
            </w: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Wildorado</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Vega, TX</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April 2007</w:t>
            </w: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Service Company</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264"/>
        </w:trPr>
        <w:tc>
          <w:tcPr>
            <w:tcW w:w="126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i w:val="1"/>
                <w:iCs w:val="1"/>
                <w:color w:val="auto"/>
              </w:rPr>
              <w:t>Total Wind</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2,206</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1,999</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Thermal Generation</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260" w:type="dxa"/>
            <w:vAlign w:val="bottom"/>
          </w:tcPr>
          <w:p>
            <w:pPr>
              <w:ind w:left="40"/>
              <w:spacing w:after="0"/>
              <w:rPr>
                <w:sz w:val="20"/>
                <w:szCs w:val="20"/>
                <w:color w:val="auto"/>
              </w:rPr>
            </w:pPr>
            <w:r>
              <w:rPr>
                <w:rFonts w:ascii="Arial" w:cs="Arial" w:eastAsia="Arial" w:hAnsi="Arial"/>
                <w:sz w:val="14"/>
                <w:szCs w:val="14"/>
                <w:color w:val="auto"/>
              </w:rPr>
              <w:t>Dover</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Dover, DE</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June 2013</w:t>
            </w:r>
          </w:p>
        </w:tc>
        <w:tc>
          <w:tcPr>
            <w:tcW w:w="1940" w:type="dxa"/>
            <w:vAlign w:val="bottom"/>
            <w:gridSpan w:val="3"/>
          </w:tcPr>
          <w:p>
            <w:pPr>
              <w:ind w:left="40"/>
              <w:spacing w:after="0"/>
              <w:rPr>
                <w:sz w:val="20"/>
                <w:szCs w:val="20"/>
                <w:color w:val="auto"/>
              </w:rPr>
            </w:pPr>
            <w:r>
              <w:rPr>
                <w:rFonts w:ascii="Arial" w:cs="Arial" w:eastAsia="Arial" w:hAnsi="Arial"/>
                <w:sz w:val="14"/>
                <w:szCs w:val="14"/>
                <w:color w:val="auto"/>
              </w:rPr>
              <w:t>Power sold into PJM markets</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Paxton Creek Cogen</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Harrisburg, PA</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November 1986</w:t>
            </w: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Power sold into PJM markets</w:t>
            </w: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60" w:type="dxa"/>
            <w:vAlign w:val="bottom"/>
          </w:tcPr>
          <w:p>
            <w:pPr>
              <w:ind w:left="40"/>
              <w:spacing w:after="0"/>
              <w:rPr>
                <w:sz w:val="20"/>
                <w:szCs w:val="20"/>
                <w:color w:val="auto"/>
              </w:rPr>
            </w:pPr>
            <w:r>
              <w:rPr>
                <w:rFonts w:ascii="Arial" w:cs="Arial" w:eastAsia="Arial" w:hAnsi="Arial"/>
                <w:sz w:val="14"/>
                <w:szCs w:val="14"/>
                <w:color w:val="auto"/>
              </w:rPr>
              <w:t>Princeton Hospital</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Princeton, NJ</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580" w:type="dxa"/>
            <w:vAlign w:val="bottom"/>
            <w:gridSpan w:val="2"/>
          </w:tcPr>
          <w:p>
            <w:pPr>
              <w:ind w:left="40"/>
              <w:spacing w:after="0"/>
              <w:rPr>
                <w:sz w:val="20"/>
                <w:szCs w:val="20"/>
                <w:color w:val="auto"/>
              </w:rPr>
            </w:pPr>
            <w:r>
              <w:rPr>
                <w:rFonts w:ascii="Arial" w:cs="Arial" w:eastAsia="Arial" w:hAnsi="Arial"/>
                <w:sz w:val="14"/>
                <w:szCs w:val="14"/>
                <w:color w:val="auto"/>
              </w:rPr>
              <w:t>January 2012</w:t>
            </w:r>
          </w:p>
        </w:tc>
        <w:tc>
          <w:tcPr>
            <w:tcW w:w="1940" w:type="dxa"/>
            <w:vAlign w:val="bottom"/>
            <w:gridSpan w:val="3"/>
          </w:tcPr>
          <w:p>
            <w:pPr>
              <w:ind w:left="40"/>
              <w:spacing w:after="0"/>
              <w:rPr>
                <w:sz w:val="20"/>
                <w:szCs w:val="20"/>
                <w:color w:val="auto"/>
              </w:rPr>
            </w:pPr>
            <w:r>
              <w:rPr>
                <w:rFonts w:ascii="Arial" w:cs="Arial" w:eastAsia="Arial" w:hAnsi="Arial"/>
                <w:sz w:val="14"/>
                <w:szCs w:val="14"/>
                <w:color w:val="auto"/>
                <w:w w:val="93"/>
              </w:rPr>
              <w:t>Excess power sold to local utility</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Tucson Convention</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Center</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Tucson, AZ</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January 2003</w:t>
            </w:r>
          </w:p>
        </w:tc>
        <w:tc>
          <w:tcPr>
            <w:tcW w:w="1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3"/>
              </w:rPr>
              <w:t>Excess power sold to local utility</w:t>
            </w: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University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Bridgeport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Bridgeport, CT</w:t>
            </w: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Natural Gas</w:t>
            </w:r>
          </w:p>
        </w:tc>
        <w:tc>
          <w:tcPr>
            <w:tcW w:w="1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April 2015</w:t>
            </w:r>
          </w:p>
        </w:tc>
        <w:tc>
          <w:tcPr>
            <w:tcW w:w="19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University of Bridgeport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256"/>
        </w:trPr>
        <w:tc>
          <w:tcPr>
            <w:tcW w:w="3120" w:type="dxa"/>
            <w:vAlign w:val="bottom"/>
            <w:gridSpan w:val="5"/>
            <w:shd w:val="clear" w:color="auto" w:fill="CCEEFF"/>
          </w:tcPr>
          <w:p>
            <w:pPr>
              <w:ind w:left="380"/>
              <w:spacing w:after="0"/>
              <w:rPr>
                <w:sz w:val="20"/>
                <w:szCs w:val="20"/>
                <w:color w:val="auto"/>
              </w:rPr>
            </w:pPr>
            <w:r>
              <w:rPr>
                <w:rFonts w:ascii="Arial" w:cs="Arial" w:eastAsia="Arial" w:hAnsi="Arial"/>
                <w:sz w:val="16"/>
                <w:szCs w:val="16"/>
                <w:b w:val="1"/>
                <w:bCs w:val="1"/>
                <w:i w:val="1"/>
                <w:iCs w:val="1"/>
                <w:color w:val="auto"/>
              </w:rPr>
              <w:t>Total Thermal Generation</w:t>
            </w:r>
          </w:p>
        </w:tc>
        <w:tc>
          <w:tcPr>
            <w:tcW w:w="7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1860" w:type="dxa"/>
            <w:vAlign w:val="bottom"/>
            <w:gridSpan w:val="4"/>
          </w:tcPr>
          <w:p>
            <w:pPr>
              <w:ind w:left="60"/>
              <w:spacing w:after="0" w:line="237" w:lineRule="exact"/>
              <w:rPr>
                <w:sz w:val="20"/>
                <w:szCs w:val="20"/>
                <w:color w:val="auto"/>
              </w:rPr>
            </w:pPr>
            <w:r>
              <w:rPr>
                <w:rFonts w:ascii="Arial" w:cs="Arial" w:eastAsia="Arial" w:hAnsi="Arial"/>
                <w:sz w:val="16"/>
                <w:szCs w:val="16"/>
                <w:b w:val="1"/>
                <w:bCs w:val="1"/>
                <w:color w:val="auto"/>
                <w:w w:val="99"/>
              </w:rPr>
              <w:t xml:space="preserve">Total NRG Yield, Inc. </w:t>
            </w:r>
            <w:r>
              <w:rPr>
                <w:rFonts w:ascii="Arial" w:cs="Arial" w:eastAsia="Arial" w:hAnsi="Arial"/>
                <w:sz w:val="21"/>
                <w:szCs w:val="21"/>
                <w:b w:val="1"/>
                <w:bCs w:val="1"/>
                <w:color w:val="auto"/>
                <w:w w:val="99"/>
                <w:vertAlign w:val="superscript"/>
              </w:rPr>
              <w:t>(e)</w:t>
            </w: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5,523</w:t>
            </w:r>
          </w:p>
        </w:tc>
        <w:tc>
          <w:tcPr>
            <w:tcW w:w="120" w:type="dxa"/>
            <w:vAlign w:val="bottom"/>
          </w:tcPr>
          <w:p>
            <w:pPr>
              <w:spacing w:after="0"/>
              <w:rPr>
                <w:sz w:val="20"/>
                <w:szCs w:val="20"/>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4,559</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Net capacity represents the maximum, or rated, generating capacity of the facility multiplied by the Company's percentage ownership in the facility as of December 31, 2015.</w:t>
      </w: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On September 30, 2015, the Company acquired NRG's remaining 0.05% for an immaterial amount.</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 xml:space="preserve">Projects are part of tax equity arrangements, as further described in Note 2, </w:t>
      </w:r>
      <w:r>
        <w:rPr>
          <w:rFonts w:ascii="Arial" w:cs="Arial" w:eastAsia="Arial" w:hAnsi="Arial"/>
          <w:sz w:val="14"/>
          <w:szCs w:val="14"/>
          <w:i w:val="1"/>
          <w:iCs w:val="1"/>
          <w:color w:val="auto"/>
        </w:rPr>
        <w:t>Summary of Significant Accounting Policies,</w:t>
      </w:r>
    </w:p>
    <w:p>
      <w:pPr>
        <w:spacing w:after="0" w:line="9" w:lineRule="exact"/>
        <w:rPr>
          <w:rFonts w:ascii="Arial" w:cs="Arial" w:eastAsia="Arial" w:hAnsi="Arial"/>
          <w:sz w:val="9"/>
          <w:szCs w:val="9"/>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PPA began on January 1, 2016.</w:t>
      </w:r>
    </w:p>
    <w:p>
      <w:pPr>
        <w:spacing w:after="0" w:line="14" w:lineRule="exact"/>
        <w:rPr>
          <w:rFonts w:ascii="Arial" w:cs="Arial" w:eastAsia="Arial" w:hAnsi="Arial"/>
          <w:sz w:val="9"/>
          <w:szCs w:val="9"/>
          <w:color w:val="auto"/>
        </w:rPr>
      </w:pPr>
    </w:p>
    <w:p>
      <w:pPr>
        <w:ind w:firstLine="8"/>
        <w:spacing w:after="0" w:line="263" w:lineRule="auto"/>
        <w:tabs>
          <w:tab w:leader="none" w:pos="122" w:val="left"/>
        </w:tabs>
        <w:numPr>
          <w:ilvl w:val="0"/>
          <w:numId w:val="11"/>
        </w:numPr>
        <w:rPr>
          <w:rFonts w:ascii="Arial" w:cs="Arial" w:eastAsia="Arial" w:hAnsi="Arial"/>
          <w:sz w:val="9"/>
          <w:szCs w:val="9"/>
          <w:color w:val="auto"/>
        </w:rPr>
      </w:pPr>
      <w:r>
        <w:rPr>
          <w:rFonts w:ascii="Arial" w:cs="Arial" w:eastAsia="Arial" w:hAnsi="Arial"/>
          <w:sz w:val="14"/>
          <w:szCs w:val="14"/>
          <w:color w:val="auto"/>
        </w:rPr>
        <w:t xml:space="preserve">Total net capacity excludes capacity for RPV Holdco and DGPV Holdco, which are consolidated by NRG, as further described in Note 5, </w:t>
      </w:r>
      <w:r>
        <w:rPr>
          <w:rFonts w:ascii="Arial" w:cs="Arial" w:eastAsia="Arial" w:hAnsi="Arial"/>
          <w:sz w:val="14"/>
          <w:szCs w:val="14"/>
          <w:i w:val="1"/>
          <w:iCs w:val="1"/>
          <w:color w:val="auto"/>
        </w:rPr>
        <w:t>Investments Accounted for by the Equity Method and</w:t>
      </w:r>
      <w:r>
        <w:rPr>
          <w:rFonts w:ascii="Arial" w:cs="Arial" w:eastAsia="Arial" w:hAnsi="Arial"/>
          <w:sz w:val="14"/>
          <w:szCs w:val="14"/>
          <w:color w:val="auto"/>
        </w:rPr>
        <w:t xml:space="preserve"> </w:t>
      </w:r>
      <w:r>
        <w:rPr>
          <w:rFonts w:ascii="Arial" w:cs="Arial" w:eastAsia="Arial" w:hAnsi="Arial"/>
          <w:sz w:val="14"/>
          <w:szCs w:val="14"/>
          <w:i w:val="1"/>
          <w:iCs w:val="1"/>
          <w:color w:val="auto"/>
        </w:rPr>
        <w:t>Variable Interest Entities</w:t>
      </w:r>
      <w:r>
        <w:rPr>
          <w:rFonts w:ascii="Arial" w:cs="Arial" w:eastAsia="Arial" w:hAnsi="Arial"/>
          <w:sz w:val="14"/>
          <w:szCs w:val="14"/>
          <w:color w:val="auto"/>
        </w:rPr>
        <w: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058" w:right="239" w:bottom="1440" w:gutter="0" w:footer="0" w:header="0"/>
        </w:sectPr>
      </w:pPr>
    </w:p>
    <w:bookmarkStart w:id="30" w:name="page31"/>
    <w:bookmarkEnd w:id="30"/>
    <w:p>
      <w:pPr>
        <w:ind w:right="240" w:firstLine="405"/>
        <w:spacing w:after="0" w:line="342" w:lineRule="auto"/>
        <w:rPr>
          <w:sz w:val="20"/>
          <w:szCs w:val="20"/>
          <w:color w:val="auto"/>
        </w:rPr>
      </w:pPr>
      <w:r>
        <w:rPr>
          <w:rFonts w:ascii="Arial" w:cs="Arial" w:eastAsia="Arial" w:hAnsi="Arial"/>
          <w:sz w:val="16"/>
          <w:szCs w:val="16"/>
          <w:color w:val="auto"/>
        </w:rPr>
        <w:t>During the year ended December 31, 2015, the Company entered into a partnership agreement with NRG, the purpose of which is to own or purchase solar power generation projects and other ancillary related assets in the U.S. from NRG Renew DG Holdings LLC, as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276225</wp:posOffset>
            </wp:positionV>
            <wp:extent cx="2058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3"/>
          </w:tcPr>
          <w:p>
            <w:pPr>
              <w:ind w:left="1220"/>
              <w:spacing w:after="0"/>
              <w:rPr>
                <w:sz w:val="20"/>
                <w:szCs w:val="20"/>
                <w:color w:val="auto"/>
              </w:rPr>
            </w:pPr>
            <w:r>
              <w:rPr>
                <w:rFonts w:ascii="Arial" w:cs="Arial" w:eastAsia="Arial" w:hAnsi="Arial"/>
                <w:sz w:val="16"/>
                <w:szCs w:val="16"/>
                <w:b w:val="1"/>
                <w:bCs w:val="1"/>
                <w:color w:val="auto"/>
              </w:rPr>
              <w:t>PPA Terms</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Rated MW</w:t>
            </w: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9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Tax-equity projects</w:t>
            </w:r>
          </w:p>
        </w:tc>
        <w:tc>
          <w:tcPr>
            <w:tcW w:w="1020" w:type="dxa"/>
            <w:vAlign w:val="bottom"/>
            <w:gridSpan w:val="2"/>
            <w:vMerge w:val="continue"/>
          </w:tcPr>
          <w:p>
            <w:pPr>
              <w:spacing w:after="0"/>
              <w:rPr>
                <w:sz w:val="17"/>
                <w:szCs w:val="17"/>
                <w:color w:val="auto"/>
              </w:rPr>
            </w:pPr>
          </w:p>
        </w:tc>
        <w:tc>
          <w:tcPr>
            <w:tcW w:w="900" w:type="dxa"/>
            <w:vAlign w:val="bottom"/>
            <w:vMerge w:val="restart"/>
          </w:tcPr>
          <w:p>
            <w:pPr>
              <w:jc w:val="right"/>
              <w:ind w:right="226"/>
              <w:spacing w:after="0"/>
              <w:rPr>
                <w:sz w:val="20"/>
                <w:szCs w:val="20"/>
                <w:color w:val="auto"/>
              </w:rPr>
            </w:pPr>
            <w:r>
              <w:rPr>
                <w:rFonts w:ascii="Arial" w:cs="Arial" w:eastAsia="Arial" w:hAnsi="Arial"/>
                <w:sz w:val="16"/>
                <w:szCs w:val="16"/>
                <w:b w:val="1"/>
                <w:bCs w:val="1"/>
                <w:color w:val="auto"/>
              </w:rPr>
              <w:t>Sites</w:t>
            </w:r>
          </w:p>
        </w:tc>
        <w:tc>
          <w:tcPr>
            <w:tcW w:w="100" w:type="dxa"/>
            <w:vAlign w:val="bottom"/>
          </w:tcPr>
          <w:p>
            <w:pPr>
              <w:spacing w:after="0"/>
              <w:rPr>
                <w:sz w:val="17"/>
                <w:szCs w:val="17"/>
                <w:color w:val="auto"/>
              </w:rPr>
            </w:pPr>
          </w:p>
        </w:tc>
        <w:tc>
          <w:tcPr>
            <w:tcW w:w="100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COD</w:t>
            </w:r>
          </w:p>
        </w:tc>
        <w:tc>
          <w:tcPr>
            <w:tcW w:w="100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Fuel</w:t>
            </w:r>
          </w:p>
        </w:tc>
        <w:tc>
          <w:tcPr>
            <w:tcW w:w="168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Counterparty</w:t>
            </w:r>
          </w:p>
        </w:tc>
        <w:tc>
          <w:tcPr>
            <w:tcW w:w="156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rPr>
                <w:sz w:val="1"/>
                <w:szCs w:val="1"/>
                <w:color w:val="auto"/>
              </w:rPr>
            </w:pPr>
          </w:p>
        </w:tc>
      </w:tr>
      <w:tr>
        <w:trPr>
          <w:trHeight w:val="140"/>
        </w:trPr>
        <w:tc>
          <w:tcPr>
            <w:tcW w:w="3940" w:type="dxa"/>
            <w:vAlign w:val="bottom"/>
            <w:gridSpan w:val="2"/>
            <w:vMerge w:val="continue"/>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(a)</w:t>
            </w: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Various commercial,</w:t>
            </w: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Community solar projects</w:t>
            </w:r>
          </w:p>
        </w:tc>
        <w:tc>
          <w:tcPr>
            <w:tcW w:w="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646"/>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Q3 2015</w:t>
            </w: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Solar</w:t>
            </w:r>
          </w:p>
        </w:tc>
        <w:tc>
          <w:tcPr>
            <w:tcW w:w="16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residential and</w:t>
            </w:r>
          </w:p>
        </w:tc>
        <w:tc>
          <w:tcPr>
            <w:tcW w:w="15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94"/>
        </w:trPr>
        <w:tc>
          <w:tcPr>
            <w:tcW w:w="3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government entities</w:t>
            </w: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color w:val="auto"/>
              </w:rPr>
              <w:t>Commercial photovoltaic projects</w:t>
            </w:r>
          </w:p>
        </w:tc>
        <w:tc>
          <w:tcPr>
            <w:tcW w:w="900" w:type="dxa"/>
            <w:vAlign w:val="bottom"/>
            <w:vMerge w:val="restart"/>
          </w:tcPr>
          <w:p>
            <w:pPr>
              <w:ind w:left="20"/>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3"/>
                <w:szCs w:val="13"/>
                <w:color w:val="auto"/>
              </w:rPr>
            </w:pPr>
          </w:p>
        </w:tc>
        <w:tc>
          <w:tcPr>
            <w:tcW w:w="900" w:type="dxa"/>
            <w:vAlign w:val="bottom"/>
            <w:vMerge w:val="restart"/>
          </w:tcPr>
          <w:p>
            <w:pPr>
              <w:jc w:val="right"/>
              <w:ind w:right="646"/>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10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Q3 2015-Q1</w:t>
            </w:r>
          </w:p>
        </w:tc>
        <w:tc>
          <w:tcPr>
            <w:tcW w:w="1000" w:type="dxa"/>
            <w:vAlign w:val="bottom"/>
            <w:gridSpan w:val="2"/>
            <w:vMerge w:val="restart"/>
          </w:tcPr>
          <w:p>
            <w:pPr>
              <w:ind w:left="560"/>
              <w:spacing w:after="0"/>
              <w:rPr>
                <w:sz w:val="20"/>
                <w:szCs w:val="20"/>
                <w:color w:val="auto"/>
              </w:rPr>
            </w:pPr>
            <w:r>
              <w:rPr>
                <w:rFonts w:ascii="Arial" w:cs="Arial" w:eastAsia="Arial" w:hAnsi="Arial"/>
                <w:sz w:val="14"/>
                <w:szCs w:val="14"/>
                <w:color w:val="auto"/>
              </w:rPr>
              <w:t>Solar</w:t>
            </w:r>
          </w:p>
        </w:tc>
        <w:tc>
          <w:tcPr>
            <w:tcW w:w="16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Various commercial and</w:t>
            </w:r>
          </w:p>
        </w:tc>
        <w:tc>
          <w:tcPr>
            <w:tcW w:w="1560" w:type="dxa"/>
            <w:vAlign w:val="bottom"/>
            <w:vMerge w:val="restart"/>
          </w:tcPr>
          <w:p>
            <w:pPr>
              <w:ind w:left="20"/>
              <w:spacing w:after="0"/>
              <w:rPr>
                <w:sz w:val="20"/>
                <w:szCs w:val="20"/>
                <w:color w:val="auto"/>
              </w:rPr>
            </w:pPr>
            <w:r>
              <w:rPr>
                <w:rFonts w:ascii="Arial" w:cs="Arial" w:eastAsia="Arial" w:hAnsi="Arial"/>
                <w:sz w:val="14"/>
                <w:szCs w:val="14"/>
                <w:color w:val="auto"/>
              </w:rPr>
              <w:t>2030-2035</w:t>
            </w:r>
          </w:p>
        </w:tc>
        <w:tc>
          <w:tcPr>
            <w:tcW w:w="0" w:type="dxa"/>
            <w:vAlign w:val="bottom"/>
          </w:tcPr>
          <w:p>
            <w:pPr>
              <w:spacing w:after="0"/>
              <w:rPr>
                <w:sz w:val="1"/>
                <w:szCs w:val="1"/>
                <w:color w:val="auto"/>
              </w:rPr>
            </w:pPr>
          </w:p>
        </w:tc>
      </w:tr>
      <w:tr>
        <w:trPr>
          <w:trHeight w:val="101"/>
        </w:trPr>
        <w:tc>
          <w:tcPr>
            <w:tcW w:w="39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government entities</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8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0" w:type="dxa"/>
            <w:vAlign w:val="bottom"/>
            <w:tcBorders>
              <w:bottom w:val="single" w:sz="8" w:color="CCEEFF"/>
            </w:tcBorders>
            <w:gridSpan w:val="2"/>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9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80" w:type="dxa"/>
            <w:vAlign w:val="bottom"/>
            <w:tcBorders>
              <w:bottom w:val="single" w:sz="8" w:color="CCEEFF"/>
            </w:tcBorders>
            <w:gridSpan w:val="2"/>
            <w:vMerge w:val="continue"/>
          </w:tcPr>
          <w:p>
            <w:pPr>
              <w:spacing w:after="0"/>
              <w:rPr>
                <w:sz w:val="7"/>
                <w:szCs w:val="7"/>
                <w:color w:val="auto"/>
              </w:rPr>
            </w:pPr>
          </w:p>
        </w:tc>
        <w:tc>
          <w:tcPr>
            <w:tcW w:w="156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9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b w:val="1"/>
                <w:bCs w:val="1"/>
                <w:i w:val="1"/>
                <w:iCs w:val="1"/>
                <w:color w:val="auto"/>
              </w:rPr>
              <w:t>Total distributed generation tax equity projects</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46"/>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414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200" w:firstLine="8"/>
        <w:spacing w:after="0" w:line="379" w:lineRule="auto"/>
        <w:tabs>
          <w:tab w:leader="none" w:pos="136" w:val="left"/>
        </w:tabs>
        <w:numPr>
          <w:ilvl w:val="0"/>
          <w:numId w:val="12"/>
        </w:numPr>
        <w:rPr>
          <w:rFonts w:ascii="Arial" w:cs="Arial" w:eastAsia="Arial" w:hAnsi="Arial"/>
          <w:sz w:val="15"/>
          <w:szCs w:val="15"/>
          <w:color w:val="auto"/>
          <w:vertAlign w:val="superscript"/>
        </w:rPr>
      </w:pPr>
      <w:r>
        <w:rPr>
          <w:rFonts w:ascii="Arial" w:cs="Arial" w:eastAsia="Arial" w:hAnsi="Arial"/>
          <w:sz w:val="12"/>
          <w:szCs w:val="12"/>
          <w:color w:val="auto"/>
        </w:rPr>
        <w:t xml:space="preserve">Represents </w:t>
      </w:r>
      <w:r>
        <w:rPr>
          <w:rFonts w:ascii="Arial" w:cs="Arial" w:eastAsia="Arial" w:hAnsi="Arial"/>
          <w:sz w:val="13"/>
          <w:szCs w:val="13"/>
          <w:color w:val="auto"/>
        </w:rPr>
        <w:t>maximum generating capacity at standard test conditions of a facility multiplied by the Company's percentage ownership of that facility, disregarding any equity</w:t>
      </w:r>
      <w:r>
        <w:rPr>
          <w:rFonts w:ascii="Arial" w:cs="Arial" w:eastAsia="Arial" w:hAnsi="Arial"/>
          <w:sz w:val="12"/>
          <w:szCs w:val="12"/>
          <w:color w:val="auto"/>
        </w:rPr>
        <w:t xml:space="preserve"> </w:t>
      </w:r>
      <w:r>
        <w:rPr>
          <w:rFonts w:ascii="Arial" w:cs="Arial" w:eastAsia="Arial" w:hAnsi="Arial"/>
          <w:sz w:val="13"/>
          <w:szCs w:val="13"/>
          <w:color w:val="auto"/>
        </w:rPr>
        <w:t>interests held by any tax equity investor, any lessor under sale-leaseback financing, or any non-controlling interests in a partnership.</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thermal steam and chilled water facilities as of December 31, 2015:</w:t>
      </w:r>
    </w:p>
    <w:p>
      <w:pPr>
        <w:sectPr>
          <w:pgSz w:w="11900" w:h="16838" w:orient="portrait"/>
          <w:cols w:equalWidth="0" w:num="1">
            <w:col w:w="11420"/>
          </w:cols>
          <w:pgMar w:left="240" w:top="93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Name and Location of Facility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5"/>
          <w:szCs w:val="15"/>
          <w:color w:val="auto"/>
        </w:rPr>
        <w:t>NRG Energy Center Minneapolis, MN</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4"/>
          <w:szCs w:val="14"/>
          <w:color w:val="auto"/>
        </w:rPr>
        <w:t>NRG Energy Center San Francisco, 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 Owned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100.0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100.0</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Megawatt</w:t>
            </w:r>
          </w:p>
        </w:tc>
        <w:tc>
          <w:tcPr>
            <w:tcW w:w="2280" w:type="dxa"/>
            <w:vAlign w:val="bottom"/>
          </w:tcPr>
          <w:p>
            <w:pPr>
              <w:spacing w:after="0"/>
              <w:rPr>
                <w:sz w:val="17"/>
                <w:szCs w:val="17"/>
                <w:color w:val="auto"/>
              </w:rPr>
            </w:pPr>
          </w:p>
        </w:tc>
      </w:tr>
      <w:tr>
        <w:trPr>
          <w:trHeight w:val="203"/>
        </w:trPr>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Thermal</w:t>
            </w:r>
          </w:p>
        </w:tc>
        <w:tc>
          <w:tcPr>
            <w:tcW w:w="2280" w:type="dxa"/>
            <w:vAlign w:val="bottom"/>
          </w:tcPr>
          <w:p>
            <w:pPr>
              <w:spacing w:after="0"/>
              <w:rPr>
                <w:sz w:val="17"/>
                <w:szCs w:val="17"/>
                <w:color w:val="auto"/>
              </w:rPr>
            </w:pPr>
          </w:p>
        </w:tc>
      </w:tr>
      <w:tr>
        <w:trPr>
          <w:trHeight w:val="203"/>
        </w:trPr>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Equivalent</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4"/>
              </w:rPr>
              <w:t>Generating</w:t>
            </w:r>
          </w:p>
        </w:tc>
      </w:tr>
      <w:tr>
        <w:trPr>
          <w:trHeight w:val="210"/>
        </w:trPr>
        <w:tc>
          <w:tcPr>
            <w:tcW w:w="3060" w:type="dxa"/>
            <w:vAlign w:val="bottom"/>
            <w:gridSpan w:val="2"/>
          </w:tcPr>
          <w:p>
            <w:pPr>
              <w:ind w:left="520"/>
              <w:spacing w:after="0"/>
              <w:rPr>
                <w:sz w:val="20"/>
                <w:szCs w:val="20"/>
                <w:color w:val="auto"/>
              </w:rPr>
            </w:pPr>
            <w:r>
              <w:rPr>
                <w:rFonts w:ascii="Arial" w:cs="Arial" w:eastAsia="Arial" w:hAnsi="Arial"/>
                <w:sz w:val="16"/>
                <w:szCs w:val="16"/>
                <w:b w:val="1"/>
                <w:bCs w:val="1"/>
                <w:color w:val="auto"/>
              </w:rPr>
              <w:t>Thermal Energy Purchaser</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Capacity (MWt)</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2"/>
              </w:rPr>
              <w:t>Capacity</w:t>
            </w:r>
          </w:p>
        </w:tc>
      </w:tr>
      <w:tr>
        <w:trPr>
          <w:trHeight w:val="33"/>
        </w:trPr>
        <w:tc>
          <w:tcPr>
            <w:tcW w:w="2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13"/>
        </w:trPr>
        <w:tc>
          <w:tcPr>
            <w:tcW w:w="3060" w:type="dxa"/>
            <w:vAlign w:val="bottom"/>
            <w:gridSpan w:val="2"/>
          </w:tcPr>
          <w:p>
            <w:pPr>
              <w:ind w:left="20"/>
              <w:spacing w:after="0"/>
              <w:rPr>
                <w:sz w:val="20"/>
                <w:szCs w:val="20"/>
                <w:color w:val="auto"/>
              </w:rPr>
            </w:pPr>
            <w:r>
              <w:rPr>
                <w:rFonts w:ascii="Arial" w:cs="Arial" w:eastAsia="Arial" w:hAnsi="Arial"/>
                <w:sz w:val="16"/>
                <w:szCs w:val="16"/>
                <w:color w:val="auto"/>
              </w:rPr>
              <w:t>Approx. 100 steam and 50 chilled water</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322</w:t>
            </w:r>
          </w:p>
        </w:tc>
        <w:tc>
          <w:tcPr>
            <w:tcW w:w="120" w:type="dxa"/>
            <w:vAlign w:val="bottom"/>
          </w:tcPr>
          <w:p>
            <w:pPr>
              <w:spacing w:after="0"/>
              <w:rPr>
                <w:sz w:val="18"/>
                <w:szCs w:val="18"/>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Steam: 1,100 MMBtu/hr.</w:t>
            </w:r>
          </w:p>
        </w:tc>
      </w:tr>
      <w:tr>
        <w:trPr>
          <w:trHeight w:val="206"/>
        </w:trPr>
        <w:tc>
          <w:tcPr>
            <w:tcW w:w="3060" w:type="dxa"/>
            <w:vAlign w:val="bottom"/>
            <w:gridSpan w:val="2"/>
          </w:tcPr>
          <w:p>
            <w:pPr>
              <w:ind w:left="20"/>
              <w:spacing w:after="0"/>
              <w:rPr>
                <w:sz w:val="20"/>
                <w:szCs w:val="20"/>
                <w:color w:val="auto"/>
              </w:rPr>
            </w:pPr>
            <w:r>
              <w:rPr>
                <w:rFonts w:ascii="Arial" w:cs="Arial" w:eastAsia="Arial" w:hAnsi="Arial"/>
                <w:sz w:val="16"/>
                <w:szCs w:val="16"/>
                <w:color w:val="auto"/>
              </w:rPr>
              <w:t>customers</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136</w:t>
            </w:r>
          </w:p>
        </w:tc>
        <w:tc>
          <w:tcPr>
            <w:tcW w:w="120" w:type="dxa"/>
            <w:vAlign w:val="bottom"/>
          </w:tcPr>
          <w:p>
            <w:pPr>
              <w:spacing w:after="0"/>
              <w:rPr>
                <w:sz w:val="17"/>
                <w:szCs w:val="17"/>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Chilled water: 38,700 tons</w:t>
            </w:r>
          </w:p>
        </w:tc>
      </w:tr>
      <w:tr>
        <w:trPr>
          <w:trHeight w:val="257"/>
        </w:trPr>
        <w:tc>
          <w:tcPr>
            <w:tcW w:w="3060" w:type="dxa"/>
            <w:vAlign w:val="bottom"/>
            <w:gridSpan w:val="2"/>
          </w:tcPr>
          <w:p>
            <w:pPr>
              <w:ind w:left="20"/>
              <w:spacing w:after="0"/>
              <w:rPr>
                <w:sz w:val="20"/>
                <w:szCs w:val="20"/>
                <w:color w:val="auto"/>
              </w:rPr>
            </w:pPr>
            <w:r>
              <w:rPr>
                <w:rFonts w:ascii="Arial" w:cs="Arial" w:eastAsia="Arial" w:hAnsi="Arial"/>
                <w:sz w:val="16"/>
                <w:szCs w:val="16"/>
                <w:color w:val="auto"/>
              </w:rPr>
              <w:t>Approx. 180 steam customers</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133</w:t>
            </w:r>
          </w:p>
        </w:tc>
        <w:tc>
          <w:tcPr>
            <w:tcW w:w="120" w:type="dxa"/>
            <w:vAlign w:val="bottom"/>
          </w:tcPr>
          <w:p>
            <w:pPr>
              <w:spacing w:after="0"/>
              <w:rPr>
                <w:sz w:val="22"/>
                <w:szCs w:val="22"/>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Steam: 454 MMBtu/hr.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-441325</wp:posOffset>
            </wp:positionV>
            <wp:extent cx="724662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3">
            <w:col w:w="2760" w:space="720"/>
            <w:col w:w="720" w:space="180"/>
            <w:col w:w="7040"/>
          </w:cols>
          <w:pgMar w:left="240" w:top="935"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2920" w:type="dxa"/>
            <w:vAlign w:val="bottom"/>
            <w:shd w:val="clear" w:color="auto" w:fill="CCEEFF"/>
          </w:tcPr>
          <w:p>
            <w:pPr>
              <w:spacing w:after="0"/>
              <w:rPr>
                <w:sz w:val="19"/>
                <w:szCs w:val="19"/>
                <w:color w:val="auto"/>
              </w:rPr>
            </w:pPr>
          </w:p>
        </w:tc>
        <w:tc>
          <w:tcPr>
            <w:tcW w:w="12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100.0</w:t>
            </w:r>
          </w:p>
        </w:tc>
        <w:tc>
          <w:tcPr>
            <w:tcW w:w="33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89"/>
              </w:rPr>
              <w:t>142</w:t>
            </w:r>
          </w:p>
        </w:tc>
        <w:tc>
          <w:tcPr>
            <w:tcW w:w="116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0"/>
              </w:rPr>
              <w:t>Steam: 485</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MMBtu/hr</w:t>
            </w:r>
          </w:p>
        </w:tc>
        <w:tc>
          <w:tcPr>
            <w:tcW w:w="0" w:type="dxa"/>
            <w:vAlign w:val="bottom"/>
          </w:tcPr>
          <w:p>
            <w:pPr>
              <w:spacing w:after="0"/>
              <w:rPr>
                <w:sz w:val="1"/>
                <w:szCs w:val="1"/>
                <w:color w:val="auto"/>
              </w:rPr>
            </w:pPr>
          </w:p>
        </w:tc>
      </w:tr>
      <w:tr>
        <w:trPr>
          <w:trHeight w:val="203"/>
        </w:trPr>
        <w:tc>
          <w:tcPr>
            <w:tcW w:w="29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NRG Energy Center Omaha, NE</w:t>
            </w:r>
          </w:p>
        </w:tc>
        <w:tc>
          <w:tcPr>
            <w:tcW w:w="1220" w:type="dxa"/>
            <w:vAlign w:val="bottom"/>
            <w:shd w:val="clear" w:color="auto" w:fill="CCEEFF"/>
          </w:tcPr>
          <w:p>
            <w:pPr>
              <w:ind w:left="560"/>
              <w:spacing w:after="0" w:line="203" w:lineRule="exact"/>
              <w:rPr>
                <w:sz w:val="20"/>
                <w:szCs w:val="20"/>
                <w:color w:val="auto"/>
              </w:rPr>
            </w:pPr>
            <w:r>
              <w:rPr>
                <w:rFonts w:ascii="Arial" w:cs="Arial" w:eastAsia="Arial" w:hAnsi="Arial"/>
                <w:sz w:val="16"/>
                <w:szCs w:val="16"/>
                <w:color w:val="auto"/>
              </w:rPr>
              <w:t>12.0</w:t>
            </w:r>
            <w:r>
              <w:rPr>
                <w:rFonts w:ascii="Arial" w:cs="Arial" w:eastAsia="Arial" w:hAnsi="Arial"/>
                <w:sz w:val="21"/>
                <w:szCs w:val="21"/>
                <w:color w:val="auto"/>
                <w:vertAlign w:val="superscript"/>
              </w:rPr>
              <w:t>(a)</w:t>
            </w:r>
          </w:p>
        </w:tc>
        <w:tc>
          <w:tcPr>
            <w:tcW w:w="3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Approx. 60 steam and 60 chilled water</w:t>
            </w:r>
          </w:p>
        </w:tc>
        <w:tc>
          <w:tcPr>
            <w:tcW w:w="12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89"/>
              </w:rPr>
              <w:t>73</w:t>
            </w:r>
          </w:p>
        </w:tc>
        <w:tc>
          <w:tcPr>
            <w:tcW w:w="116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0"/>
              </w:rPr>
              <w:t>Steam: 250</w:t>
            </w:r>
          </w:p>
        </w:tc>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MMBtu/hr</w:t>
            </w:r>
          </w:p>
        </w:tc>
        <w:tc>
          <w:tcPr>
            <w:tcW w:w="0" w:type="dxa"/>
            <w:vAlign w:val="bottom"/>
          </w:tcPr>
          <w:p>
            <w:pPr>
              <w:spacing w:after="0"/>
              <w:rPr>
                <w:sz w:val="1"/>
                <w:szCs w:val="1"/>
                <w:color w:val="auto"/>
              </w:rPr>
            </w:pPr>
          </w:p>
        </w:tc>
      </w:tr>
      <w:tr>
        <w:trPr>
          <w:trHeight w:val="98"/>
        </w:trPr>
        <w:tc>
          <w:tcPr>
            <w:tcW w:w="2920" w:type="dxa"/>
            <w:vAlign w:val="bottom"/>
            <w:vMerge w:val="continue"/>
            <w:shd w:val="clear" w:color="auto" w:fill="CCEEFF"/>
          </w:tcPr>
          <w:p>
            <w:pPr>
              <w:spacing w:after="0"/>
              <w:rPr>
                <w:sz w:val="8"/>
                <w:szCs w:val="8"/>
                <w:color w:val="auto"/>
              </w:rPr>
            </w:pPr>
          </w:p>
        </w:tc>
        <w:tc>
          <w:tcPr>
            <w:tcW w:w="1220" w:type="dxa"/>
            <w:vAlign w:val="bottom"/>
            <w:vMerge w:val="restart"/>
            <w:shd w:val="clear" w:color="auto" w:fill="CCEEFF"/>
          </w:tcPr>
          <w:p>
            <w:pPr>
              <w:ind w:left="560"/>
              <w:spacing w:after="0"/>
              <w:rPr>
                <w:sz w:val="20"/>
                <w:szCs w:val="20"/>
                <w:color w:val="auto"/>
              </w:rPr>
            </w:pPr>
            <w:r>
              <w:rPr>
                <w:rFonts w:ascii="Arial" w:cs="Arial" w:eastAsia="Arial" w:hAnsi="Arial"/>
                <w:sz w:val="16"/>
                <w:szCs w:val="16"/>
                <w:color w:val="auto"/>
              </w:rPr>
              <w:t>100.0</w:t>
            </w:r>
          </w:p>
        </w:tc>
        <w:tc>
          <w:tcPr>
            <w:tcW w:w="3380" w:type="dxa"/>
            <w:vAlign w:val="bottom"/>
            <w:vMerge w:val="restart"/>
            <w:shd w:val="clear" w:color="auto" w:fill="CCEEFF"/>
          </w:tcPr>
          <w:p>
            <w:pPr>
              <w:ind w:left="260"/>
              <w:spacing w:after="0"/>
              <w:rPr>
                <w:sz w:val="20"/>
                <w:szCs w:val="20"/>
                <w:color w:val="auto"/>
              </w:rPr>
            </w:pPr>
            <w:r>
              <w:rPr>
                <w:rFonts w:ascii="Arial" w:cs="Arial" w:eastAsia="Arial" w:hAnsi="Arial"/>
                <w:sz w:val="16"/>
                <w:szCs w:val="16"/>
                <w:color w:val="auto"/>
              </w:rPr>
              <w:t>customers</w:t>
            </w:r>
          </w:p>
        </w:tc>
        <w:tc>
          <w:tcPr>
            <w:tcW w:w="1240" w:type="dxa"/>
            <w:vAlign w:val="bottom"/>
            <w:vMerge w:val="restart"/>
            <w:shd w:val="clear" w:color="auto" w:fill="CCEEFF"/>
          </w:tcPr>
          <w:p>
            <w:pPr>
              <w:jc w:val="center"/>
              <w:ind w:left="119"/>
              <w:spacing w:after="0"/>
              <w:rPr>
                <w:sz w:val="20"/>
                <w:szCs w:val="20"/>
                <w:color w:val="auto"/>
              </w:rPr>
            </w:pPr>
            <w:r>
              <w:rPr>
                <w:rFonts w:ascii="Arial" w:cs="Arial" w:eastAsia="Arial" w:hAnsi="Arial"/>
                <w:sz w:val="16"/>
                <w:szCs w:val="16"/>
                <w:color w:val="auto"/>
                <w:w w:val="89"/>
              </w:rPr>
              <w:t>77</w:t>
            </w:r>
          </w:p>
        </w:tc>
        <w:tc>
          <w:tcPr>
            <w:tcW w:w="266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Chilled water: 22,000 tons</w:t>
            </w:r>
          </w:p>
        </w:tc>
        <w:tc>
          <w:tcPr>
            <w:tcW w:w="0" w:type="dxa"/>
            <w:vAlign w:val="bottom"/>
          </w:tcPr>
          <w:p>
            <w:pPr>
              <w:spacing w:after="0"/>
              <w:rPr>
                <w:sz w:val="1"/>
                <w:szCs w:val="1"/>
                <w:color w:val="auto"/>
              </w:rPr>
            </w:pPr>
          </w:p>
        </w:tc>
      </w:tr>
      <w:tr>
        <w:trPr>
          <w:trHeight w:val="104"/>
        </w:trPr>
        <w:tc>
          <w:tcPr>
            <w:tcW w:w="2920" w:type="dxa"/>
            <w:vAlign w:val="bottom"/>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3380" w:type="dxa"/>
            <w:vAlign w:val="bottom"/>
            <w:vMerge w:val="continue"/>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26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920" w:type="dxa"/>
            <w:vAlign w:val="bottom"/>
            <w:shd w:val="clear" w:color="auto" w:fill="CCEEFF"/>
          </w:tcPr>
          <w:p>
            <w:pPr>
              <w:spacing w:after="0"/>
              <w:rPr>
                <w:sz w:val="20"/>
                <w:szCs w:val="20"/>
                <w:color w:val="auto"/>
              </w:rPr>
            </w:pPr>
          </w:p>
        </w:tc>
        <w:tc>
          <w:tcPr>
            <w:tcW w:w="1220" w:type="dxa"/>
            <w:vAlign w:val="bottom"/>
            <w:shd w:val="clear" w:color="auto" w:fill="CCEEFF"/>
          </w:tcPr>
          <w:p>
            <w:pPr>
              <w:ind w:left="560"/>
              <w:spacing w:after="0" w:line="240" w:lineRule="exact"/>
              <w:rPr>
                <w:sz w:val="20"/>
                <w:szCs w:val="20"/>
                <w:color w:val="auto"/>
              </w:rPr>
            </w:pPr>
            <w:r>
              <w:rPr>
                <w:rFonts w:ascii="Arial" w:cs="Arial" w:eastAsia="Arial" w:hAnsi="Arial"/>
                <w:sz w:val="27"/>
                <w:szCs w:val="27"/>
                <w:color w:val="auto"/>
                <w:vertAlign w:val="subscript"/>
              </w:rPr>
              <w:t>0.0</w:t>
            </w:r>
            <w:r>
              <w:rPr>
                <w:rFonts w:ascii="Arial" w:cs="Arial" w:eastAsia="Arial" w:hAnsi="Arial"/>
                <w:sz w:val="10"/>
                <w:szCs w:val="10"/>
                <w:color w:val="auto"/>
              </w:rPr>
              <w:t>(a)</w:t>
            </w:r>
          </w:p>
        </w:tc>
        <w:tc>
          <w:tcPr>
            <w:tcW w:w="338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89"/>
              </w:rPr>
              <w:t>26</w:t>
            </w:r>
          </w:p>
        </w:tc>
        <w:tc>
          <w:tcPr>
            <w:tcW w:w="26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Chilled water: 7,250 tons</w:t>
            </w:r>
          </w:p>
        </w:tc>
        <w:tc>
          <w:tcPr>
            <w:tcW w:w="0" w:type="dxa"/>
            <w:vAlign w:val="bottom"/>
          </w:tcPr>
          <w:p>
            <w:pPr>
              <w:spacing w:after="0"/>
              <w:rPr>
                <w:sz w:val="1"/>
                <w:szCs w:val="1"/>
                <w:color w:val="auto"/>
              </w:rPr>
            </w:pPr>
          </w:p>
        </w:tc>
      </w:tr>
      <w:tr>
        <w:trPr>
          <w:trHeight w:val="220"/>
        </w:trPr>
        <w:tc>
          <w:tcPr>
            <w:tcW w:w="2920" w:type="dxa"/>
            <w:vAlign w:val="bottom"/>
            <w:vMerge w:val="restart"/>
          </w:tcPr>
          <w:p>
            <w:pPr>
              <w:ind w:left="40"/>
              <w:spacing w:after="0"/>
              <w:rPr>
                <w:sz w:val="20"/>
                <w:szCs w:val="20"/>
                <w:color w:val="auto"/>
              </w:rPr>
            </w:pPr>
            <w:r>
              <w:rPr>
                <w:rFonts w:ascii="Arial" w:cs="Arial" w:eastAsia="Arial" w:hAnsi="Arial"/>
                <w:sz w:val="16"/>
                <w:szCs w:val="16"/>
                <w:color w:val="auto"/>
              </w:rPr>
              <w:t>NRG Energy Center Harrisburg, PA</w:t>
            </w:r>
          </w:p>
        </w:tc>
        <w:tc>
          <w:tcPr>
            <w:tcW w:w="1220" w:type="dxa"/>
            <w:vAlign w:val="bottom"/>
            <w:vMerge w:val="restart"/>
          </w:tcPr>
          <w:p>
            <w:pPr>
              <w:ind w:left="560"/>
              <w:spacing w:after="0"/>
              <w:rPr>
                <w:sz w:val="20"/>
                <w:szCs w:val="20"/>
                <w:color w:val="auto"/>
              </w:rPr>
            </w:pPr>
            <w:r>
              <w:rPr>
                <w:rFonts w:ascii="Arial" w:cs="Arial" w:eastAsia="Arial" w:hAnsi="Arial"/>
                <w:sz w:val="16"/>
                <w:szCs w:val="16"/>
                <w:color w:val="auto"/>
              </w:rPr>
              <w:t>100.0</w:t>
            </w:r>
          </w:p>
        </w:tc>
        <w:tc>
          <w:tcPr>
            <w:tcW w:w="3380" w:type="dxa"/>
            <w:vAlign w:val="bottom"/>
          </w:tcPr>
          <w:p>
            <w:pPr>
              <w:ind w:left="260"/>
              <w:spacing w:after="0"/>
              <w:rPr>
                <w:sz w:val="20"/>
                <w:szCs w:val="20"/>
                <w:color w:val="auto"/>
              </w:rPr>
            </w:pPr>
            <w:r>
              <w:rPr>
                <w:rFonts w:ascii="Arial" w:cs="Arial" w:eastAsia="Arial" w:hAnsi="Arial"/>
                <w:sz w:val="16"/>
                <w:szCs w:val="16"/>
                <w:color w:val="auto"/>
              </w:rPr>
              <w:t>Approx. 140 steam and 3 chilled water</w:t>
            </w:r>
          </w:p>
        </w:tc>
        <w:tc>
          <w:tcPr>
            <w:tcW w:w="1240" w:type="dxa"/>
            <w:vAlign w:val="bottom"/>
          </w:tcPr>
          <w:p>
            <w:pPr>
              <w:jc w:val="center"/>
              <w:ind w:left="119"/>
              <w:spacing w:after="0"/>
              <w:rPr>
                <w:sz w:val="20"/>
                <w:szCs w:val="20"/>
                <w:color w:val="auto"/>
              </w:rPr>
            </w:pPr>
            <w:r>
              <w:rPr>
                <w:rFonts w:ascii="Arial" w:cs="Arial" w:eastAsia="Arial" w:hAnsi="Arial"/>
                <w:sz w:val="16"/>
                <w:szCs w:val="16"/>
                <w:color w:val="auto"/>
                <w:w w:val="89"/>
              </w:rPr>
              <w:t>108</w:t>
            </w:r>
          </w:p>
        </w:tc>
        <w:tc>
          <w:tcPr>
            <w:tcW w:w="1160" w:type="dxa"/>
            <w:vAlign w:val="bottom"/>
          </w:tcPr>
          <w:p>
            <w:pPr>
              <w:ind w:left="400"/>
              <w:spacing w:after="0"/>
              <w:rPr>
                <w:sz w:val="20"/>
                <w:szCs w:val="20"/>
                <w:color w:val="auto"/>
              </w:rPr>
            </w:pPr>
            <w:r>
              <w:rPr>
                <w:rFonts w:ascii="Arial" w:cs="Arial" w:eastAsia="Arial" w:hAnsi="Arial"/>
                <w:sz w:val="16"/>
                <w:szCs w:val="16"/>
                <w:color w:val="auto"/>
                <w:w w:val="90"/>
              </w:rPr>
              <w:t>Steam: 370</w:t>
            </w:r>
          </w:p>
        </w:tc>
        <w:tc>
          <w:tcPr>
            <w:tcW w:w="1500" w:type="dxa"/>
            <w:vAlign w:val="bottom"/>
          </w:tcPr>
          <w:p>
            <w:pPr>
              <w:ind w:left="20"/>
              <w:spacing w:after="0"/>
              <w:rPr>
                <w:sz w:val="20"/>
                <w:szCs w:val="20"/>
                <w:color w:val="auto"/>
              </w:rPr>
            </w:pPr>
            <w:r>
              <w:rPr>
                <w:rFonts w:ascii="Arial" w:cs="Arial" w:eastAsia="Arial" w:hAnsi="Arial"/>
                <w:sz w:val="16"/>
                <w:szCs w:val="16"/>
                <w:color w:val="auto"/>
              </w:rPr>
              <w:t>MMBtu/hr.</w:t>
            </w:r>
          </w:p>
        </w:tc>
        <w:tc>
          <w:tcPr>
            <w:tcW w:w="0" w:type="dxa"/>
            <w:vAlign w:val="bottom"/>
          </w:tcPr>
          <w:p>
            <w:pPr>
              <w:spacing w:after="0"/>
              <w:rPr>
                <w:sz w:val="1"/>
                <w:szCs w:val="1"/>
                <w:color w:val="auto"/>
              </w:rPr>
            </w:pPr>
          </w:p>
        </w:tc>
      </w:tr>
      <w:tr>
        <w:trPr>
          <w:trHeight w:val="98"/>
        </w:trPr>
        <w:tc>
          <w:tcPr>
            <w:tcW w:w="29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3380" w:type="dxa"/>
            <w:vAlign w:val="bottom"/>
            <w:vMerge w:val="restart"/>
          </w:tcPr>
          <w:p>
            <w:pPr>
              <w:ind w:left="260"/>
              <w:spacing w:after="0"/>
              <w:rPr>
                <w:sz w:val="20"/>
                <w:szCs w:val="20"/>
                <w:color w:val="auto"/>
              </w:rPr>
            </w:pPr>
            <w:r>
              <w:rPr>
                <w:rFonts w:ascii="Arial" w:cs="Arial" w:eastAsia="Arial" w:hAnsi="Arial"/>
                <w:sz w:val="16"/>
                <w:szCs w:val="16"/>
                <w:color w:val="auto"/>
              </w:rPr>
              <w:t>customers</w:t>
            </w:r>
          </w:p>
        </w:tc>
        <w:tc>
          <w:tcPr>
            <w:tcW w:w="1240" w:type="dxa"/>
            <w:vAlign w:val="bottom"/>
            <w:vMerge w:val="restart"/>
          </w:tcPr>
          <w:p>
            <w:pPr>
              <w:jc w:val="center"/>
              <w:ind w:left="119"/>
              <w:spacing w:after="0"/>
              <w:rPr>
                <w:sz w:val="20"/>
                <w:szCs w:val="20"/>
                <w:color w:val="auto"/>
              </w:rPr>
            </w:pPr>
            <w:r>
              <w:rPr>
                <w:rFonts w:ascii="Arial" w:cs="Arial" w:eastAsia="Arial" w:hAnsi="Arial"/>
                <w:sz w:val="16"/>
                <w:szCs w:val="16"/>
                <w:color w:val="auto"/>
                <w:w w:val="89"/>
              </w:rPr>
              <w:t>13</w:t>
            </w:r>
          </w:p>
        </w:tc>
        <w:tc>
          <w:tcPr>
            <w:tcW w:w="2660" w:type="dxa"/>
            <w:vAlign w:val="bottom"/>
            <w:gridSpan w:val="2"/>
            <w:vMerge w:val="restart"/>
          </w:tcPr>
          <w:p>
            <w:pPr>
              <w:ind w:left="400"/>
              <w:spacing w:after="0"/>
              <w:rPr>
                <w:sz w:val="20"/>
                <w:szCs w:val="20"/>
                <w:color w:val="auto"/>
              </w:rPr>
            </w:pPr>
            <w:r>
              <w:rPr>
                <w:rFonts w:ascii="Arial" w:cs="Arial" w:eastAsia="Arial" w:hAnsi="Arial"/>
                <w:sz w:val="16"/>
                <w:szCs w:val="16"/>
                <w:color w:val="auto"/>
              </w:rPr>
              <w:t>Chilled water: 3,600 tons</w:t>
            </w: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2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shd w:val="clear" w:color="auto" w:fill="CCEEFF"/>
          </w:tcPr>
          <w:p>
            <w:pPr>
              <w:spacing w:after="0"/>
              <w:rPr>
                <w:sz w:val="19"/>
                <w:szCs w:val="19"/>
                <w:color w:val="auto"/>
              </w:rPr>
            </w:pPr>
          </w:p>
        </w:tc>
        <w:tc>
          <w:tcPr>
            <w:tcW w:w="1220" w:type="dxa"/>
            <w:vAlign w:val="bottom"/>
            <w:shd w:val="clear" w:color="auto" w:fill="CCEEFF"/>
          </w:tcPr>
          <w:p>
            <w:pPr>
              <w:ind w:left="560"/>
              <w:spacing w:after="0" w:line="220" w:lineRule="exact"/>
              <w:rPr>
                <w:sz w:val="20"/>
                <w:szCs w:val="20"/>
                <w:color w:val="auto"/>
              </w:rPr>
            </w:pPr>
            <w:r>
              <w:rPr>
                <w:rFonts w:ascii="Arial" w:cs="Arial" w:eastAsia="Arial" w:hAnsi="Arial"/>
                <w:sz w:val="16"/>
                <w:szCs w:val="16"/>
                <w:color w:val="auto"/>
              </w:rPr>
              <w:t>0.0</w:t>
            </w:r>
            <w:r>
              <w:rPr>
                <w:rFonts w:ascii="Arial" w:cs="Arial" w:eastAsia="Arial" w:hAnsi="Arial"/>
                <w:sz w:val="21"/>
                <w:szCs w:val="21"/>
                <w:color w:val="auto"/>
                <w:vertAlign w:val="superscript"/>
              </w:rPr>
              <w:t>(a)</w:t>
            </w:r>
          </w:p>
        </w:tc>
        <w:tc>
          <w:tcPr>
            <w:tcW w:w="33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89"/>
              </w:rPr>
              <w:t>4</w:t>
            </w:r>
          </w:p>
        </w:tc>
        <w:tc>
          <w:tcPr>
            <w:tcW w:w="26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Steam: 13 MMBtu/hr</w:t>
            </w:r>
          </w:p>
        </w:tc>
        <w:tc>
          <w:tcPr>
            <w:tcW w:w="0" w:type="dxa"/>
            <w:vAlign w:val="bottom"/>
          </w:tcPr>
          <w:p>
            <w:pPr>
              <w:spacing w:after="0"/>
              <w:rPr>
                <w:sz w:val="1"/>
                <w:szCs w:val="1"/>
                <w:color w:val="auto"/>
              </w:rPr>
            </w:pPr>
          </w:p>
        </w:tc>
      </w:tr>
      <w:tr>
        <w:trPr>
          <w:trHeight w:val="203"/>
        </w:trPr>
        <w:tc>
          <w:tcPr>
            <w:tcW w:w="29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NRG Energy Center Phoenix, AZ</w:t>
            </w:r>
          </w:p>
        </w:tc>
        <w:tc>
          <w:tcPr>
            <w:tcW w:w="12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100.0</w:t>
            </w:r>
          </w:p>
        </w:tc>
        <w:tc>
          <w:tcPr>
            <w:tcW w:w="3380" w:type="dxa"/>
            <w:vAlign w:val="bottom"/>
            <w:vMerge w:val="restart"/>
            <w:shd w:val="clear" w:color="auto" w:fill="CCEEFF"/>
          </w:tcPr>
          <w:p>
            <w:pPr>
              <w:ind w:left="260"/>
              <w:spacing w:after="0"/>
              <w:rPr>
                <w:sz w:val="20"/>
                <w:szCs w:val="20"/>
                <w:color w:val="auto"/>
              </w:rPr>
            </w:pPr>
            <w:r>
              <w:rPr>
                <w:rFonts w:ascii="Arial" w:cs="Arial" w:eastAsia="Arial" w:hAnsi="Arial"/>
                <w:sz w:val="16"/>
                <w:szCs w:val="16"/>
                <w:color w:val="auto"/>
              </w:rPr>
              <w:t>Approx. 35 chilled water customers</w:t>
            </w:r>
          </w:p>
        </w:tc>
        <w:tc>
          <w:tcPr>
            <w:tcW w:w="12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89"/>
              </w:rPr>
              <w:t>104</w:t>
            </w:r>
          </w:p>
        </w:tc>
        <w:tc>
          <w:tcPr>
            <w:tcW w:w="26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Chilled water: 29,600 tons</w:t>
            </w:r>
          </w:p>
        </w:tc>
        <w:tc>
          <w:tcPr>
            <w:tcW w:w="0" w:type="dxa"/>
            <w:vAlign w:val="bottom"/>
          </w:tcPr>
          <w:p>
            <w:pPr>
              <w:spacing w:after="0"/>
              <w:rPr>
                <w:sz w:val="1"/>
                <w:szCs w:val="1"/>
                <w:color w:val="auto"/>
              </w:rPr>
            </w:pPr>
          </w:p>
        </w:tc>
      </w:tr>
      <w:tr>
        <w:trPr>
          <w:trHeight w:val="98"/>
        </w:trPr>
        <w:tc>
          <w:tcPr>
            <w:tcW w:w="2920" w:type="dxa"/>
            <w:vAlign w:val="bottom"/>
            <w:vMerge w:val="continue"/>
            <w:shd w:val="clear" w:color="auto" w:fill="CCEEFF"/>
          </w:tcPr>
          <w:p>
            <w:pPr>
              <w:spacing w:after="0"/>
              <w:rPr>
                <w:sz w:val="8"/>
                <w:szCs w:val="8"/>
                <w:color w:val="auto"/>
              </w:rPr>
            </w:pPr>
          </w:p>
        </w:tc>
        <w:tc>
          <w:tcPr>
            <w:tcW w:w="1220" w:type="dxa"/>
            <w:vAlign w:val="bottom"/>
            <w:vMerge w:val="restart"/>
            <w:shd w:val="clear" w:color="auto" w:fill="CCEEFF"/>
          </w:tcPr>
          <w:p>
            <w:pPr>
              <w:ind w:left="560"/>
              <w:spacing w:after="0" w:line="203" w:lineRule="exact"/>
              <w:rPr>
                <w:sz w:val="20"/>
                <w:szCs w:val="20"/>
                <w:color w:val="auto"/>
              </w:rPr>
            </w:pPr>
            <w:r>
              <w:rPr>
                <w:rFonts w:ascii="Arial" w:cs="Arial" w:eastAsia="Arial" w:hAnsi="Arial"/>
                <w:sz w:val="16"/>
                <w:szCs w:val="16"/>
                <w:color w:val="auto"/>
              </w:rPr>
              <w:t>12.0</w:t>
            </w:r>
            <w:r>
              <w:rPr>
                <w:rFonts w:ascii="Arial" w:cs="Arial" w:eastAsia="Arial" w:hAnsi="Arial"/>
                <w:sz w:val="21"/>
                <w:szCs w:val="21"/>
                <w:color w:val="auto"/>
                <w:vertAlign w:val="superscript"/>
              </w:rPr>
              <w:t>(a)</w:t>
            </w:r>
          </w:p>
        </w:tc>
        <w:tc>
          <w:tcPr>
            <w:tcW w:w="3380" w:type="dxa"/>
            <w:vAlign w:val="bottom"/>
            <w:vMerge w:val="continue"/>
            <w:shd w:val="clear" w:color="auto" w:fill="CCEEFF"/>
          </w:tcPr>
          <w:p>
            <w:pPr>
              <w:spacing w:after="0"/>
              <w:rPr>
                <w:sz w:val="8"/>
                <w:szCs w:val="8"/>
                <w:color w:val="auto"/>
              </w:rPr>
            </w:pPr>
          </w:p>
        </w:tc>
        <w:tc>
          <w:tcPr>
            <w:tcW w:w="1240" w:type="dxa"/>
            <w:vAlign w:val="bottom"/>
            <w:vMerge w:val="restart"/>
            <w:shd w:val="clear" w:color="auto" w:fill="CCEEFF"/>
          </w:tcPr>
          <w:p>
            <w:pPr>
              <w:jc w:val="center"/>
              <w:ind w:left="119"/>
              <w:spacing w:after="0"/>
              <w:rPr>
                <w:sz w:val="20"/>
                <w:szCs w:val="20"/>
                <w:color w:val="auto"/>
              </w:rPr>
            </w:pPr>
            <w:r>
              <w:rPr>
                <w:rFonts w:ascii="Arial" w:cs="Arial" w:eastAsia="Arial" w:hAnsi="Arial"/>
                <w:sz w:val="16"/>
                <w:szCs w:val="16"/>
                <w:color w:val="auto"/>
                <w:w w:val="89"/>
              </w:rPr>
              <w:t>14</w:t>
            </w:r>
          </w:p>
        </w:tc>
        <w:tc>
          <w:tcPr>
            <w:tcW w:w="266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Chilled water: 3,950 tons</w:t>
            </w:r>
          </w:p>
        </w:tc>
        <w:tc>
          <w:tcPr>
            <w:tcW w:w="0" w:type="dxa"/>
            <w:vAlign w:val="bottom"/>
          </w:tcPr>
          <w:p>
            <w:pPr>
              <w:spacing w:after="0"/>
              <w:rPr>
                <w:sz w:val="1"/>
                <w:szCs w:val="1"/>
                <w:color w:val="auto"/>
              </w:rPr>
            </w:pPr>
          </w:p>
        </w:tc>
      </w:tr>
      <w:tr>
        <w:trPr>
          <w:trHeight w:val="104"/>
        </w:trPr>
        <w:tc>
          <w:tcPr>
            <w:tcW w:w="2920" w:type="dxa"/>
            <w:vAlign w:val="bottom"/>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338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26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920" w:type="dxa"/>
            <w:vAlign w:val="bottom"/>
            <w:shd w:val="clear" w:color="auto" w:fill="CCEEFF"/>
          </w:tcPr>
          <w:p>
            <w:pPr>
              <w:spacing w:after="0"/>
              <w:rPr>
                <w:sz w:val="20"/>
                <w:szCs w:val="20"/>
                <w:color w:val="auto"/>
              </w:rPr>
            </w:pPr>
          </w:p>
        </w:tc>
        <w:tc>
          <w:tcPr>
            <w:tcW w:w="1220" w:type="dxa"/>
            <w:vAlign w:val="bottom"/>
            <w:shd w:val="clear" w:color="auto" w:fill="CCEEFF"/>
          </w:tcPr>
          <w:p>
            <w:pPr>
              <w:ind w:left="560"/>
              <w:spacing w:after="0" w:line="239" w:lineRule="exact"/>
              <w:rPr>
                <w:sz w:val="20"/>
                <w:szCs w:val="20"/>
                <w:color w:val="auto"/>
              </w:rPr>
            </w:pPr>
            <w:r>
              <w:rPr>
                <w:rFonts w:ascii="Arial" w:cs="Arial" w:eastAsia="Arial" w:hAnsi="Arial"/>
                <w:sz w:val="16"/>
                <w:szCs w:val="16"/>
                <w:color w:val="auto"/>
              </w:rPr>
              <w:t>0.0</w:t>
            </w:r>
            <w:r>
              <w:rPr>
                <w:rFonts w:ascii="Arial" w:cs="Arial" w:eastAsia="Arial" w:hAnsi="Arial"/>
                <w:sz w:val="21"/>
                <w:szCs w:val="21"/>
                <w:color w:val="auto"/>
                <w:vertAlign w:val="superscript"/>
              </w:rPr>
              <w:t>(a)</w:t>
            </w:r>
          </w:p>
        </w:tc>
        <w:tc>
          <w:tcPr>
            <w:tcW w:w="338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89"/>
              </w:rPr>
              <w:t>28</w:t>
            </w:r>
          </w:p>
        </w:tc>
        <w:tc>
          <w:tcPr>
            <w:tcW w:w="26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Chilled water: 8,000 tons</w:t>
            </w:r>
          </w:p>
        </w:tc>
        <w:tc>
          <w:tcPr>
            <w:tcW w:w="0" w:type="dxa"/>
            <w:vAlign w:val="bottom"/>
          </w:tcPr>
          <w:p>
            <w:pPr>
              <w:spacing w:after="0"/>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935" w:right="239" w:bottom="1440" w:gutter="0" w:footer="0" w:header="0"/>
          <w:type w:val="continuous"/>
        </w:sectPr>
      </w:pP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900" w:type="dxa"/>
            <w:vAlign w:val="bottom"/>
          </w:tcPr>
          <w:p>
            <w:pPr>
              <w:spacing w:after="0"/>
              <w:rPr>
                <w:sz w:val="20"/>
                <w:szCs w:val="20"/>
                <w:color w:val="auto"/>
              </w:rPr>
            </w:pPr>
            <w:r>
              <w:rPr>
                <w:rFonts w:ascii="Arial" w:cs="Arial" w:eastAsia="Arial" w:hAnsi="Arial"/>
                <w:sz w:val="16"/>
                <w:szCs w:val="16"/>
                <w:color w:val="auto"/>
              </w:rPr>
              <w:t>NRG Energy Center Pittsburgh, PA</w:t>
            </w: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65"/>
        </w:trPr>
        <w:tc>
          <w:tcPr>
            <w:tcW w:w="2900" w:type="dxa"/>
            <w:vAlign w:val="bottom"/>
          </w:tcPr>
          <w:p>
            <w:pPr>
              <w:spacing w:after="0"/>
              <w:rPr>
                <w:sz w:val="20"/>
                <w:szCs w:val="20"/>
                <w:color w:val="auto"/>
              </w:rPr>
            </w:pPr>
            <w:r>
              <w:rPr>
                <w:rFonts w:ascii="Arial" w:cs="Arial" w:eastAsia="Arial" w:hAnsi="Arial"/>
                <w:sz w:val="16"/>
                <w:szCs w:val="16"/>
                <w:color w:val="auto"/>
              </w:rPr>
              <w:t>NRG Energy Center San Diego, CA</w:t>
            </w: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65"/>
        </w:trPr>
        <w:tc>
          <w:tcPr>
            <w:tcW w:w="2900" w:type="dxa"/>
            <w:vAlign w:val="bottom"/>
          </w:tcPr>
          <w:p>
            <w:pPr>
              <w:spacing w:after="0"/>
              <w:rPr>
                <w:sz w:val="20"/>
                <w:szCs w:val="20"/>
                <w:color w:val="auto"/>
              </w:rPr>
            </w:pPr>
            <w:r>
              <w:rPr>
                <w:rFonts w:ascii="Arial" w:cs="Arial" w:eastAsia="Arial" w:hAnsi="Arial"/>
                <w:sz w:val="16"/>
                <w:szCs w:val="16"/>
                <w:color w:val="auto"/>
              </w:rPr>
              <w:t>NRG Energy Center Dover, DE</w:t>
            </w: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459"/>
        </w:trPr>
        <w:tc>
          <w:tcPr>
            <w:tcW w:w="2900" w:type="dxa"/>
            <w:vAlign w:val="bottom"/>
          </w:tcPr>
          <w:p>
            <w:pPr>
              <w:spacing w:after="0"/>
              <w:rPr>
                <w:sz w:val="20"/>
                <w:szCs w:val="20"/>
                <w:color w:val="auto"/>
              </w:rPr>
            </w:pPr>
            <w:r>
              <w:rPr>
                <w:rFonts w:ascii="Arial" w:cs="Arial" w:eastAsia="Arial" w:hAnsi="Arial"/>
                <w:sz w:val="16"/>
                <w:szCs w:val="16"/>
                <w:color w:val="auto"/>
              </w:rPr>
              <w:t>NRG Energy Center Princeton, NJ</w:t>
            </w: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483870</wp:posOffset>
            </wp:positionV>
            <wp:extent cx="1414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20"/>
        <w:spacing w:after="0" w:line="293" w:lineRule="auto"/>
        <w:rPr>
          <w:sz w:val="20"/>
          <w:szCs w:val="20"/>
          <w:color w:val="auto"/>
        </w:rPr>
      </w:pPr>
      <w:r>
        <w:rPr>
          <w:rFonts w:ascii="Arial" w:cs="Arial" w:eastAsia="Arial" w:hAnsi="Arial"/>
          <w:sz w:val="16"/>
          <w:szCs w:val="16"/>
          <w:color w:val="auto"/>
        </w:rPr>
        <w:t>Approx. 25 steam and 25 chilled water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-3810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Approx. 15 chilled water customers</w:t>
      </w:r>
    </w:p>
    <w:p>
      <w:pPr>
        <w:spacing w:after="0" w:line="86"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Kraft Foods Inc. and Procter &amp; Gamble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-3810</wp:posOffset>
            </wp:positionV>
            <wp:extent cx="72466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Princeton HealthCare System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Total Generating Capacity (MWt)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03"/>
        </w:trPr>
        <w:tc>
          <w:tcPr>
            <w:tcW w:w="580" w:type="dxa"/>
            <w:vAlign w:val="bottom"/>
          </w:tcPr>
          <w:p>
            <w:pPr>
              <w:jc w:val="right"/>
              <w:ind w:right="339"/>
              <w:spacing w:after="0"/>
              <w:rPr>
                <w:sz w:val="20"/>
                <w:szCs w:val="20"/>
                <w:color w:val="auto"/>
              </w:rPr>
            </w:pPr>
            <w:r>
              <w:rPr>
                <w:rFonts w:ascii="Arial" w:cs="Arial" w:eastAsia="Arial" w:hAnsi="Arial"/>
                <w:sz w:val="16"/>
                <w:szCs w:val="16"/>
                <w:color w:val="auto"/>
                <w:w w:val="78"/>
              </w:rPr>
              <w:t>88</w:t>
            </w:r>
          </w:p>
        </w:tc>
        <w:tc>
          <w:tcPr>
            <w:tcW w:w="2140" w:type="dxa"/>
            <w:vAlign w:val="bottom"/>
          </w:tcPr>
          <w:p>
            <w:pPr>
              <w:ind w:left="420"/>
              <w:spacing w:after="0"/>
              <w:rPr>
                <w:sz w:val="20"/>
                <w:szCs w:val="20"/>
                <w:color w:val="auto"/>
              </w:rPr>
            </w:pPr>
            <w:r>
              <w:rPr>
                <w:rFonts w:ascii="Arial" w:cs="Arial" w:eastAsia="Arial" w:hAnsi="Arial"/>
                <w:sz w:val="16"/>
                <w:szCs w:val="16"/>
                <w:color w:val="auto"/>
              </w:rPr>
              <w:t>Steam: 302 MMBtu/hr.</w:t>
            </w:r>
          </w:p>
        </w:tc>
      </w:tr>
      <w:tr>
        <w:trPr>
          <w:trHeight w:val="206"/>
        </w:trPr>
        <w:tc>
          <w:tcPr>
            <w:tcW w:w="580" w:type="dxa"/>
            <w:vAlign w:val="bottom"/>
          </w:tcPr>
          <w:p>
            <w:pPr>
              <w:jc w:val="right"/>
              <w:ind w:right="339"/>
              <w:spacing w:after="0"/>
              <w:rPr>
                <w:sz w:val="20"/>
                <w:szCs w:val="20"/>
                <w:color w:val="auto"/>
              </w:rPr>
            </w:pPr>
            <w:r>
              <w:rPr>
                <w:rFonts w:ascii="Arial" w:cs="Arial" w:eastAsia="Arial" w:hAnsi="Arial"/>
                <w:sz w:val="16"/>
                <w:szCs w:val="16"/>
                <w:color w:val="auto"/>
                <w:w w:val="78"/>
              </w:rPr>
              <w:t>46</w:t>
            </w:r>
          </w:p>
        </w:tc>
        <w:tc>
          <w:tcPr>
            <w:tcW w:w="2140" w:type="dxa"/>
            <w:vAlign w:val="bottom"/>
          </w:tcPr>
          <w:p>
            <w:pPr>
              <w:ind w:left="420"/>
              <w:spacing w:after="0"/>
              <w:rPr>
                <w:sz w:val="20"/>
                <w:szCs w:val="20"/>
                <w:color w:val="auto"/>
              </w:rPr>
            </w:pPr>
            <w:r>
              <w:rPr>
                <w:rFonts w:ascii="Arial" w:cs="Arial" w:eastAsia="Arial" w:hAnsi="Arial"/>
                <w:sz w:val="16"/>
                <w:szCs w:val="16"/>
                <w:color w:val="auto"/>
                <w:w w:val="91"/>
              </w:rPr>
              <w:t>Chilled water: 12,934 tons</w:t>
            </w:r>
          </w:p>
        </w:tc>
      </w:tr>
      <w:tr>
        <w:trPr>
          <w:trHeight w:val="257"/>
        </w:trPr>
        <w:tc>
          <w:tcPr>
            <w:tcW w:w="580" w:type="dxa"/>
            <w:vAlign w:val="bottom"/>
          </w:tcPr>
          <w:p>
            <w:pPr>
              <w:jc w:val="right"/>
              <w:ind w:right="339"/>
              <w:spacing w:after="0"/>
              <w:rPr>
                <w:sz w:val="20"/>
                <w:szCs w:val="20"/>
                <w:color w:val="auto"/>
              </w:rPr>
            </w:pPr>
            <w:r>
              <w:rPr>
                <w:rFonts w:ascii="Arial" w:cs="Arial" w:eastAsia="Arial" w:hAnsi="Arial"/>
                <w:sz w:val="16"/>
                <w:szCs w:val="16"/>
                <w:color w:val="auto"/>
                <w:w w:val="78"/>
              </w:rPr>
              <w:t>31</w:t>
            </w:r>
          </w:p>
        </w:tc>
        <w:tc>
          <w:tcPr>
            <w:tcW w:w="2140" w:type="dxa"/>
            <w:vAlign w:val="bottom"/>
          </w:tcPr>
          <w:p>
            <w:pPr>
              <w:ind w:left="420"/>
              <w:spacing w:after="0"/>
              <w:rPr>
                <w:sz w:val="20"/>
                <w:szCs w:val="20"/>
                <w:color w:val="auto"/>
              </w:rPr>
            </w:pPr>
            <w:r>
              <w:rPr>
                <w:rFonts w:ascii="Arial" w:cs="Arial" w:eastAsia="Arial" w:hAnsi="Arial"/>
                <w:sz w:val="16"/>
                <w:szCs w:val="16"/>
                <w:color w:val="auto"/>
                <w:w w:val="96"/>
              </w:rPr>
              <w:t>Chilled water: 8,825 tons</w:t>
            </w:r>
          </w:p>
        </w:tc>
      </w:tr>
      <w:tr>
        <w:trPr>
          <w:trHeight w:val="365"/>
        </w:trPr>
        <w:tc>
          <w:tcPr>
            <w:tcW w:w="580" w:type="dxa"/>
            <w:vAlign w:val="bottom"/>
          </w:tcPr>
          <w:p>
            <w:pPr>
              <w:jc w:val="right"/>
              <w:ind w:right="339"/>
              <w:spacing w:after="0"/>
              <w:rPr>
                <w:sz w:val="20"/>
                <w:szCs w:val="20"/>
                <w:color w:val="auto"/>
              </w:rPr>
            </w:pPr>
            <w:r>
              <w:rPr>
                <w:rFonts w:ascii="Arial" w:cs="Arial" w:eastAsia="Arial" w:hAnsi="Arial"/>
                <w:sz w:val="16"/>
                <w:szCs w:val="16"/>
                <w:color w:val="auto"/>
                <w:w w:val="78"/>
              </w:rPr>
              <w:t>66</w:t>
            </w:r>
          </w:p>
        </w:tc>
        <w:tc>
          <w:tcPr>
            <w:tcW w:w="2140" w:type="dxa"/>
            <w:vAlign w:val="bottom"/>
          </w:tcPr>
          <w:p>
            <w:pPr>
              <w:ind w:left="420"/>
              <w:spacing w:after="0"/>
              <w:rPr>
                <w:sz w:val="20"/>
                <w:szCs w:val="20"/>
                <w:color w:val="auto"/>
              </w:rPr>
            </w:pPr>
            <w:r>
              <w:rPr>
                <w:rFonts w:ascii="Arial" w:cs="Arial" w:eastAsia="Arial" w:hAnsi="Arial"/>
                <w:sz w:val="16"/>
                <w:szCs w:val="16"/>
                <w:color w:val="auto"/>
              </w:rPr>
              <w:t>Steam: 225 MMBtu/hr.</w:t>
            </w:r>
          </w:p>
        </w:tc>
      </w:tr>
      <w:tr>
        <w:trPr>
          <w:trHeight w:val="365"/>
        </w:trPr>
        <w:tc>
          <w:tcPr>
            <w:tcW w:w="580" w:type="dxa"/>
            <w:vAlign w:val="bottom"/>
          </w:tcPr>
          <w:p>
            <w:pPr>
              <w:jc w:val="right"/>
              <w:ind w:right="339"/>
              <w:spacing w:after="0"/>
              <w:rPr>
                <w:sz w:val="20"/>
                <w:szCs w:val="20"/>
                <w:color w:val="auto"/>
              </w:rPr>
            </w:pPr>
            <w:r>
              <w:rPr>
                <w:rFonts w:ascii="Arial" w:cs="Arial" w:eastAsia="Arial" w:hAnsi="Arial"/>
                <w:sz w:val="16"/>
                <w:szCs w:val="16"/>
                <w:color w:val="auto"/>
                <w:w w:val="78"/>
              </w:rPr>
              <w:t>21</w:t>
            </w:r>
          </w:p>
        </w:tc>
        <w:tc>
          <w:tcPr>
            <w:tcW w:w="2140" w:type="dxa"/>
            <w:vAlign w:val="bottom"/>
          </w:tcPr>
          <w:p>
            <w:pPr>
              <w:ind w:left="420"/>
              <w:spacing w:after="0"/>
              <w:rPr>
                <w:sz w:val="20"/>
                <w:szCs w:val="20"/>
                <w:color w:val="auto"/>
              </w:rPr>
            </w:pPr>
            <w:r>
              <w:rPr>
                <w:rFonts w:ascii="Arial" w:cs="Arial" w:eastAsia="Arial" w:hAnsi="Arial"/>
                <w:sz w:val="16"/>
                <w:szCs w:val="16"/>
                <w:color w:val="auto"/>
              </w:rPr>
              <w:t>Steam: 72 MMBtu/hr.</w:t>
            </w:r>
          </w:p>
        </w:tc>
      </w:tr>
    </w:tbl>
    <w:p>
      <w:pPr>
        <w:ind w:left="1100" w:hanging="1008"/>
        <w:spacing w:after="0"/>
        <w:tabs>
          <w:tab w:leader="none" w:pos="11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Chilled water: 4,700 tons</w:t>
      </w:r>
    </w:p>
    <w:p>
      <w:pPr>
        <w:spacing w:after="0" w:line="9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34925</wp:posOffset>
            </wp:positionV>
            <wp:extent cx="10121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52070</wp:posOffset>
            </wp:positionV>
            <wp:extent cx="10121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-135890</wp:posOffset>
            </wp:positionV>
            <wp:extent cx="10121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840" w:space="560"/>
            <w:col w:w="2940" w:space="720"/>
            <w:col w:w="3360"/>
          </w:cols>
          <w:pgMar w:left="240" w:top="935" w:right="239" w:bottom="1440" w:gutter="0" w:footer="0" w:header="0"/>
          <w:type w:val="continuous"/>
        </w:sectPr>
      </w:pPr>
    </w:p>
    <w:p>
      <w:pPr>
        <w:spacing w:after="0" w:line="242"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Net MWt capacity excludes 134 MWt available under the right-to-use provisions contained in agreements between two of the Company's thermal facilities and certain of its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Properties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Through the Management Services Agreement with NRG, the Company utilizes NRG's leased corporate headquarters offices at 211 Carnegie Center, Princeton, New Jersey. During 2016, NRG expects to move its 211 Carnegie Center, Princeton, New Jersey headquarters to a newly leased headquarters at 804 Carnegie Center, Princeton, New Jersey, which is currently under construction.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35"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 Legal Proceedings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1980"/>
        <w:spacing w:after="0" w:line="440"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 Market Information and Holders</w:t>
      </w:r>
    </w:p>
    <w:p>
      <w:pPr>
        <w:spacing w:after="0" w:line="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the date of this report, there is no publicly-traded market for the Company's membership units. All of the Company's Class A and Class C units are held by Yield, Inc. and all of the Company's Class B and Class D units are held by NRG.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lists the distributions paid on the Company's Class A, Class B, Class C and Class D units during the year ended December 31, 2015: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 Quarter 2015</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Third Quarter 2015</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 Quarter 2015</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 xml:space="preserve">First Quarter 2015 </w:t>
            </w:r>
            <w:r>
              <w:rPr>
                <w:rFonts w:ascii="Arial" w:cs="Arial" w:eastAsia="Arial" w:hAnsi="Arial"/>
                <w:sz w:val="8"/>
                <w:szCs w:val="8"/>
                <w:b w:val="1"/>
                <w:bCs w:val="1"/>
                <w:color w:val="auto"/>
                <w:w w:val="98"/>
              </w:rPr>
              <w:t>(a)</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Distributions per Class A and Class B unit</w:t>
            </w: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Distributions per Class C and Class D unit</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0.215</w:t>
            </w:r>
          </w:p>
        </w:tc>
        <w:tc>
          <w:tcPr>
            <w:tcW w:w="120" w:type="dxa"/>
            <w:vAlign w:val="bottom"/>
          </w:tcPr>
          <w:p>
            <w:pPr>
              <w:spacing w:after="0"/>
              <w:rPr>
                <w:sz w:val="21"/>
                <w:szCs w:val="21"/>
                <w:color w:val="auto"/>
              </w:rPr>
            </w:pPr>
          </w:p>
        </w:tc>
        <w:tc>
          <w:tcPr>
            <w:tcW w:w="520" w:type="dxa"/>
            <w:vAlign w:val="bottom"/>
          </w:tcPr>
          <w:p>
            <w:pPr>
              <w:jc w:val="right"/>
              <w:ind w:right="33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1"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23"/>
          <w:szCs w:val="23"/>
          <w:color w:val="auto"/>
          <w:vertAlign w:val="superscript"/>
        </w:rPr>
      </w:pPr>
      <w:r>
        <w:rPr>
          <w:rFonts w:ascii="Arial" w:cs="Arial" w:eastAsia="Arial" w:hAnsi="Arial"/>
          <w:sz w:val="15"/>
          <w:szCs w:val="15"/>
          <w:color w:val="auto"/>
        </w:rPr>
        <w:t>Distributions have been retroactively adjusted to give effect to the stock split that occurred in connection with the Recapitalization.</w:t>
      </w:r>
    </w:p>
    <w:p>
      <w:pPr>
        <w:spacing w:after="0" w:line="15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February 17, 2016, the Company declared a quarterly distribution on its Class A, Class B, Class C and Class D units of $0.225 per unit payable on March 15,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On June 29, 2015, Yield, Inc. closed on its offering of 28,198,000 shares of Class C common stock, for net proceeds of $599 million. Yield, Inc. utilized the proceeds of the offering to acquire 28,198,000 additional Class C units of the Company and, as a result, currently owns 53.3% of the Company, with NRG retaining 46.7% of the economic interests of the Company. The Class C units were offered and sold in reliance upon the exemption from registration afforded by the provisions of Section 4(a)(2) of the Securities Act.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2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7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The following table presents the Company's historical selected financial data, which has been recast to include the Drop Down Assets, as if the transfers had taken place from the beginning of the financial statements period, or from the date the respective entities were under common control (if later than the beginning of the financial statements period). The acquisitions are further described in </w:t>
      </w:r>
      <w:r>
        <w:rPr>
          <w:rFonts w:ascii="Arial" w:cs="Arial" w:eastAsia="Arial" w:hAnsi="Arial"/>
          <w:sz w:val="16"/>
          <w:szCs w:val="16"/>
          <w:color w:val="231F20"/>
        </w:rPr>
        <w:t>Item 15</w:t>
      </w:r>
      <w:r>
        <w:rPr>
          <w:rFonts w:ascii="Arial" w:cs="Arial" w:eastAsia="Arial" w:hAnsi="Arial"/>
          <w:sz w:val="16"/>
          <w:szCs w:val="16"/>
          <w:color w:val="auto"/>
        </w:rPr>
        <w:t xml:space="preserve"> — </w:t>
      </w:r>
      <w:r>
        <w:rPr>
          <w:rFonts w:ascii="Arial" w:cs="Arial" w:eastAsia="Arial" w:hAnsi="Arial"/>
          <w:sz w:val="16"/>
          <w:szCs w:val="16"/>
          <w:color w:val="231F20"/>
        </w:rPr>
        <w:t>Note 3,</w:t>
      </w:r>
      <w:r>
        <w:rPr>
          <w:rFonts w:ascii="Arial" w:cs="Arial" w:eastAsia="Arial" w:hAnsi="Arial"/>
          <w:sz w:val="16"/>
          <w:szCs w:val="16"/>
          <w:color w:val="auto"/>
        </w:rPr>
        <w:t xml:space="preserve"> </w:t>
      </w:r>
      <w:r>
        <w:rPr>
          <w:rFonts w:ascii="Arial" w:cs="Arial" w:eastAsia="Arial" w:hAnsi="Arial"/>
          <w:sz w:val="16"/>
          <w:szCs w:val="16"/>
          <w:i w:val="1"/>
          <w:iCs w:val="1"/>
          <w:color w:val="231F20"/>
        </w:rPr>
        <w:t>Business Acquisitions</w:t>
      </w:r>
      <w:r>
        <w:rPr>
          <w:rFonts w:ascii="Arial" w:cs="Arial" w:eastAsia="Arial" w:hAnsi="Arial"/>
          <w:sz w:val="16"/>
          <w:szCs w:val="16"/>
          <w:color w:val="auto"/>
        </w:rPr>
        <w:t>, to the Consolidated Financial Statements. Additionally, for all periods prior to the formation of the Company, the data below reflects the Company's accounting predecessor, or NRG Yield, the financial statements of which were prepared on a ''carve-out'' basis from NRG and are intended to represent the financial results of the contracted renewable energy and conventional generation and thermal infrastructure assets in the U.S. that were acquired by the Company on July 22, 2013. For all periods subsequent to the formation of the Company, the data below reflects the Company's consolidated financial results.</w:t>
      </w:r>
    </w:p>
    <w:p>
      <w:pPr>
        <w:spacing w:after="0" w:line="11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historical data should be read in conjunction with the Consolidated Financial Statements and the related notes thereto in Item 15 and Item 7, </w:t>
      </w:r>
      <w:r>
        <w:rPr>
          <w:rFonts w:ascii="Arial" w:cs="Arial" w:eastAsia="Arial" w:hAnsi="Arial"/>
          <w:sz w:val="18"/>
          <w:szCs w:val="18"/>
          <w:i w:val="1"/>
          <w:iCs w:val="1"/>
          <w:color w:val="auto"/>
        </w:rPr>
        <w:t>Management's Discussion and Analysis of Financial Condition and Results of Operations.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Fiscal year ended December 31,</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Statement of Income Data:</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Operating Revenues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6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operating revenues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Operating Costs and Expenses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operations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r>
      <w:tr>
        <w:trPr>
          <w:trHeight w:val="264"/>
        </w:trPr>
        <w:tc>
          <w:tcPr>
            <w:tcW w:w="628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35</w:t>
            </w:r>
          </w:p>
        </w:tc>
      </w:tr>
      <w:tr>
        <w:trPr>
          <w:trHeight w:val="276"/>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64"/>
        </w:trPr>
        <w:tc>
          <w:tcPr>
            <w:tcW w:w="6280" w:type="dxa"/>
            <w:vAlign w:val="bottom"/>
          </w:tcPr>
          <w:p>
            <w:pPr>
              <w:ind w:left="180"/>
              <w:spacing w:after="0"/>
              <w:rPr>
                <w:sz w:val="20"/>
                <w:szCs w:val="20"/>
                <w:color w:val="auto"/>
              </w:rPr>
            </w:pPr>
            <w:r>
              <w:rPr>
                <w:rFonts w:ascii="Arial" w:cs="Arial" w:eastAsia="Arial" w:hAnsi="Arial"/>
                <w:sz w:val="14"/>
                <w:szCs w:val="14"/>
                <w:color w:val="auto"/>
              </w:rPr>
              <w:t>Acquisition-related transaction and integration costs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62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operating costs and expenses</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590</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r>
      <w:tr>
        <w:trPr>
          <w:trHeight w:val="24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Operating Income</w:t>
            </w: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4"/>
        </w:trPr>
        <w:tc>
          <w:tcPr>
            <w:tcW w:w="6280" w:type="dxa"/>
            <w:vAlign w:val="bottom"/>
          </w:tcPr>
          <w:p>
            <w:pPr>
              <w:ind w:left="180"/>
              <w:spacing w:after="0"/>
              <w:rPr>
                <w:sz w:val="20"/>
                <w:szCs w:val="20"/>
                <w:color w:val="auto"/>
              </w:rPr>
            </w:pPr>
            <w:r>
              <w:rPr>
                <w:rFonts w:ascii="Arial" w:cs="Arial" w:eastAsia="Arial" w:hAnsi="Arial"/>
                <w:sz w:val="14"/>
                <w:szCs w:val="14"/>
                <w:color w:val="auto"/>
              </w:rPr>
              <w:t>Equity in earnings of unconsolidated affiliates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6"/>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net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64"/>
        </w:trPr>
        <w:tc>
          <w:tcPr>
            <w:tcW w:w="6280" w:type="dxa"/>
            <w:vAlign w:val="bottom"/>
          </w:tcPr>
          <w:p>
            <w:pPr>
              <w:ind w:left="18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50"/>
        </w:trPr>
        <w:tc>
          <w:tcPr>
            <w:tcW w:w="62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other expense, net</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5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50"/>
        </w:trPr>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 (benefit) expense</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r>
      <w:tr>
        <w:trPr>
          <w:trHeight w:val="283"/>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45"/>
        </w:trPr>
        <w:tc>
          <w:tcPr>
            <w:tcW w:w="628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4"/>
                <w:szCs w:val="14"/>
                <w:color w:val="auto"/>
              </w:rPr>
              <w:t>Less: Net (loss) income attributable to noncontrolling interests</w:t>
            </w: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(51)</w:t>
            </w:r>
          </w:p>
        </w:tc>
        <w:tc>
          <w:tcPr>
            <w:tcW w:w="1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CCEEFF"/>
            </w:tcBorders>
          </w:tcPr>
          <w:p>
            <w:pPr>
              <w:spacing w:after="0"/>
              <w:rPr>
                <w:sz w:val="21"/>
                <w:szCs w:val="21"/>
                <w:color w:val="auto"/>
              </w:rPr>
            </w:pPr>
          </w:p>
        </w:tc>
        <w:tc>
          <w:tcPr>
            <w:tcW w:w="700" w:type="dxa"/>
            <w:vAlign w:val="bottom"/>
            <w:tcBorders>
              <w:top w:val="single" w:sz="8" w:color="auto"/>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680" w:type="dxa"/>
            <w:vAlign w:val="bottom"/>
            <w:tcBorders>
              <w:top w:val="single" w:sz="8" w:color="auto"/>
              <w:bottom w:val="single" w:sz="8" w:color="CCEEFF"/>
            </w:tcBorders>
          </w:tcPr>
          <w:p>
            <w:pPr>
              <w:spacing w:after="0"/>
              <w:rPr>
                <w:sz w:val="21"/>
                <w:szCs w:val="21"/>
                <w:color w:val="auto"/>
              </w:rPr>
            </w:pPr>
          </w:p>
        </w:tc>
      </w:tr>
      <w:tr>
        <w:trPr>
          <w:trHeight w:val="243"/>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NRG Yield LLC</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64"/>
        </w:trPr>
        <w:tc>
          <w:tcPr>
            <w:tcW w:w="6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Financial Data:</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6280" w:type="dxa"/>
            <w:vAlign w:val="bottom"/>
          </w:tcPr>
          <w:p>
            <w:pPr>
              <w:ind w:left="100"/>
              <w:spacing w:after="0"/>
              <w:rPr>
                <w:sz w:val="20"/>
                <w:szCs w:val="20"/>
                <w:color w:val="auto"/>
              </w:rPr>
            </w:pPr>
            <w:r>
              <w:rPr>
                <w:rFonts w:ascii="Arial" w:cs="Arial" w:eastAsia="Arial" w:hAnsi="Arial"/>
                <w:sz w:val="14"/>
                <w:szCs w:val="14"/>
                <w:color w:val="auto"/>
              </w:rPr>
              <w:t>Capital expenditures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353</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373</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 Data:</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4"/>
        </w:trPr>
        <w:tc>
          <w:tcPr>
            <w:tcW w:w="6280" w:type="dxa"/>
            <w:vAlign w:val="bottom"/>
          </w:tcPr>
          <w:p>
            <w:pPr>
              <w:ind w:left="100"/>
              <w:spacing w:after="0"/>
              <w:rPr>
                <w:sz w:val="20"/>
                <w:szCs w:val="20"/>
                <w:color w:val="auto"/>
              </w:rPr>
            </w:pPr>
            <w:r>
              <w:rPr>
                <w:rFonts w:ascii="Arial" w:cs="Arial" w:eastAsia="Arial" w:hAnsi="Arial"/>
                <w:sz w:val="14"/>
                <w:szCs w:val="14"/>
                <w:color w:val="auto"/>
              </w:rPr>
              <w:t>Net cash provided by (used in):</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activities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6280" w:type="dxa"/>
            <w:vAlign w:val="bottom"/>
          </w:tcPr>
          <w:p>
            <w:pPr>
              <w:ind w:left="180"/>
              <w:spacing w:after="0"/>
              <w:rPr>
                <w:sz w:val="20"/>
                <w:szCs w:val="20"/>
                <w:color w:val="auto"/>
              </w:rPr>
            </w:pPr>
            <w:r>
              <w:rPr>
                <w:rFonts w:ascii="Arial" w:cs="Arial" w:eastAsia="Arial" w:hAnsi="Arial"/>
                <w:sz w:val="14"/>
                <w:szCs w:val="14"/>
                <w:color w:val="auto"/>
              </w:rPr>
              <w:t>Investing activities</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(468)</w:t>
            </w:r>
          </w:p>
        </w:tc>
      </w:tr>
      <w:tr>
        <w:trPr>
          <w:trHeight w:val="276"/>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Financing activities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Balance Sheet Data (at period end):</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6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64"/>
        </w:trPr>
        <w:tc>
          <w:tcPr>
            <w:tcW w:w="6280" w:type="dxa"/>
            <w:vAlign w:val="bottom"/>
          </w:tcPr>
          <w:p>
            <w:pPr>
              <w:ind w:left="10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5,056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5,175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1,095</w:t>
            </w:r>
          </w:p>
        </w:tc>
      </w:tr>
      <w:tr>
        <w:trPr>
          <w:trHeight w:val="276"/>
        </w:trPr>
        <w:tc>
          <w:tcPr>
            <w:tcW w:w="6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assets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1,461</w:t>
            </w:r>
          </w:p>
        </w:tc>
      </w:tr>
      <w:tr>
        <w:trPr>
          <w:trHeight w:val="264"/>
        </w:trPr>
        <w:tc>
          <w:tcPr>
            <w:tcW w:w="6280" w:type="dxa"/>
            <w:vAlign w:val="bottom"/>
          </w:tcPr>
          <w:p>
            <w:pPr>
              <w:ind w:left="100"/>
              <w:spacing w:after="0"/>
              <w:rPr>
                <w:sz w:val="20"/>
                <w:szCs w:val="20"/>
                <w:color w:val="auto"/>
              </w:rPr>
            </w:pPr>
            <w:r>
              <w:rPr>
                <w:rFonts w:ascii="Arial" w:cs="Arial" w:eastAsia="Arial" w:hAnsi="Arial"/>
                <w:sz w:val="14"/>
                <w:szCs w:val="14"/>
                <w:color w:val="auto"/>
              </w:rPr>
              <w:t>Long-term debt, including current maturities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4,835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4,938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445</w:t>
            </w:r>
          </w:p>
        </w:tc>
      </w:tr>
      <w:tr>
        <w:trPr>
          <w:trHeight w:val="276"/>
        </w:trPr>
        <w:tc>
          <w:tcPr>
            <w:tcW w:w="6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liabilities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5,251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652</w:t>
            </w:r>
          </w:p>
        </w:tc>
      </w:tr>
      <w:tr>
        <w:trPr>
          <w:trHeight w:val="258"/>
        </w:trPr>
        <w:tc>
          <w:tcPr>
            <w:tcW w:w="6280" w:type="dxa"/>
            <w:vAlign w:val="bottom"/>
          </w:tcPr>
          <w:p>
            <w:pPr>
              <w:ind w:left="100"/>
              <w:spacing w:after="0"/>
              <w:rPr>
                <w:sz w:val="20"/>
                <w:szCs w:val="20"/>
                <w:color w:val="auto"/>
              </w:rPr>
            </w:pPr>
            <w:r>
              <w:rPr>
                <w:rFonts w:ascii="Arial" w:cs="Arial" w:eastAsia="Arial" w:hAnsi="Arial"/>
                <w:sz w:val="14"/>
                <w:szCs w:val="14"/>
                <w:color w:val="auto"/>
              </w:rPr>
              <w:t>Total members' equity</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2,434</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2,476</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1,339</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809</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7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w:t>
      </w:r>
      <w:r>
        <w:rPr>
          <w:rFonts w:ascii="Arial" w:cs="Arial" w:eastAsia="Arial" w:hAnsi="Arial"/>
          <w:sz w:val="18"/>
          <w:szCs w:val="18"/>
          <w:b w:val="1"/>
          <w:bCs w:val="1"/>
          <w:color w:val="auto"/>
        </w:rPr>
        <w:t>Management's Discussion and Analysis of Financial Condition and the Results of Operations</w:t>
      </w:r>
    </w:p>
    <w:p>
      <w:pPr>
        <w:spacing w:after="0" w:line="17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The following discussion analyzes the Company's historical financial condition and results of operations, which were recast to include the effect of the June 2014 Drop Down Assets, the January 2015 Drop Down Assets and the November 2015 Drop Down Assets, which were acquired on June 30, 2014, January 2, 2015, and November 3, 2015, respectively. As further discussed in Item 15 — Note 1, </w:t>
      </w:r>
      <w:r>
        <w:rPr>
          <w:rFonts w:ascii="Arial" w:cs="Arial" w:eastAsia="Arial" w:hAnsi="Arial"/>
          <w:sz w:val="17"/>
          <w:szCs w:val="17"/>
          <w:i w:val="1"/>
          <w:iCs w:val="1"/>
          <w:color w:val="auto"/>
        </w:rPr>
        <w:t>Nature of Business</w:t>
      </w:r>
      <w:r>
        <w:rPr>
          <w:rFonts w:ascii="Arial" w:cs="Arial" w:eastAsia="Arial" w:hAnsi="Arial"/>
          <w:sz w:val="17"/>
          <w:szCs w:val="17"/>
          <w:color w:val="auto"/>
        </w:rPr>
        <w:t xml:space="preserve">, to the Consolidated Financial Statements, the purchases of these assets were accounted for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whereas the assets and liabilities transferred to the Company relate to interests under common control by NRG and, accordingly, were recorded at historical cost. The difference between the cash proceeds and historical value of the net assets was recorded as a distribution to/from NRG and offset the Company's contributed capital balance. The guidance requires retrospective combination of the entities for all periods presented as if the combination has been in effect since the inception of common control. Accordingly, the Company prepared its consolidated financial statements to reflect the transfers as if they had taken place from the beginning of the financial statements period (January 1, 2013), or from the date the entities were under common control (if later than the beginning of the financial statements period). The financial statements reflect the transfers as if they had taken place on May 13, 2013, for Kansas South, March 28, 2013, for TA High Desert and April 1, 2014, for the January 2015 Drop Down Assets and the majority of the November 2015 Drop Down Assets, which represents the date these entities were acquired by NRG.</w:t>
      </w:r>
    </w:p>
    <w:p>
      <w:pPr>
        <w:spacing w:after="0" w:line="7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for all periods prior to the formation of the Company, the discussion reflects the Company's accounting predecessor, NRG Yield, the financial statements of which were prepared on a ''carve-out'' basis from NRG and are intended to represent the financial results of the contracted renewable energy and conventional generation and thermal infrastructure assets in the U.S. that were acquired by the Company on July 22, 2013. For all periods subsequent to the formation of the Company, the discussion reflects the Company's consolidated financial results.</w:t>
      </w:r>
    </w:p>
    <w:p>
      <w:pPr>
        <w:spacing w:after="0" w:line="6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As you read this discussion and analysis, refer to the Company's Consolidated Statements of Operations to this Form 10-K, which present the results of operations for the years ended December 31, 2015, 2014 and 2013. Also refer to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and Item 1A — </w:t>
      </w:r>
      <w:r>
        <w:rPr>
          <w:rFonts w:ascii="Arial" w:cs="Arial" w:eastAsia="Arial" w:hAnsi="Arial"/>
          <w:sz w:val="18"/>
          <w:szCs w:val="18"/>
          <w:i w:val="1"/>
          <w:iCs w:val="1"/>
          <w:color w:val="auto"/>
        </w:rPr>
        <w:t>Risk Factors</w:t>
      </w:r>
      <w:r>
        <w:rPr>
          <w:rFonts w:ascii="Arial" w:cs="Arial" w:eastAsia="Arial" w:hAnsi="Arial"/>
          <w:sz w:val="18"/>
          <w:szCs w:val="18"/>
          <w:color w:val="auto"/>
        </w:rPr>
        <w:t>, which include detailed discussions of various items impacting the Company's business, results of operations and financial condition.</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17" w:lineRule="exact"/>
        <w:rPr>
          <w:sz w:val="20"/>
          <w:szCs w:val="20"/>
          <w:color w:val="auto"/>
        </w:rPr>
      </w:pPr>
    </w:p>
    <w:p>
      <w:pPr>
        <w:ind w:left="1300" w:right="640" w:hanging="320"/>
        <w:spacing w:after="0" w:line="277" w:lineRule="auto"/>
        <w:tabs>
          <w:tab w:leader="none" w:pos="13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operations;</w:t>
      </w:r>
    </w:p>
    <w:p>
      <w:pPr>
        <w:spacing w:after="0" w:line="8" w:lineRule="exact"/>
        <w:rPr>
          <w:rFonts w:ascii="Arial" w:cs="Arial" w:eastAsia="Arial" w:hAnsi="Arial"/>
          <w:sz w:val="18"/>
          <w:szCs w:val="18"/>
          <w:color w:val="231F20"/>
        </w:rPr>
      </w:pPr>
    </w:p>
    <w:p>
      <w:pPr>
        <w:ind w:left="1300" w:right="460" w:hanging="320"/>
        <w:spacing w:after="0" w:line="277" w:lineRule="auto"/>
        <w:tabs>
          <w:tab w:leader="none" w:pos="13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Known trends that may affect the Company’s results of operations and financial condition in the future; and</w:t>
      </w:r>
    </w:p>
    <w:p>
      <w:pPr>
        <w:spacing w:after="0" w:line="63" w:lineRule="exact"/>
        <w:rPr>
          <w:rFonts w:ascii="Arial" w:cs="Arial" w:eastAsia="Arial" w:hAnsi="Arial"/>
          <w:sz w:val="18"/>
          <w:szCs w:val="18"/>
          <w:color w:val="auto"/>
        </w:rPr>
      </w:pPr>
    </w:p>
    <w:p>
      <w:pPr>
        <w:ind w:left="1300" w:right="180" w:hanging="320"/>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ind w:right="2300" w:firstLine="405"/>
        <w:spacing w:after="0" w:line="308" w:lineRule="auto"/>
        <w:rPr>
          <w:sz w:val="20"/>
          <w:szCs w:val="20"/>
          <w:color w:val="auto"/>
        </w:rPr>
      </w:pPr>
      <w:r>
        <w:rPr>
          <w:rFonts w:ascii="Arial" w:cs="Arial" w:eastAsia="Arial" w:hAnsi="Arial"/>
          <w:sz w:val="17"/>
          <w:szCs w:val="17"/>
          <w:color w:val="auto"/>
        </w:rPr>
        <w:t>The Company is a dividend growth-oriented company formed to serve as the primary vehicle through which NRG owns, operates and acquires contracted renewable and conventional generation and thermal infrastructure assets.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owns a diversified portfolio of contracted renewable and conventional generation and thermal infrastructure</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assets in the U.S. The Company’s contracted generation portfolio collectively represents </w:t>
      </w:r>
      <w:r>
        <w:rPr>
          <w:rFonts w:ascii="Arial" w:cs="Arial" w:eastAsia="Arial" w:hAnsi="Arial"/>
          <w:sz w:val="17"/>
          <w:szCs w:val="17"/>
          <w:color w:val="231F20"/>
        </w:rPr>
        <w:t>4,435 net MW.</w:t>
      </w:r>
      <w:r>
        <w:rPr>
          <w:rFonts w:ascii="Arial" w:cs="Arial" w:eastAsia="Arial" w:hAnsi="Arial"/>
          <w:sz w:val="17"/>
          <w:szCs w:val="17"/>
          <w:color w:val="auto"/>
        </w:rPr>
        <w:t xml:space="preserve"> Each of these assets sells substantially all of its output pursuant to long-term offtake agreements with creditworthy counterparties. The average remaining contract duration of these offtake agreements was approximately </w:t>
      </w:r>
      <w:r>
        <w:rPr>
          <w:rFonts w:ascii="Arial" w:cs="Arial" w:eastAsia="Arial" w:hAnsi="Arial"/>
          <w:sz w:val="17"/>
          <w:szCs w:val="17"/>
          <w:color w:val="231F20"/>
        </w:rPr>
        <w:t>17 years as of</w:t>
      </w:r>
      <w:r>
        <w:rPr>
          <w:rFonts w:ascii="Arial" w:cs="Arial" w:eastAsia="Arial" w:hAnsi="Arial"/>
          <w:sz w:val="17"/>
          <w:szCs w:val="17"/>
          <w:color w:val="auto"/>
        </w:rPr>
        <w:t xml:space="preserve"> December 31, 2015</w:t>
      </w:r>
      <w:r>
        <w:rPr>
          <w:rFonts w:ascii="Arial" w:cs="Arial" w:eastAsia="Arial" w:hAnsi="Arial"/>
          <w:sz w:val="17"/>
          <w:szCs w:val="17"/>
          <w:color w:val="231F20"/>
        </w:rPr>
        <w:t>,</w:t>
      </w:r>
      <w:r>
        <w:rPr>
          <w:rFonts w:ascii="Arial" w:cs="Arial" w:eastAsia="Arial" w:hAnsi="Arial"/>
          <w:sz w:val="17"/>
          <w:szCs w:val="17"/>
          <w:color w:val="auto"/>
        </w:rPr>
        <w:t xml:space="preserve"> based on CAFD</w:t>
      </w:r>
      <w:r>
        <w:rPr>
          <w:rFonts w:ascii="Arial" w:cs="Arial" w:eastAsia="Arial" w:hAnsi="Arial"/>
          <w:sz w:val="17"/>
          <w:szCs w:val="17"/>
          <w:color w:val="231F20"/>
        </w:rPr>
        <w:t>. The Company also owns thermal infrastructure assets with an aggregate steam and chilled</w:t>
      </w:r>
      <w:r>
        <w:rPr>
          <w:rFonts w:ascii="Arial" w:cs="Arial" w:eastAsia="Arial" w:hAnsi="Arial"/>
          <w:sz w:val="17"/>
          <w:szCs w:val="17"/>
          <w:color w:val="auto"/>
        </w:rPr>
        <w:t xml:space="preserve"> </w:t>
      </w:r>
      <w:r>
        <w:rPr>
          <w:rFonts w:ascii="Arial" w:cs="Arial" w:eastAsia="Arial" w:hAnsi="Arial"/>
          <w:sz w:val="17"/>
          <w:szCs w:val="17"/>
          <w:color w:val="231F20"/>
        </w:rPr>
        <w:t>water capacity of 1,315 net MWt and electric generation capacity of 124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77" w:right="239" w:bottom="1440" w:gutter="0" w:footer="0" w:header="0"/>
        </w:sectPr>
      </w:pPr>
    </w:p>
    <w:bookmarkStart w:id="34" w:name="page35"/>
    <w:bookmarkEnd w:id="34"/>
    <w:p>
      <w:pPr>
        <w:ind w:left="80"/>
        <w:spacing w:after="0"/>
        <w:rPr>
          <w:sz w:val="20"/>
          <w:szCs w:val="20"/>
          <w:color w:val="auto"/>
        </w:rPr>
      </w:pPr>
      <w:r>
        <w:rPr>
          <w:rFonts w:ascii="Arial" w:cs="Arial" w:eastAsia="Arial" w:hAnsi="Arial"/>
          <w:sz w:val="18"/>
          <w:szCs w:val="18"/>
          <w:b w:val="1"/>
          <w:bCs w:val="1"/>
          <w:color w:val="auto"/>
        </w:rPr>
        <w:t>Government Incentives</w:t>
      </w:r>
    </w:p>
    <w:p>
      <w:pPr>
        <w:spacing w:after="0" w:line="17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Government incentives can enhance the economics of the Company's generating assets or investments by providing, for example, loan guarantees, cash grants, favorable tax treatment, favorable depreciation rules, or other incentives. Certain changes in law enhance federal incentives for renewable generation</w:t>
      </w:r>
    </w:p>
    <w:p>
      <w:pPr>
        <w:jc w:val="both"/>
        <w:spacing w:after="0" w:line="255" w:lineRule="auto"/>
        <w:rPr>
          <w:sz w:val="20"/>
          <w:szCs w:val="20"/>
          <w:color w:val="auto"/>
        </w:rPr>
      </w:pPr>
      <w:r>
        <w:rPr>
          <w:rFonts w:ascii="Arial" w:cs="Arial" w:eastAsia="Arial" w:hAnsi="Arial"/>
          <w:sz w:val="18"/>
          <w:szCs w:val="18"/>
          <w:color w:val="auto"/>
        </w:rPr>
        <w:t>— including through the extensions of the wind power PTC and the solar power ITC — and could incentivize the development of additional renewable energy projects that would fit within the Company’s asset portfolio. In addition, direct cash incentives may encourage additional renewable energy development by entities that cannot presently benefit from tax credits.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 During the Year Ended December 31, 2015</w:t>
      </w:r>
    </w:p>
    <w:p>
      <w:pPr>
        <w:spacing w:after="0" w:line="175" w:lineRule="exact"/>
        <w:rPr>
          <w:sz w:val="20"/>
          <w:szCs w:val="20"/>
          <w:color w:val="auto"/>
        </w:rPr>
      </w:pPr>
    </w:p>
    <w:p>
      <w:pPr>
        <w:jc w:val="both"/>
        <w:ind w:left="66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November 3, 2015, the Company acquired 75% of the Class B interests of NRG Wind TE Holdco, or the November 2015 Drop Down Assets, which owns a portfolio of 12 wind facilities totaling 814 net MW, from NRG for total cash consideration of $209 million. In February 2016, NRG made a final working capital payment of $2 million, reducing total cash consideration to $207 million. The Company is responsible for its pro-rata share of non-recourse project debt of $193 million and noncontrolling interest associated with a tax equity structure of $159 million (as of the acquisition date).</w:t>
      </w:r>
    </w:p>
    <w:p>
      <w:pPr>
        <w:spacing w:after="0" w:line="188"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June 30, 2015, the Company sold an economic interest in the Alta X and Alta XI wind facilities through a tax equity financing arrangement and received $119 million in net proceeds. These proceeds, as well as proceeds obtained from the Company's June 2015 equity and debt offerings discussed below, were utilized to repay all of the outstanding project indebtedness associated with the Alta X and Alta XI wind facilities.</w:t>
      </w:r>
    </w:p>
    <w:p>
      <w:pPr>
        <w:spacing w:after="0" w:line="106"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June 29, 2015, Yield, Inc. issued 28,198,000 shares of Class C common stock for net proceeds, after underwriting discounts and expenses, of $599 million. Yield, Inc. utilized the proceeds of the offering to acquire 28,198,000 additional Class C units of the Company and, as a result, it currently owns 53.3% of the economic interests of the Company, with NRG retaining 46.7% of the economic interests of the Company. Additionally, on June 29, 2015, Yield, Inc. completed an offering of $287.5 million aggregate principal amount of 3.25% Convertible Notes due 2020, which proceeds were subsequently lent to the Company.</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June 29, 2015, the Company acquired 25% of the membership interest in Desert Sunlight Investment Holdings, LLC, which owns two solar photovoltaic facilities totaling 550 MW, located in Desert Center, California, from EFS Desert Sun, LLC, a subsidiary of GE Energy Financial Services, for a purchase price of $285 million, utilizing a portion of the proceeds from the Yield, Inc. Class C common stock issuance. The Company's pro-rata share of non-recourse project level debt was $272 million as of December 31, 2015.</w:t>
      </w:r>
    </w:p>
    <w:p>
      <w:pPr>
        <w:spacing w:after="0" w:line="186"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Effective May 14, 2015, Yield, Inc. amended its certificate of incorporation to create two new classes of capital stock, Class C common stock and Class D common stock, and distributed shares of the Class C common stock and Class D common stock to holders of the Yield, Inc.'s outstanding Class A common stock and Class B common stock, respectively, through a stock split, which is referred to as the Recapitalization. The Recapitalization enhances Yield, Inc.'s and the Company’s ability to focus on growth opportunities without the constraints of NRG’s capital allocation to the Company, while maintaining Yield, Inc.'s and the Company’s relationship with NRG. The Recapitalization preserves NRG’s management and operational expertise, asset development and acquisition track record, financing experience and provides flexibility to raise capital to fund the Company's growth. The Company also amended its operating agreement to reflect the Recapitalization. Effective May 14, 2015, each Class A unit of the Company was automatically reclassified into one Class A unit and one Class C unit and each Class B unit of the Company was automatically reclassified into one Class B unit and one Class D unit.</w:t>
      </w:r>
    </w:p>
    <w:p>
      <w:pPr>
        <w:spacing w:after="0" w:line="181" w:lineRule="exact"/>
        <w:rPr>
          <w:rFonts w:ascii="Arial" w:cs="Arial" w:eastAsia="Arial" w:hAnsi="Arial"/>
          <w:sz w:val="17"/>
          <w:szCs w:val="17"/>
          <w:color w:val="auto"/>
        </w:rPr>
      </w:pPr>
    </w:p>
    <w:p>
      <w:pPr>
        <w:jc w:val="both"/>
        <w:ind w:left="660"/>
        <w:spacing w:after="0" w:line="255" w:lineRule="auto"/>
        <w:rPr>
          <w:rFonts w:ascii="Arial" w:cs="Arial" w:eastAsia="Arial" w:hAnsi="Arial"/>
          <w:sz w:val="17"/>
          <w:szCs w:val="17"/>
          <w:color w:val="auto"/>
        </w:rPr>
      </w:pPr>
      <w:r>
        <w:rPr>
          <w:rFonts w:ascii="Arial" w:cs="Arial" w:eastAsia="Arial" w:hAnsi="Arial"/>
          <w:sz w:val="18"/>
          <w:szCs w:val="18"/>
          <w:color w:val="auto"/>
        </w:rPr>
        <w:t>The Yield Inc. Class C common stock and Class D common stock have the same rights and privileges and rank equally, share ratably and are identical in all respects to the shares of Class A common stock and Class B common stock, respectively, as to all matters, except that each share of Class C common stock and Class D common stock is entitled to 1/100th of a vote on all stockholder matters. Generally, the rights associated with each of the Company's Class C units mirror the rights associated with each Class A unit, and the rights associated with each Class D unit mirror the rights associated with each Class B unit. Like holders of the Company's Class A units and Class B units, holders of Class C units and Class D units have no voting rights.</w:t>
      </w:r>
    </w:p>
    <w:p>
      <w:pPr>
        <w:spacing w:after="0" w:line="193"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In connection with the Recapitalization, the ROFO Agreement was amended to make additional assets available to the Company and Yield, Inc. should NRG choose to sell them, including (i) two natural gas facilities totaling 795 MW of net capacity that are expected to reach COD in 2017 and 2020, (ii) an equity interest in a wind portfolio that includes wind facilities totaling approximately 934 MW of net capacity, the majority of which was sold to the Company 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77" w:right="239" w:bottom="1440" w:gutter="0" w:footer="0" w:header="0"/>
        </w:sectPr>
      </w:pPr>
    </w:p>
    <w:bookmarkStart w:id="35" w:name="page36"/>
    <w:bookmarkEnd w:id="35"/>
    <w:p>
      <w:pPr>
        <w:ind w:left="660"/>
        <w:spacing w:after="0" w:line="277" w:lineRule="auto"/>
        <w:rPr>
          <w:sz w:val="20"/>
          <w:szCs w:val="20"/>
          <w:color w:val="auto"/>
        </w:rPr>
      </w:pPr>
      <w:r>
        <w:rPr>
          <w:rFonts w:ascii="Arial" w:cs="Arial" w:eastAsia="Arial" w:hAnsi="Arial"/>
          <w:sz w:val="18"/>
          <w:szCs w:val="18"/>
          <w:color w:val="auto"/>
        </w:rPr>
        <w:t>November 3, 2015, and (iii) up to $250 million of equity interests in one or more residential or distributed solar generation portfolios developed by affiliates of NRG.</w:t>
      </w:r>
    </w:p>
    <w:p>
      <w:pPr>
        <w:spacing w:after="0" w:line="116" w:lineRule="exact"/>
        <w:rPr>
          <w:sz w:val="20"/>
          <w:szCs w:val="20"/>
          <w:color w:val="auto"/>
        </w:rPr>
      </w:pPr>
    </w:p>
    <w:p>
      <w:pPr>
        <w:jc w:val="both"/>
        <w:ind w:left="660" w:hanging="328"/>
        <w:spacing w:after="0" w:line="290"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May 8, 2015, the Company and NRG entered into a partnership by forming NRG DGPV Holdco 1 LLC, or DGPV Holdco 1, the purpose of which is to own or purchase solar power generation projects and other ancillary related assets from NRG Renew DG Holdings LLC, via intermediate funds, including: (i) a tax equity-financed portfolio of 10 recently completed community solar projects representing approximately 8 MW with a weighted average remaining PPA term of 20 years; and (ii) a tax equity-financed portfolio of approximately 12 commercial photovoltaic systems representing approximately 37 MW with a weighted average remaining PPA term of 19 years. Under this partnership, the Company committed to fund up to $100 million of capital. On February 29, 2016, the Company and NRG entered into an additional partnership by forming NRG DGPV Holdco 2 LLC, or DGPV Holdco 2, to own or purchase solar power generation projects and other ancillary related assets from NRG Renew LLC or its subsidiaries, via intermediate funds. Under this partnership, the Company committed to fund up to $50 million of capital.</w:t>
      </w:r>
    </w:p>
    <w:p>
      <w:pPr>
        <w:spacing w:after="0" w:line="125" w:lineRule="exact"/>
        <w:rPr>
          <w:rFonts w:ascii="Arial" w:cs="Arial" w:eastAsia="Arial" w:hAnsi="Arial"/>
          <w:sz w:val="16"/>
          <w:szCs w:val="16"/>
          <w:color w:val="auto"/>
        </w:rPr>
      </w:pPr>
    </w:p>
    <w:p>
      <w:pPr>
        <w:jc w:val="both"/>
        <w:ind w:left="660" w:right="2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May 7, 2015, the Company acquired a 90.1% interest in Spring Canyon II, a 32 MW wind facility, and Spring Canyon III, a 28 MW wind facility, each located in Logan County, Colorado, from Invenergy Wind Global LLC. The purchase price was funded with cash on hand. Power generated by Spring Canyon II and Spring Canyon III is sold to Platte River Power Authority under long-term PPAs with approximately 24 years of remaining contract life.</w:t>
      </w:r>
    </w:p>
    <w:p>
      <w:pPr>
        <w:spacing w:after="0" w:line="146"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April 30, 2015, the Company completed the acquisition of the University of Bridgeport Fuel Cell project in Bridgeport, Connecticut from FuelCell Energy, Inc. The project added an additional 1.4 MW of thermal capacity with a 12-year contract, with the option for a 7-year extension.</w:t>
      </w:r>
    </w:p>
    <w:p>
      <w:pPr>
        <w:spacing w:after="0" w:line="69" w:lineRule="exact"/>
        <w:rPr>
          <w:rFonts w:ascii="Arial" w:cs="Arial" w:eastAsia="Arial" w:hAnsi="Arial"/>
          <w:sz w:val="16"/>
          <w:szCs w:val="16"/>
          <w:color w:val="auto"/>
        </w:rPr>
      </w:pPr>
    </w:p>
    <w:p>
      <w:pPr>
        <w:jc w:val="both"/>
        <w:ind w:left="660" w:hanging="328"/>
        <w:spacing w:after="0" w:line="29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April 9, 2015, the Company and NRG entered into a partnership by forming RPV Holdco, to invest in and hold operating portfolios of residential solar assets developed by NRG Home Solar, a subsidiary of NRG, including: (i) an existing, unlevered portfolio of over 2,200 leases across nine states representing approximately 17 MW with a weighted average remaining lease term of approximately 17 years, in which the Company invested $26 million in April 2015; and (ii) a tax equity financed portfolio of approximately 5,700 leases representing approximately 40 MW, with an average lease term for the existing and new leases of approximately 17 to 20 years, in which the Company invested $36 million of its $150 million commitment through December 31, 2015. On February 29, 2016, the Company and NRG amended the RPV Holdco partnership to reduce the aggregate commitment of $150 million to $100 million in connection with the formation of DGPV Holdco 2 discussed above.</w:t>
      </w:r>
    </w:p>
    <w:p>
      <w:pPr>
        <w:spacing w:after="0" w:line="113" w:lineRule="exact"/>
        <w:rPr>
          <w:rFonts w:ascii="Arial" w:cs="Arial" w:eastAsia="Arial" w:hAnsi="Arial"/>
          <w:sz w:val="16"/>
          <w:szCs w:val="16"/>
          <w:color w:val="auto"/>
        </w:rPr>
      </w:pPr>
    </w:p>
    <w:p>
      <w:pPr>
        <w:jc w:val="both"/>
        <w:ind w:left="660" w:hanging="328"/>
        <w:spacing w:after="0" w:line="27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January 2, 2015, the Company acquired the following projects from NRG: (i) Laredo Ridge, an 80 MW wind facility located in Petersburg, Nebraska, (ii) Tapestry, which includes Buffalo Bear, a 19 MW wind facility in Buffalo, Oklahoma; Taloga, a 130 MW wind facility in Putnam, Oklahoma; and Pinnacle, a 55 MW wind facility in Keyser, West Virginia, and (iii) Walnut Creek, a 485 MW natural gas facility located in City of Industry, California, for total cash consideration of $489 million, including $9 million for working capital, plus assumed project-level debt of $737 million. The Company funded the acquisition with cash on hand and drawings under its revolving credit facility.</w:t>
      </w:r>
    </w:p>
    <w:p>
      <w:pPr>
        <w:spacing w:after="0" w:line="118"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January 2015, El Segundo experienced a steam turbine water intrusion resulting in a forced outage on Units 5 and 6. The units returned to service in April 2015. The Company completed a root cause analysis and has implemented steps to prevent a recurrence of the event. The Company reviewed the financial impact of repair costs and lost capacity revenue and collected approximately $4 million of insurance proceeds in the fourth quarter of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 During the Year Ended December 31, 2014</w:t>
      </w:r>
    </w:p>
    <w:p>
      <w:pPr>
        <w:spacing w:after="0" w:line="175" w:lineRule="exact"/>
        <w:rPr>
          <w:sz w:val="20"/>
          <w:szCs w:val="20"/>
          <w:color w:val="auto"/>
        </w:rPr>
      </w:pPr>
    </w:p>
    <w:p>
      <w:pPr>
        <w:jc w:val="both"/>
        <w:ind w:left="660" w:hanging="328"/>
        <w:spacing w:after="0" w:line="25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On August 12, 2014, the Company acquired 100% of the membership interests of Alta Wind Asset Management Holdings, LLC, Alta Wind Company, LLC, Alta Wind X Holding Company, LLC and Alta Wind XI Holding Company, LLC, which collectively own seven wind facilities that total 947 MW located in Tehachapi, California, and a portfolio of associated land leases, or the Alta Wind Portfolio. The purchase price for the Alta Wind Portfolio was $923 million, which included a base purchase price of $870 million, and a payment for working capital of $53 million, plus the assumption of $1.6 billion of non-recourse project-level debt. In order to fund the purchase price, Yield, Inc. completed an equity offering of 12,075,000 shares of its Class A common stock on July 29, 2014, which resulted in net proceeds of $630 million, after underwriting discounts and expenses, that were utilized to acquire additional Class A units in the Company. In addition, on August 5, 2014, Yield Operating LLC, the holder of the project assets that belong to the Company, issued $500 million of Senior Notes, as described in Item 15 — Note 9, </w:t>
      </w:r>
      <w:r>
        <w:rPr>
          <w:rFonts w:ascii="Arial" w:cs="Arial" w:eastAsia="Arial" w:hAnsi="Arial"/>
          <w:sz w:val="18"/>
          <w:szCs w:val="18"/>
          <w:i w:val="1"/>
          <w:iCs w:val="1"/>
          <w:color w:val="auto"/>
        </w:rPr>
        <w:t>Long-term Debt</w:t>
      </w:r>
      <w:r>
        <w:rPr>
          <w:rFonts w:ascii="Arial" w:cs="Arial" w:eastAsia="Arial" w:hAnsi="Arial"/>
          <w:sz w:val="18"/>
          <w:szCs w:val="18"/>
          <w:color w:val="auto"/>
        </w:rPr>
        <w:t>, to the Consolidated Financial Statements</w:t>
      </w:r>
      <w:r>
        <w:rPr>
          <w:rFonts w:ascii="Arial" w:cs="Arial" w:eastAsia="Arial" w:hAnsi="Arial"/>
          <w:sz w:val="18"/>
          <w:szCs w:val="18"/>
          <w:i w:val="1"/>
          <w:iCs w:val="1"/>
          <w:color w:val="auto"/>
        </w:rPr>
        <w:t>.</w:t>
      </w:r>
    </w:p>
    <w:p>
      <w:pPr>
        <w:spacing w:after="0" w:line="14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30, 2014, the Company acquired from NRG: (i) El Segundo, a 550 MW fast-start, gas-fired facility located in Los Angeles County, California; (ii) TA High Desert, a 20 MW solar facility located in Los Angeles County, California; and (iii) Kansas South, a 20 MW solar facility located in Kings County, California. The assets were acquired pursuant to the ROFO Agreement. The Company paid NRG total cash consideration of $357 million, which represents a base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81" w:right="239" w:bottom="1440" w:gutter="0" w:footer="0" w:header="0"/>
        </w:sectPr>
      </w:pPr>
    </w:p>
    <w:bookmarkStart w:id="36" w:name="page37"/>
    <w:bookmarkEnd w:id="36"/>
    <w:p>
      <w:pPr>
        <w:ind w:left="660"/>
        <w:spacing w:after="0" w:line="324" w:lineRule="auto"/>
        <w:rPr>
          <w:sz w:val="20"/>
          <w:szCs w:val="20"/>
          <w:color w:val="auto"/>
        </w:rPr>
      </w:pPr>
      <w:r>
        <w:rPr>
          <w:rFonts w:ascii="Arial" w:cs="Arial" w:eastAsia="Arial" w:hAnsi="Arial"/>
          <w:sz w:val="18"/>
          <w:szCs w:val="18"/>
          <w:color w:val="auto"/>
        </w:rPr>
        <w:t>purchase price of $349 million and a payment for working capital of $8 million. In addition, the acquisition included the assumption of $612 million in project level debt.</w:t>
      </w:r>
    </w:p>
    <w:p>
      <w:pPr>
        <w:spacing w:after="0" w:line="89"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first quarter of 2014, Yield, Inc. issued $345 million in aggregate principal amount of its convertible notes and entered into an intercompany borrowing arrangement under which the Company borrowed $337 million of the proceeds of the convertible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 During the Year Ended December 31, 2013</w:t>
      </w:r>
    </w:p>
    <w:p>
      <w:pPr>
        <w:spacing w:after="0" w:line="175" w:lineRule="exact"/>
        <w:rPr>
          <w:sz w:val="20"/>
          <w:szCs w:val="20"/>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On December 31, 2013, NRG Energy Center Omaha Holdings, LLC, an indirect wholly owned subsidiary of the Company, acquired Energy Systems Company, or Energy Systems, an operator of steam and chilled thermal facilities that provides heating and cooling services to nonresidential customers in Omaha, Nebraska. See Item 15 —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to the Consolidated Financial Statements for information related to the acquisition.</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During 2013, Alpine, Avra, Borrego, CVSR, El Segundo, Marsh Landing, Kansas South, and TA High Desert achieved COD. In addition, Borrego completed financing arrangements with a group of lenders. See Item 15— Note 9, </w:t>
      </w:r>
      <w:r>
        <w:rPr>
          <w:rFonts w:ascii="Arial" w:cs="Arial" w:eastAsia="Arial" w:hAnsi="Arial"/>
          <w:sz w:val="18"/>
          <w:szCs w:val="18"/>
          <w:i w:val="1"/>
          <w:iCs w:val="1"/>
          <w:color w:val="auto"/>
        </w:rPr>
        <w:t>Long-term Debt</w:t>
      </w:r>
      <w:r>
        <w:rPr>
          <w:rFonts w:ascii="Arial" w:cs="Arial" w:eastAsia="Arial" w:hAnsi="Arial"/>
          <w:sz w:val="18"/>
          <w:szCs w:val="18"/>
          <w:color w:val="auto"/>
        </w:rPr>
        <w:t>, to the Consolidated Financial Statements for information related to these financing activities.</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NRG Yield, Inc. completed its initial public offering of its Class A common stock on July 22, 2013. See Item 15—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to the Consolidated Financial Statements for information related to the initial public offering.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Regulatory Matters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Details of environmental matters and regulatory matters are presented in Item 1 — </w:t>
      </w:r>
      <w:r>
        <w:rPr>
          <w:rFonts w:ascii="Arial" w:cs="Arial" w:eastAsia="Arial" w:hAnsi="Arial"/>
          <w:sz w:val="18"/>
          <w:szCs w:val="18"/>
          <w:i w:val="1"/>
          <w:iCs w:val="1"/>
          <w:color w:val="auto"/>
        </w:rPr>
        <w:t>Business, 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r>
        <w:rPr>
          <w:rFonts w:ascii="Arial" w:cs="Arial" w:eastAsia="Arial" w:hAnsi="Arial"/>
          <w:sz w:val="18"/>
          <w:szCs w:val="18"/>
          <w:color w:val="auto"/>
        </w:rPr>
        <w:t>. Details of some of this information relate to costs that may impact the Company's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Wind and Solar Resource Availability</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Wind and solar resource availability can affect the Company's results. The Company's results were impacted by lower than normal wind resource availability in 2015. While the Company's wind facilities were available, adverse weather had a negative impact on wind resources. The Company cannot predict wind and solar resource availability and their related impacts on future results.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Market Conditions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 xml:space="preserve">The Company and its peer group have recently experienced difficult conditions in the capital markets. The Company’s growth strategy depends on its ability to identify and acquire additional conventional and renewable facilities from NRG and unaffiliated third parties. A prolonged disruption in the equity capital market conditions could make it difficult for the Company to successfully acquire attractive projects from NRG or third parties and may also limit Yield, Inc.’s or the Company's ability to obtain debt or equity financing to complete such acquisitions. If the Company is unable to raise adequate proceeds when needed to fund such acquisitions, the ability to grow its project portfolio may be limited, which could have a material adverse effect on the Company’s ability to implement its growth strategy. A full description of the risks applicable to the Company's business is presented in Item 1A,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90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2015 compared to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29"/>
        </w:trPr>
        <w:tc>
          <w:tcPr>
            <w:tcW w:w="74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otherwise noted)</w:t>
            </w:r>
          </w:p>
        </w:tc>
        <w:tc>
          <w:tcPr>
            <w:tcW w:w="260" w:type="dxa"/>
            <w:vAlign w:val="bottom"/>
          </w:tcPr>
          <w:p>
            <w:pPr>
              <w:spacing w:after="0"/>
              <w:rPr>
                <w:sz w:val="19"/>
                <w:szCs w:val="19"/>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44"/>
        </w:trPr>
        <w:tc>
          <w:tcPr>
            <w:tcW w:w="7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Energy and capacity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8"/>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Mark-to-market economic hedging activities</w:t>
            </w:r>
          </w:p>
        </w:tc>
        <w:tc>
          <w:tcPr>
            <w:tcW w:w="2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37"/>
        </w:trPr>
        <w:tc>
          <w:tcPr>
            <w:tcW w:w="746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Cost of fuels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Operations and maintenance</w:t>
            </w:r>
          </w:p>
        </w:tc>
        <w:tc>
          <w:tcPr>
            <w:tcW w:w="260" w:type="dxa"/>
            <w:vAlign w:val="bottom"/>
          </w:tcPr>
          <w:p>
            <w:pPr>
              <w:spacing w:after="0"/>
              <w:rPr>
                <w:sz w:val="21"/>
                <w:szCs w:val="21"/>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cost of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Acquisition-related transaction and integration costs</w:t>
            </w:r>
          </w:p>
        </w:tc>
        <w:tc>
          <w:tcPr>
            <w:tcW w:w="260" w:type="dxa"/>
            <w:vAlign w:val="bottom"/>
          </w:tcPr>
          <w:p>
            <w:pPr>
              <w:spacing w:after="0"/>
              <w:rPr>
                <w:sz w:val="21"/>
                <w:szCs w:val="21"/>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37"/>
        </w:trPr>
        <w:tc>
          <w:tcPr>
            <w:tcW w:w="746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266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60" w:type="dxa"/>
            <w:vAlign w:val="bottom"/>
          </w:tcPr>
          <w:p>
            <w:pPr>
              <w:spacing w:after="0"/>
              <w:rPr>
                <w:sz w:val="21"/>
                <w:szCs w:val="21"/>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7420" w:type="dxa"/>
            <w:vAlign w:val="bottom"/>
            <w:gridSpan w:val="2"/>
          </w:tcPr>
          <w:p>
            <w:pPr>
              <w:ind w:left="34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Less: Net (loss) income attributable to noncontrolling interests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ind w:left="460"/>
              <w:spacing w:after="0"/>
              <w:rPr>
                <w:sz w:val="20"/>
                <w:szCs w:val="20"/>
                <w:color w:val="auto"/>
              </w:rPr>
            </w:pPr>
            <w:r>
              <w:rPr>
                <w:rFonts w:ascii="Arial" w:cs="Arial" w:eastAsia="Arial" w:hAnsi="Arial"/>
                <w:sz w:val="18"/>
                <w:szCs w:val="18"/>
                <w:color w:val="auto"/>
              </w:rPr>
              <w:t>N/M</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7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w w:val="95"/>
              </w:rPr>
              <w:t>Year ended December 31,</w:t>
            </w:r>
          </w:p>
        </w:tc>
      </w:tr>
      <w:tr>
        <w:trPr>
          <w:trHeight w:val="264"/>
        </w:trPr>
        <w:tc>
          <w:tcPr>
            <w:tcW w:w="74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Business metrics:</w:t>
            </w:r>
          </w:p>
        </w:tc>
        <w:tc>
          <w:tcPr>
            <w:tcW w:w="26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r>
      <w:tr>
        <w:trPr>
          <w:trHeight w:val="270"/>
        </w:trPr>
        <w:tc>
          <w:tcPr>
            <w:tcW w:w="74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 MWh sold (in thousands)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5,740</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3,977</w:t>
            </w:r>
          </w:p>
        </w:tc>
        <w:tc>
          <w:tcPr>
            <w:tcW w:w="20" w:type="dxa"/>
            <w:vAlign w:val="bottom"/>
          </w:tcPr>
          <w:p>
            <w:pPr>
              <w:spacing w:after="0"/>
              <w:rPr>
                <w:sz w:val="23"/>
                <w:szCs w:val="23"/>
                <w:color w:val="auto"/>
              </w:rPr>
            </w:pPr>
          </w:p>
        </w:tc>
      </w:tr>
      <w:tr>
        <w:trPr>
          <w:trHeight w:val="243"/>
        </w:trPr>
        <w:tc>
          <w:tcPr>
            <w:tcW w:w="7460" w:type="dxa"/>
            <w:vAlign w:val="bottom"/>
            <w:gridSpan w:val="3"/>
          </w:tcPr>
          <w:p>
            <w:pPr>
              <w:ind w:left="40"/>
              <w:spacing w:after="0"/>
              <w:rPr>
                <w:sz w:val="20"/>
                <w:szCs w:val="20"/>
                <w:color w:val="auto"/>
              </w:rPr>
            </w:pPr>
            <w:r>
              <w:rPr>
                <w:rFonts w:ascii="Arial" w:cs="Arial" w:eastAsia="Arial" w:hAnsi="Arial"/>
                <w:sz w:val="18"/>
                <w:szCs w:val="18"/>
                <w:color w:val="auto"/>
              </w:rPr>
              <w:t>Thermal MWt sold (in thousands)</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2,060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Thermal MWh sold (in thousands)</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9" w:lineRule="exact"/>
        <w:rPr>
          <w:sz w:val="20"/>
          <w:szCs w:val="20"/>
          <w:color w:val="auto"/>
        </w:rPr>
      </w:pPr>
    </w:p>
    <w:p>
      <w:pPr>
        <w:ind w:right="5280" w:firstLine="8"/>
        <w:spacing w:after="0" w:line="292" w:lineRule="auto"/>
        <w:tabs>
          <w:tab w:leader="none" w:pos="171" w:val="left"/>
        </w:tabs>
        <w:numPr>
          <w:ilvl w:val="0"/>
          <w:numId w:val="23"/>
        </w:numPr>
        <w:rPr>
          <w:rFonts w:ascii="Arial" w:cs="Arial" w:eastAsia="Arial" w:hAnsi="Arial"/>
          <w:sz w:val="20"/>
          <w:szCs w:val="20"/>
          <w:color w:val="auto"/>
          <w:vertAlign w:val="superscript"/>
        </w:rPr>
      </w:pPr>
      <w:r>
        <w:rPr>
          <w:rFonts w:ascii="Arial" w:cs="Arial" w:eastAsia="Arial" w:hAnsi="Arial"/>
          <w:sz w:val="12"/>
          <w:szCs w:val="12"/>
          <w:color w:val="auto"/>
        </w:rPr>
        <w:t>Volumes sold do not include the MWh generated by the Company's equity method investments. N/M - Not meaningful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240" w:top="877" w:right="6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Management’s discussion of the results of operations for the years ended December 31, 2015, and 2014</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As described in Item 15 —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the Company completed the following acquisitions from NRG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157" w:lineRule="exact"/>
        <w:rPr>
          <w:sz w:val="20"/>
          <w:szCs w:val="20"/>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November 3, 2015, the Company acquired 75% of the Class B interests of NRG Wind TE Holdco, or the November 2015 Drop Down Assets, which owns a portfolio of 12 wind facilities totaling 814 net MW, from NRG for total cash consideration of $209 million. In February 2016, NRG made a final working capital payment of $2 million, reducing total cash consideration to $207 million.</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January 2, 2015, the Company acquired the Laredo Ridge, Tapestry, and Walnut Creek projects, or the January 2015 Drop Down Assets, for total cash consideration of $489 million, plus assumed project-level debt of $737 million.</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January 2015 Drop Down Assets and the November 2015 Drop Down Assets (other than Elbow Creek) were originally acquired by NRG from EME on April 1, 2014, and are collectively referred to as "EME Assets" throughout this discussion. The Company prepared its consolidated financial statements for the periods ending December 31, 2015, and 2014 to reflect the acquisitions as if they had taken place from the date the entities were under common control, which was April 1, 2014 for the EME Assets. Accordingly, the results presented herein reflect the Company's ownership of the EME Assets for the full year ended December 31, 2015, compared to the nine months from April 1, 2014, through December 31, 2014.</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evaluates its operating performance using the measure of economic gross margin, which is not a GAAP measure and may not be comparable to other companies’ presentations or deemed more useful than the GAAP information provided elsewhere in this report. The Company believes that economic gross margin is useful to investors as it is a key operational measure reviewed by the Company's chief operating decision maker. Economic gross margin is defined as energy and capacity revenue less cost of fuels. Economic gross margin does not include mark-to-market gains or losses on economic hedging activities or contract amortization. The following tables present the composition of economic gross margin for the years ended December 31, 2015 and 2014: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Renewables</w:t>
            </w:r>
          </w:p>
        </w:tc>
        <w:tc>
          <w:tcPr>
            <w:tcW w:w="22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6"/>
                <w:szCs w:val="16"/>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925</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97"/>
        </w:trPr>
        <w:tc>
          <w:tcPr>
            <w:tcW w:w="62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Economic gross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854</w:t>
            </w:r>
          </w:p>
        </w:tc>
      </w:tr>
      <w:tr>
        <w:trPr>
          <w:trHeight w:val="284"/>
        </w:trPr>
        <w:tc>
          <w:tcPr>
            <w:tcW w:w="6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Year ended December 31, 2014</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773</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Economic gross margin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684</w:t>
            </w: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Economic gross margin increased by $170 million during the year ended December 31, 2015, compared to the same period in 2014,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Renewable: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0" w:type="dxa"/>
            <w:vAlign w:val="bottom"/>
          </w:tcPr>
          <w:p>
            <w:pPr>
              <w:ind w:left="280"/>
              <w:spacing w:after="0"/>
              <w:rPr>
                <w:sz w:val="20"/>
                <w:szCs w:val="20"/>
                <w:color w:val="auto"/>
              </w:rPr>
            </w:pPr>
            <w:r>
              <w:rPr>
                <w:rFonts w:ascii="Arial" w:cs="Arial" w:eastAsia="Arial" w:hAnsi="Arial"/>
                <w:sz w:val="18"/>
                <w:szCs w:val="18"/>
                <w:color w:val="auto"/>
              </w:rPr>
              <w:t>Acquisitions of the Alta Wind Portfolio in August 2014 and Spring Canyon in May 2015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EME Assets (Wind)</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1040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Conventional:</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0" w:type="dxa"/>
            <w:vAlign w:val="bottom"/>
          </w:tcPr>
          <w:p>
            <w:pPr>
              <w:ind w:left="280"/>
              <w:spacing w:after="0"/>
              <w:rPr>
                <w:sz w:val="20"/>
                <w:szCs w:val="20"/>
                <w:color w:val="auto"/>
              </w:rPr>
            </w:pPr>
            <w:r>
              <w:rPr>
                <w:rFonts w:ascii="Arial" w:cs="Arial" w:eastAsia="Arial" w:hAnsi="Arial"/>
                <w:sz w:val="18"/>
                <w:szCs w:val="18"/>
                <w:color w:val="auto"/>
              </w:rPr>
              <w:t>Acquisition of EME Assets (Walnut Creek)</w:t>
            </w: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due to the forced outage at El Segundo in the first half of 2015</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10400" w:type="dxa"/>
            <w:vAlign w:val="bottom"/>
          </w:tcPr>
          <w:p>
            <w:pPr>
              <w:ind w:left="40"/>
              <w:spacing w:after="0"/>
              <w:rPr>
                <w:sz w:val="20"/>
                <w:szCs w:val="20"/>
                <w:color w:val="auto"/>
              </w:rPr>
            </w:pPr>
            <w:r>
              <w:rPr>
                <w:rFonts w:ascii="Arial" w:cs="Arial" w:eastAsia="Arial" w:hAnsi="Arial"/>
                <w:sz w:val="18"/>
                <w:szCs w:val="18"/>
                <w:b w:val="1"/>
                <w:bCs w:val="1"/>
                <w:color w:val="auto"/>
              </w:rPr>
              <w:t>Thermal:</w:t>
            </w: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due to milder weather conditions in 2015 compared to 2014</w:t>
            </w: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104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10400" w:type="dxa"/>
            <w:vAlign w:val="bottom"/>
            <w:vMerge w:val="restart"/>
          </w:tcPr>
          <w:p>
            <w:pPr>
              <w:ind w:left="5620"/>
              <w:spacing w:after="0"/>
              <w:rPr>
                <w:sz w:val="20"/>
                <w:szCs w:val="20"/>
                <w:color w:val="auto"/>
              </w:rPr>
            </w:pPr>
            <w:r>
              <w:rPr>
                <w:rFonts w:ascii="Arial" w:cs="Arial" w:eastAsia="Arial" w:hAnsi="Arial"/>
                <w:sz w:val="18"/>
                <w:szCs w:val="18"/>
                <w:color w:val="auto"/>
              </w:rPr>
              <w:t>39</w:t>
            </w: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40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0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Contract amortization</w:t>
      </w:r>
    </w:p>
    <w:p>
      <w:pPr>
        <w:spacing w:after="0" w:line="140"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Contract amortization increased by $25 million during the year ended December 31, 2015</w:t>
      </w:r>
      <w:r>
        <w:rPr>
          <w:rFonts w:ascii="Arial" w:cs="Arial" w:eastAsia="Arial" w:hAnsi="Arial"/>
          <w:sz w:val="18"/>
          <w:szCs w:val="18"/>
          <w:b w:val="1"/>
          <w:bCs w:val="1"/>
          <w:color w:val="auto"/>
        </w:rPr>
        <w:t>,</w:t>
      </w:r>
      <w:r>
        <w:rPr>
          <w:rFonts w:ascii="Arial" w:cs="Arial" w:eastAsia="Arial" w:hAnsi="Arial"/>
          <w:sz w:val="18"/>
          <w:szCs w:val="18"/>
          <w:color w:val="auto"/>
        </w:rPr>
        <w:t xml:space="preserve"> compared to the same period in 2014</w:t>
      </w:r>
      <w:r>
        <w:rPr>
          <w:rFonts w:ascii="Arial" w:cs="Arial" w:eastAsia="Arial" w:hAnsi="Arial"/>
          <w:sz w:val="18"/>
          <w:szCs w:val="18"/>
          <w:b w:val="1"/>
          <w:bCs w:val="1"/>
          <w:color w:val="auto"/>
        </w:rPr>
        <w:t>,</w:t>
      </w:r>
      <w:r>
        <w:rPr>
          <w:rFonts w:ascii="Arial" w:cs="Arial" w:eastAsia="Arial" w:hAnsi="Arial"/>
          <w:sz w:val="18"/>
          <w:szCs w:val="18"/>
          <w:color w:val="auto"/>
        </w:rPr>
        <w:t xml:space="preserve"> due primarily to the amortization of the PPAs acquired in the acquisition of the Alta Wind Portfolio in August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Mark-to-market for economic hedging activities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Mark-to-market results for the years ended December 31, 2015, and 2014 represent the unrealized losses and gains, respectively, on forward contracts with an NRG subsidiary hedging the sale of power from the Elbow Creek wind facility extending through the end of 2015, as further described in Item 15— Note 7</w:t>
      </w:r>
      <w:r>
        <w:rPr>
          <w:rFonts w:ascii="Arial" w:cs="Arial" w:eastAsia="Arial" w:hAnsi="Arial"/>
          <w:sz w:val="18"/>
          <w:szCs w:val="18"/>
          <w:i w:val="1"/>
          <w:iCs w:val="1"/>
          <w:color w:val="auto"/>
        </w:rPr>
        <w:t>, Accounting for Derivative Instruments and Hedging Activities</w:t>
      </w:r>
      <w:r>
        <w:rPr>
          <w:rFonts w:ascii="Arial" w:cs="Arial" w:eastAsia="Arial" w:hAnsi="Arial"/>
          <w:sz w:val="18"/>
          <w:szCs w:val="18"/>
          <w:color w:val="auto"/>
        </w:rPr>
        <w:t>, to the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Conventional</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Renewables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Thermal</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Year ended December 31, 2014</w:t>
            </w:r>
          </w:p>
        </w:tc>
        <w:tc>
          <w:tcPr>
            <w:tcW w:w="22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1"/>
                <w:szCs w:val="21"/>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131</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Operations and maintenance expense increased by $40 million during the year ended December 31, 2015, compared to the same period in 2014,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0" w:type="dxa"/>
            <w:vAlign w:val="bottom"/>
          </w:tcPr>
          <w:p>
            <w:pPr>
              <w:ind w:left="280"/>
              <w:spacing w:after="0"/>
              <w:rPr>
                <w:sz w:val="20"/>
                <w:szCs w:val="20"/>
                <w:color w:val="auto"/>
              </w:rPr>
            </w:pPr>
            <w:r>
              <w:rPr>
                <w:rFonts w:ascii="Arial" w:cs="Arial" w:eastAsia="Arial" w:hAnsi="Arial"/>
                <w:sz w:val="18"/>
                <w:szCs w:val="18"/>
                <w:color w:val="auto"/>
              </w:rPr>
              <w:t>Acquisition of Alta Wind Portfolio in August 2014 and Spring Canyon in May 2015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10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EME Assets, primarily in the Renewable segment</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10400" w:type="dxa"/>
            <w:vAlign w:val="bottom"/>
          </w:tcPr>
          <w:p>
            <w:pPr>
              <w:ind w:left="2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10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104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0"/>
        </w:trPr>
        <w:tc>
          <w:tcPr>
            <w:tcW w:w="10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w:t>
      </w:r>
    </w:p>
    <w:p>
      <w:pPr>
        <w:spacing w:after="0" w:line="144"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Other costs of operations increased by $24 million during the year ended December 31, 2015, compared to the same period in 2014, due primarily to an increase in property taxes resulting from the acquisitions of the Alta Wind Portfolio in August 2014 and the EME Assets in April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and amortization increased by $63 million during the year ended December 31, 2015, compared to the same period in 2014, due primarily to the acquisitions of the Alta Wind Portfolio in August 2014 and the EME Assets in April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Equity in earnings of unconsolidated affiliates increased by $10 million during the year ended December 31, 2015, compared to the same period in 2014, due primarily to the acquisition of Desert Sunlight in June 2015 as well as the Elkhorn Ridge and San Juan Mesa projects, acquired as part of the EME Assets.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8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increased by $43 million during the year ended December 31, 2015, compared to the same period in 2014 due to:</w:t>
      </w:r>
    </w:p>
    <w:p>
      <w:pPr>
        <w:spacing w:after="0" w:line="392"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99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55"/>
        </w:trPr>
        <w:tc>
          <w:tcPr>
            <w:tcW w:w="9920" w:type="dxa"/>
            <w:vAlign w:val="bottom"/>
          </w:tcPr>
          <w:p>
            <w:pPr>
              <w:ind w:left="40"/>
              <w:spacing w:after="0"/>
              <w:rPr>
                <w:sz w:val="20"/>
                <w:szCs w:val="20"/>
                <w:color w:val="auto"/>
              </w:rPr>
            </w:pPr>
            <w:r>
              <w:rPr>
                <w:rFonts w:ascii="Arial" w:cs="Arial" w:eastAsia="Arial" w:hAnsi="Arial"/>
                <w:sz w:val="18"/>
                <w:szCs w:val="18"/>
                <w:color w:val="auto"/>
              </w:rPr>
              <w:t>Acquisition of Alta Wind Portfolio in August 2014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9"/>
        </w:trPr>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Issuance of the Senior Notes due 2024 in the third quarter of 2014 and intercompany loans with Yield, Inc. in the second quarter of 2015</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7"/>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the first quarter of 2014</w:t>
            </w:r>
          </w:p>
        </w:tc>
        <w:tc>
          <w:tcPr>
            <w:tcW w:w="3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9920" w:type="dxa"/>
            <w:vAlign w:val="bottom"/>
          </w:tcPr>
          <w:p>
            <w:pPr>
              <w:ind w:left="280"/>
              <w:spacing w:after="0"/>
              <w:rPr>
                <w:sz w:val="20"/>
                <w:szCs w:val="20"/>
                <w:color w:val="auto"/>
              </w:rPr>
            </w:pPr>
            <w:r>
              <w:rPr>
                <w:rFonts w:ascii="Arial" w:cs="Arial" w:eastAsia="Arial" w:hAnsi="Arial"/>
                <w:sz w:val="18"/>
                <w:szCs w:val="18"/>
                <w:color w:val="auto"/>
              </w:rPr>
              <w:t>Acquisition of EME Assets in April 2014</w:t>
            </w:r>
          </w:p>
        </w:tc>
        <w:tc>
          <w:tcPr>
            <w:tcW w:w="3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Repricing of project-level financing arrangements and principal repayments</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9920" w:type="dxa"/>
            <w:vAlign w:val="bottom"/>
          </w:tcPr>
          <w:p>
            <w:pPr>
              <w:ind w:left="280"/>
              <w:spacing w:after="0"/>
              <w:rPr>
                <w:sz w:val="20"/>
                <w:szCs w:val="20"/>
                <w:color w:val="auto"/>
              </w:rPr>
            </w:pPr>
            <w:r>
              <w:rPr>
                <w:rFonts w:ascii="Arial" w:cs="Arial" w:eastAsia="Arial" w:hAnsi="Arial"/>
                <w:sz w:val="18"/>
                <w:szCs w:val="18"/>
                <w:color w:val="auto"/>
              </w:rPr>
              <w:t>Changes in the fair value of interest rate swaps</w:t>
            </w: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9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year ended December 31, 2015, the Company had income of $11 million attributable to NRG's 25% ownership of the Class B interests in NRG Wind TE Holdco and a loss of $62 million attributable to noncontrolling interests with respect to its tax equity financing arrangements and the application of the HLBV method. For the year ended December 31, 2014, the Company had a loss of $6 million attributable to NRG's 25% ownership of the Class B interests in NRG Wind TE Holdco and income of $9 million attributable to noncontrolling interest with respect to its tax equity financing arrangements and the application of the HLBV method.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82" w:right="239" w:bottom="1440" w:gutter="0" w:footer="0" w:header="0"/>
        </w:sectPr>
      </w:pPr>
    </w:p>
    <w:bookmarkStart w:id="41" w:name="page42"/>
    <w:bookmarkEnd w:id="41"/>
    <w:p>
      <w:pPr>
        <w:ind w:left="260"/>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2014 compared to 2013</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163"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8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 except otherwise noted)</w:t>
            </w:r>
          </w:p>
        </w:tc>
        <w:tc>
          <w:tcPr>
            <w:tcW w:w="2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b w:val="1"/>
                <w:bCs w:val="1"/>
                <w:color w:val="auto"/>
              </w:rPr>
              <w:t>Change %</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auto"/>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Energy and capacity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Contract amortization</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N/M</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Mark-to-market economic hedging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37"/>
        </w:trPr>
        <w:tc>
          <w:tcPr>
            <w:tcW w:w="40" w:type="dxa"/>
            <w:vAlign w:val="bottom"/>
          </w:tcPr>
          <w:p>
            <w:pPr>
              <w:spacing w:after="0"/>
              <w:rPr>
                <w:sz w:val="20"/>
                <w:szCs w:val="20"/>
                <w:color w:val="auto"/>
              </w:rPr>
            </w:pPr>
          </w:p>
        </w:tc>
        <w:tc>
          <w:tcPr>
            <w:tcW w:w="7740" w:type="dxa"/>
            <w:vAlign w:val="bottom"/>
            <w:gridSpan w:val="2"/>
          </w:tcPr>
          <w:p>
            <w:pPr>
              <w:ind w:left="24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Cost of fuels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Operations and maintenance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Other cost of operations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229</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 — affiliate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Acquisition-related transaction and integration costs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37"/>
        </w:trPr>
        <w:tc>
          <w:tcPr>
            <w:tcW w:w="40" w:type="dxa"/>
            <w:vAlign w:val="bottom"/>
          </w:tcPr>
          <w:p>
            <w:pPr>
              <w:spacing w:after="0"/>
              <w:rPr>
                <w:sz w:val="20"/>
                <w:szCs w:val="20"/>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Operating Income</w:t>
            </w: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r>
      <w:tr>
        <w:trPr>
          <w:trHeight w:val="237"/>
        </w:trPr>
        <w:tc>
          <w:tcPr>
            <w:tcW w:w="40" w:type="dxa"/>
            <w:vAlign w:val="bottom"/>
          </w:tcPr>
          <w:p>
            <w:pPr>
              <w:spacing w:after="0"/>
              <w:rPr>
                <w:sz w:val="20"/>
                <w:szCs w:val="20"/>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1"/>
                <w:szCs w:val="21"/>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Less: Net income (loss) attributable to noncontrolling interests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4"/>
                <w:szCs w:val="14"/>
                <w:b w:val="1"/>
                <w:bCs w:val="1"/>
                <w:color w:val="auto"/>
                <w:w w:val="99"/>
              </w:rPr>
              <w:t>Year ended December 31,</w:t>
            </w:r>
          </w:p>
        </w:tc>
      </w:tr>
      <w:tr>
        <w:trPr>
          <w:trHeight w:val="264"/>
        </w:trPr>
        <w:tc>
          <w:tcPr>
            <w:tcW w:w="77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Business metrics:</w:t>
            </w:r>
          </w:p>
        </w:tc>
        <w:tc>
          <w:tcPr>
            <w:tcW w:w="2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r>
      <w:tr>
        <w:trPr>
          <w:trHeight w:val="270"/>
        </w:trPr>
        <w:tc>
          <w:tcPr>
            <w:tcW w:w="77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 MWh sold (in thousands) </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3,977</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1,221</w:t>
            </w: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Thermal MWt sold (in thousands)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1,679</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Thermal MWh sold (in thousands)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r>
      <w:tr>
        <w:trPr>
          <w:trHeight w:val="27"/>
        </w:trPr>
        <w:tc>
          <w:tcPr>
            <w:tcW w:w="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(a) </w:t>
      </w:r>
      <w:r>
        <w:rPr>
          <w:rFonts w:ascii="Arial" w:cs="Arial" w:eastAsia="Arial" w:hAnsi="Arial"/>
          <w:sz w:val="14"/>
          <w:szCs w:val="14"/>
          <w:color w:val="auto"/>
        </w:rPr>
        <w:t>Volumes sold do not include the MWh generated by the Company's equity method investments.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77" w:right="239" w:bottom="1440" w:gutter="0" w:footer="0" w:header="0"/>
        </w:sectPr>
      </w:pPr>
    </w:p>
    <w:bookmarkStart w:id="42" w:name="page43"/>
    <w:bookmarkEnd w:id="42"/>
    <w:p>
      <w:pPr>
        <w:ind w:right="3580"/>
        <w:spacing w:after="0" w:line="438" w:lineRule="auto"/>
        <w:rPr>
          <w:sz w:val="20"/>
          <w:szCs w:val="20"/>
          <w:color w:val="auto"/>
        </w:rPr>
      </w:pPr>
      <w:r>
        <w:rPr>
          <w:rFonts w:ascii="Arial" w:cs="Arial" w:eastAsia="Arial" w:hAnsi="Arial"/>
          <w:sz w:val="18"/>
          <w:szCs w:val="18"/>
          <w:b w:val="1"/>
          <w:bCs w:val="1"/>
          <w:color w:val="auto"/>
        </w:rPr>
        <w:t xml:space="preserve">Management’s discussion of the results of operations for the years ended December 31, 2014, and 2013 </w:t>
      </w:r>
      <w:r>
        <w:rPr>
          <w:rFonts w:ascii="Arial" w:cs="Arial" w:eastAsia="Arial" w:hAnsi="Arial"/>
          <w:sz w:val="18"/>
          <w:szCs w:val="18"/>
          <w:b w:val="1"/>
          <w:bCs w:val="1"/>
          <w:i w:val="1"/>
          <w:iCs w:val="1"/>
          <w:color w:val="auto"/>
        </w:rPr>
        <w:t>Economic Gross Margin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Conventional</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Renewables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Thermal</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264"/>
        </w:trPr>
        <w:tc>
          <w:tcPr>
            <w:tcW w:w="6280" w:type="dxa"/>
            <w:vAlign w:val="bottom"/>
          </w:tcPr>
          <w:p>
            <w:pPr>
              <w:ind w:left="8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2014</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773</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97"/>
        </w:trPr>
        <w:tc>
          <w:tcPr>
            <w:tcW w:w="62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Economic gross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684</w:t>
            </w:r>
          </w:p>
        </w:tc>
      </w:tr>
      <w:tr>
        <w:trPr>
          <w:trHeight w:val="284"/>
        </w:trPr>
        <w:tc>
          <w:tcPr>
            <w:tcW w:w="6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Year ended December 31, 2013</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Economic gross margin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320</w:t>
            </w: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Economic gross margin increased by $364 million during the year ended December 31, 2014, compared to the same period in 2013, driven by: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0" w:type="dxa"/>
            <w:vAlign w:val="bottom"/>
          </w:tcPr>
          <w:p>
            <w:pPr>
              <w:ind w:left="40"/>
              <w:spacing w:after="0"/>
              <w:rPr>
                <w:sz w:val="20"/>
                <w:szCs w:val="20"/>
                <w:color w:val="auto"/>
              </w:rPr>
            </w:pPr>
            <w:r>
              <w:rPr>
                <w:rFonts w:ascii="Arial" w:cs="Arial" w:eastAsia="Arial" w:hAnsi="Arial"/>
                <w:sz w:val="18"/>
                <w:szCs w:val="18"/>
                <w:b w:val="1"/>
                <w:bCs w:val="1"/>
                <w:color w:val="auto"/>
              </w:rPr>
              <w:t>Conventional:</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Marsh Landing and El Segundo reaching commercial operations in 2013</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43"/>
        </w:trPr>
        <w:tc>
          <w:tcPr>
            <w:tcW w:w="10400" w:type="dxa"/>
            <w:vAlign w:val="bottom"/>
          </w:tcPr>
          <w:p>
            <w:pPr>
              <w:ind w:left="280"/>
              <w:spacing w:after="0"/>
              <w:rPr>
                <w:sz w:val="20"/>
                <w:szCs w:val="20"/>
                <w:color w:val="auto"/>
              </w:rPr>
            </w:pPr>
            <w:r>
              <w:rPr>
                <w:rFonts w:ascii="Arial" w:cs="Arial" w:eastAsia="Arial" w:hAnsi="Arial"/>
                <w:sz w:val="18"/>
                <w:szCs w:val="18"/>
                <w:color w:val="auto"/>
              </w:rPr>
              <w:t>Acquisition of EME Assets (Walnut Creek)</w:t>
            </w: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Renewable:</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10400" w:type="dxa"/>
            <w:vAlign w:val="bottom"/>
          </w:tcPr>
          <w:p>
            <w:pPr>
              <w:ind w:left="280"/>
              <w:spacing w:after="0"/>
              <w:rPr>
                <w:sz w:val="20"/>
                <w:szCs w:val="20"/>
                <w:color w:val="auto"/>
              </w:rPr>
            </w:pPr>
            <w:r>
              <w:rPr>
                <w:rFonts w:ascii="Arial" w:cs="Arial" w:eastAsia="Arial" w:hAnsi="Arial"/>
                <w:sz w:val="18"/>
                <w:szCs w:val="18"/>
                <w:color w:val="auto"/>
              </w:rPr>
              <w:t>Acquisition of EME Assets (Wind)</w:t>
            </w: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Alta Wind Portfolio in August 2014</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10400" w:type="dxa"/>
            <w:vAlign w:val="bottom"/>
          </w:tcPr>
          <w:p>
            <w:pPr>
              <w:ind w:left="280"/>
              <w:spacing w:after="0"/>
              <w:rPr>
                <w:sz w:val="20"/>
                <w:szCs w:val="20"/>
                <w:color w:val="auto"/>
              </w:rPr>
            </w:pPr>
            <w:r>
              <w:rPr>
                <w:rFonts w:ascii="Arial" w:cs="Arial" w:eastAsia="Arial" w:hAnsi="Arial"/>
                <w:sz w:val="18"/>
                <w:szCs w:val="18"/>
                <w:color w:val="auto"/>
              </w:rPr>
              <w:t>Kansas South, TA High Desert and Borrego facilities reaching commercial operations in 2013</w:t>
            </w: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10400" w:type="dxa"/>
            <w:vAlign w:val="bottom"/>
          </w:tcPr>
          <w:p>
            <w:pPr>
              <w:ind w:left="40"/>
              <w:spacing w:after="0"/>
              <w:rPr>
                <w:sz w:val="20"/>
                <w:szCs w:val="20"/>
                <w:color w:val="auto"/>
              </w:rPr>
            </w:pPr>
            <w:r>
              <w:rPr>
                <w:rFonts w:ascii="Arial" w:cs="Arial" w:eastAsia="Arial" w:hAnsi="Arial"/>
                <w:sz w:val="18"/>
                <w:szCs w:val="18"/>
                <w:b w:val="1"/>
                <w:bCs w:val="1"/>
                <w:color w:val="auto"/>
              </w:rPr>
              <w:t>Thermal:</w:t>
            </w: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Energy Systems in December 2013</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29"/>
        </w:trPr>
        <w:tc>
          <w:tcPr>
            <w:tcW w:w="10400" w:type="dxa"/>
            <w:vAlign w:val="bottom"/>
          </w:tcPr>
          <w:p>
            <w:pPr>
              <w:ind w:left="280"/>
              <w:spacing w:after="0"/>
              <w:rPr>
                <w:sz w:val="20"/>
                <w:szCs w:val="20"/>
                <w:color w:val="auto"/>
              </w:rPr>
            </w:pPr>
            <w:r>
              <w:rPr>
                <w:rFonts w:ascii="Arial" w:cs="Arial" w:eastAsia="Arial" w:hAnsi="Arial"/>
                <w:sz w:val="18"/>
                <w:szCs w:val="18"/>
                <w:color w:val="auto"/>
                <w:w w:val="91"/>
              </w:rPr>
              <w:t>Repowering of Dover facilities in the second quarter of 2013, and increased generation at other Thermal facilities due to weather conditions</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10400" w:type="dxa"/>
            <w:vAlign w:val="bottom"/>
          </w:tcPr>
          <w:p>
            <w:pPr>
              <w:ind w:left="280"/>
              <w:spacing w:after="0"/>
              <w:rPr>
                <w:sz w:val="20"/>
                <w:szCs w:val="20"/>
                <w:color w:val="auto"/>
              </w:rPr>
            </w:pPr>
            <w:r>
              <w:rPr>
                <w:rFonts w:ascii="Arial" w:cs="Arial" w:eastAsia="Arial" w:hAnsi="Arial"/>
                <w:sz w:val="18"/>
                <w:szCs w:val="18"/>
                <w:color w:val="auto"/>
              </w:rPr>
              <w:t>in the first quarter of 2014</w:t>
            </w:r>
          </w:p>
        </w:tc>
        <w:tc>
          <w:tcPr>
            <w:tcW w:w="38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10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104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r>
      <w:tr>
        <w:trPr>
          <w:trHeight w:val="20"/>
        </w:trPr>
        <w:tc>
          <w:tcPr>
            <w:tcW w:w="10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amortization</w:t>
      </w:r>
    </w:p>
    <w:p>
      <w:pPr>
        <w:spacing w:after="0" w:line="140"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Contract amortization increased by $28 million during the year ended December 31, 2014</w:t>
      </w:r>
      <w:r>
        <w:rPr>
          <w:rFonts w:ascii="Arial" w:cs="Arial" w:eastAsia="Arial" w:hAnsi="Arial"/>
          <w:sz w:val="18"/>
          <w:szCs w:val="18"/>
          <w:b w:val="1"/>
          <w:bCs w:val="1"/>
          <w:color w:val="auto"/>
        </w:rPr>
        <w:t>,</w:t>
      </w:r>
      <w:r>
        <w:rPr>
          <w:rFonts w:ascii="Arial" w:cs="Arial" w:eastAsia="Arial" w:hAnsi="Arial"/>
          <w:sz w:val="18"/>
          <w:szCs w:val="18"/>
          <w:color w:val="auto"/>
        </w:rPr>
        <w:t xml:space="preserve"> compared to the same period in 2013, primarily due to the amortization of the PPAs acquired in the acquisitions of the Alta Wind Portfolio in August 2014 and the EME Assets in April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Mark-to-market for economic hedging activities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Mark-to-market results for the year ended December 31, 2014, represent the unrealized gains on forward contracts with an NRG subsidiary hedging the sale of power from the Elbow Creek wind facility extending through the end of 2015, as further described in Item 15 — Note 7</w:t>
      </w:r>
      <w:r>
        <w:rPr>
          <w:rFonts w:ascii="Arial" w:cs="Arial" w:eastAsia="Arial" w:hAnsi="Arial"/>
          <w:sz w:val="18"/>
          <w:szCs w:val="18"/>
          <w:i w:val="1"/>
          <w:iCs w:val="1"/>
          <w:color w:val="auto"/>
        </w:rPr>
        <w:t>, Accounting for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and Hedging Activities</w:t>
      </w:r>
      <w:r>
        <w:rPr>
          <w:rFonts w:ascii="Arial" w:cs="Arial" w:eastAsia="Arial" w:hAnsi="Arial"/>
          <w:sz w:val="18"/>
          <w:szCs w:val="18"/>
          <w:color w:val="auto"/>
        </w:rPr>
        <w:t>, to the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6"/>
                <w:szCs w:val="16"/>
                <w:color w:val="auto"/>
              </w:rPr>
            </w:pPr>
          </w:p>
        </w:tc>
        <w:tc>
          <w:tcPr>
            <w:tcW w:w="980" w:type="dxa"/>
            <w:vAlign w:val="bottom"/>
          </w:tcPr>
          <w:p>
            <w:pPr>
              <w:jc w:val="right"/>
              <w:ind w:right="116"/>
              <w:spacing w:after="0"/>
              <w:rPr>
                <w:sz w:val="20"/>
                <w:szCs w:val="20"/>
                <w:color w:val="auto"/>
              </w:rPr>
            </w:pPr>
            <w:r>
              <w:rPr>
                <w:rFonts w:ascii="Arial" w:cs="Arial" w:eastAsia="Arial" w:hAnsi="Arial"/>
                <w:sz w:val="14"/>
                <w:szCs w:val="14"/>
                <w:b w:val="1"/>
                <w:bCs w:val="1"/>
                <w:color w:val="auto"/>
                <w:w w:val="93"/>
              </w:rPr>
              <w:t>Renewables</w:t>
            </w:r>
          </w:p>
        </w:tc>
        <w:tc>
          <w:tcPr>
            <w:tcW w:w="320" w:type="dxa"/>
            <w:vAlign w:val="bottom"/>
          </w:tcPr>
          <w:p>
            <w:pPr>
              <w:spacing w:after="0"/>
              <w:rPr>
                <w:sz w:val="16"/>
                <w:szCs w:val="16"/>
                <w:color w:val="auto"/>
              </w:rPr>
            </w:pPr>
          </w:p>
        </w:tc>
        <w:tc>
          <w:tcPr>
            <w:tcW w:w="940" w:type="dxa"/>
            <w:vAlign w:val="bottom"/>
          </w:tcPr>
          <w:p>
            <w:pPr>
              <w:jc w:val="right"/>
              <w:ind w:right="236"/>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6"/>
                <w:szCs w:val="16"/>
                <w:color w:val="auto"/>
              </w:rPr>
            </w:pPr>
          </w:p>
        </w:tc>
        <w:tc>
          <w:tcPr>
            <w:tcW w:w="880" w:type="dxa"/>
            <w:vAlign w:val="bottom"/>
          </w:tcPr>
          <w:p>
            <w:pPr>
              <w:jc w:val="right"/>
              <w:ind w:right="316"/>
              <w:spacing w:after="0"/>
              <w:rPr>
                <w:sz w:val="20"/>
                <w:szCs w:val="20"/>
                <w:color w:val="auto"/>
              </w:rPr>
            </w:pPr>
            <w:r>
              <w:rPr>
                <w:rFonts w:ascii="Arial" w:cs="Arial" w:eastAsia="Arial" w:hAnsi="Arial"/>
                <w:sz w:val="14"/>
                <w:szCs w:val="14"/>
                <w:b w:val="1"/>
                <w:bCs w:val="1"/>
                <w:color w:val="auto"/>
              </w:rPr>
              <w:t>Total</w:t>
            </w:r>
          </w:p>
        </w:tc>
      </w:tr>
      <w:tr>
        <w:trPr>
          <w:trHeight w:val="264"/>
        </w:trPr>
        <w:tc>
          <w:tcPr>
            <w:tcW w:w="3960" w:type="dxa"/>
            <w:vAlign w:val="bottom"/>
          </w:tcPr>
          <w:p>
            <w:pPr>
              <w:ind w:left="80"/>
              <w:spacing w:after="0"/>
              <w:rPr>
                <w:sz w:val="20"/>
                <w:szCs w:val="20"/>
                <w:color w:val="auto"/>
              </w:rPr>
            </w:pPr>
            <w:r>
              <w:rPr>
                <w:rFonts w:ascii="Arial" w:cs="Arial" w:eastAsia="Arial" w:hAnsi="Arial"/>
                <w:sz w:val="14"/>
                <w:szCs w:val="14"/>
                <w:b w:val="1"/>
                <w:bCs w:val="1"/>
                <w:color w:val="auto"/>
              </w:rPr>
              <w:t>(In millions)</w:t>
            </w:r>
          </w:p>
        </w:tc>
        <w:tc>
          <w:tcPr>
            <w:tcW w:w="23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6"/>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2014</w:t>
            </w:r>
          </w:p>
        </w:tc>
        <w:tc>
          <w:tcPr>
            <w:tcW w:w="2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131</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Year ended December 31, 2013</w:t>
            </w:r>
          </w:p>
        </w:tc>
        <w:tc>
          <w:tcPr>
            <w:tcW w:w="2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1"/>
                <w:szCs w:val="21"/>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66</w:t>
            </w:r>
          </w:p>
        </w:tc>
      </w:tr>
      <w:tr>
        <w:trPr>
          <w:trHeight w:val="648"/>
        </w:trPr>
        <w:tc>
          <w:tcPr>
            <w:tcW w:w="3960" w:type="dxa"/>
            <w:vAlign w:val="bottom"/>
          </w:tcPr>
          <w:p>
            <w:pPr>
              <w:spacing w:after="0"/>
              <w:rPr>
                <w:sz w:val="24"/>
                <w:szCs w:val="24"/>
                <w:color w:val="auto"/>
              </w:rPr>
            </w:pP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878" w:right="239" w:bottom="1440" w:gutter="0" w:footer="0" w:header="0"/>
        </w:sectPr>
      </w:pPr>
    </w:p>
    <w:bookmarkStart w:id="43" w:name="page44"/>
    <w:bookmarkEnd w:id="43"/>
    <w:p>
      <w:pPr>
        <w:ind w:left="420"/>
        <w:spacing w:after="0"/>
        <w:rPr>
          <w:sz w:val="20"/>
          <w:szCs w:val="20"/>
          <w:color w:val="auto"/>
        </w:rPr>
      </w:pPr>
      <w:r>
        <w:rPr>
          <w:rFonts w:ascii="Arial" w:cs="Arial" w:eastAsia="Arial" w:hAnsi="Arial"/>
          <w:sz w:val="16"/>
          <w:szCs w:val="16"/>
          <w:color w:val="auto"/>
        </w:rPr>
        <w:t>Operations and maintenance expense increased by $65 million during the year ended December 31, 2014, compared to the same period in 2013,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340" w:type="dxa"/>
            <w:vAlign w:val="bottom"/>
          </w:tcPr>
          <w:p>
            <w:pPr>
              <w:ind w:left="20"/>
              <w:spacing w:after="0"/>
              <w:rPr>
                <w:sz w:val="20"/>
                <w:szCs w:val="20"/>
                <w:color w:val="auto"/>
              </w:rPr>
            </w:pPr>
            <w:r>
              <w:rPr>
                <w:rFonts w:ascii="Arial" w:cs="Arial" w:eastAsia="Arial" w:hAnsi="Arial"/>
                <w:sz w:val="18"/>
                <w:szCs w:val="18"/>
                <w:b w:val="1"/>
                <w:bCs w:val="1"/>
                <w:color w:val="auto"/>
              </w:rPr>
              <w:t>Conventional:</w:t>
            </w: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10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Marsh Landing and El Segundo reaching commercial operations in 2013</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43"/>
        </w:trPr>
        <w:tc>
          <w:tcPr>
            <w:tcW w:w="10340" w:type="dxa"/>
            <w:vAlign w:val="bottom"/>
          </w:tcPr>
          <w:p>
            <w:pPr>
              <w:ind w:left="260"/>
              <w:spacing w:after="0"/>
              <w:rPr>
                <w:sz w:val="20"/>
                <w:szCs w:val="20"/>
                <w:color w:val="auto"/>
              </w:rPr>
            </w:pPr>
            <w:r>
              <w:rPr>
                <w:rFonts w:ascii="Arial" w:cs="Arial" w:eastAsia="Arial" w:hAnsi="Arial"/>
                <w:sz w:val="18"/>
                <w:szCs w:val="18"/>
                <w:color w:val="auto"/>
              </w:rPr>
              <w:t>Acquisition of EME Assets (Walnut Creek)</w:t>
            </w:r>
          </w:p>
        </w:tc>
        <w:tc>
          <w:tcPr>
            <w:tcW w:w="4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10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Renewable:</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10340" w:type="dxa"/>
            <w:vAlign w:val="bottom"/>
          </w:tcPr>
          <w:p>
            <w:pPr>
              <w:ind w:left="260"/>
              <w:spacing w:after="0"/>
              <w:rPr>
                <w:sz w:val="20"/>
                <w:szCs w:val="20"/>
                <w:color w:val="auto"/>
              </w:rPr>
            </w:pPr>
            <w:r>
              <w:rPr>
                <w:rFonts w:ascii="Arial" w:cs="Arial" w:eastAsia="Arial" w:hAnsi="Arial"/>
                <w:sz w:val="18"/>
                <w:szCs w:val="18"/>
                <w:color w:val="auto"/>
              </w:rPr>
              <w:t>Acquisition of EME Assets (Wind)</w:t>
            </w:r>
          </w:p>
        </w:tc>
        <w:tc>
          <w:tcPr>
            <w:tcW w:w="4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7"/>
        </w:trPr>
        <w:tc>
          <w:tcPr>
            <w:tcW w:w="10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Acquisition of Alta Wind Portfolio in August 2014</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10340" w:type="dxa"/>
            <w:vAlign w:val="bottom"/>
          </w:tcPr>
          <w:p>
            <w:pPr>
              <w:ind w:left="260"/>
              <w:spacing w:after="0"/>
              <w:rPr>
                <w:sz w:val="20"/>
                <w:szCs w:val="20"/>
                <w:color w:val="auto"/>
              </w:rPr>
            </w:pPr>
            <w:r>
              <w:rPr>
                <w:rFonts w:ascii="Arial" w:cs="Arial" w:eastAsia="Arial" w:hAnsi="Arial"/>
                <w:sz w:val="18"/>
                <w:szCs w:val="18"/>
                <w:color w:val="auto"/>
              </w:rPr>
              <w:t>Kansas South, TA High Desert and Borrego facilities reaching commercial operations in 2013</w:t>
            </w:r>
          </w:p>
        </w:tc>
        <w:tc>
          <w:tcPr>
            <w:tcW w:w="4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10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Thermal:</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10340" w:type="dxa"/>
            <w:vAlign w:val="bottom"/>
          </w:tcPr>
          <w:p>
            <w:pPr>
              <w:ind w:left="260"/>
              <w:spacing w:after="0"/>
              <w:rPr>
                <w:sz w:val="20"/>
                <w:szCs w:val="20"/>
                <w:color w:val="auto"/>
              </w:rPr>
            </w:pPr>
            <w:r>
              <w:rPr>
                <w:rFonts w:ascii="Arial" w:cs="Arial" w:eastAsia="Arial" w:hAnsi="Arial"/>
                <w:sz w:val="18"/>
                <w:szCs w:val="18"/>
                <w:color w:val="auto"/>
              </w:rPr>
              <w:t>Acquisition of Energy Systems in December 2013</w:t>
            </w:r>
          </w:p>
        </w:tc>
        <w:tc>
          <w:tcPr>
            <w:tcW w:w="4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10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103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r>
      <w:tr>
        <w:trPr>
          <w:trHeight w:val="20"/>
        </w:trPr>
        <w:tc>
          <w:tcPr>
            <w:tcW w:w="10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w:t>
      </w:r>
    </w:p>
    <w:p>
      <w:pPr>
        <w:spacing w:after="0" w:line="14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Other costs of operations increased by $32 million during the year ended December 31, 2014, compared to the same period in 2013, primarily due to an increase in property taxes resulting from the acquisitions of the EME Assets in April 2014 and the Alta Wind Portfolio in August 2014, as well as Marsh Landing and El Segundo reaching commercial operations in 2013.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and amortization increased by $128 million during the year ended December 31, 2014, compared to the same period in 2013, due to:</w:t>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3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56"/>
        </w:trPr>
        <w:tc>
          <w:tcPr>
            <w:tcW w:w="10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Acquisition of the EME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r>
      <w:tr>
        <w:trPr>
          <w:trHeight w:val="243"/>
        </w:trPr>
        <w:tc>
          <w:tcPr>
            <w:tcW w:w="10340" w:type="dxa"/>
            <w:vAlign w:val="bottom"/>
          </w:tcPr>
          <w:p>
            <w:pPr>
              <w:ind w:left="260"/>
              <w:spacing w:after="0"/>
              <w:rPr>
                <w:sz w:val="20"/>
                <w:szCs w:val="20"/>
                <w:color w:val="auto"/>
              </w:rPr>
            </w:pPr>
            <w:r>
              <w:rPr>
                <w:rFonts w:ascii="Arial" w:cs="Arial" w:eastAsia="Arial" w:hAnsi="Arial"/>
                <w:sz w:val="18"/>
                <w:szCs w:val="18"/>
                <w:color w:val="auto"/>
              </w:rPr>
              <w:t>Marsh Landing and El Segundo, which reached commercial operations in 2013</w:t>
            </w:r>
          </w:p>
        </w:tc>
        <w:tc>
          <w:tcPr>
            <w:tcW w:w="3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27"/>
        </w:trPr>
        <w:tc>
          <w:tcPr>
            <w:tcW w:w="10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Acquisition of Alta Wind Portfolio in August 2014</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43"/>
        </w:trPr>
        <w:tc>
          <w:tcPr>
            <w:tcW w:w="10340" w:type="dxa"/>
            <w:vAlign w:val="bottom"/>
          </w:tcPr>
          <w:p>
            <w:pPr>
              <w:ind w:left="260"/>
              <w:spacing w:after="0"/>
              <w:rPr>
                <w:sz w:val="20"/>
                <w:szCs w:val="20"/>
                <w:color w:val="auto"/>
              </w:rPr>
            </w:pPr>
            <w:r>
              <w:rPr>
                <w:rFonts w:ascii="Arial" w:cs="Arial" w:eastAsia="Arial" w:hAnsi="Arial"/>
                <w:sz w:val="18"/>
                <w:szCs w:val="18"/>
                <w:color w:val="auto"/>
              </w:rPr>
              <w:t>Acquisition of Energy Systems in December 2013</w:t>
            </w:r>
          </w:p>
        </w:tc>
        <w:tc>
          <w:tcPr>
            <w:tcW w:w="3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10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10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Kansas South, TA High Desert and Borrego facilities reached commercial operations in 2013</w:t>
            </w: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37"/>
        </w:trPr>
        <w:tc>
          <w:tcPr>
            <w:tcW w:w="103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r>
      <w:tr>
        <w:trPr>
          <w:trHeight w:val="27"/>
        </w:trPr>
        <w:tc>
          <w:tcPr>
            <w:tcW w:w="10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10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Equity in earnings of unconsolidated affiliates increased by $3 million during the year ended December 31, 2014, compared to the same period in 2013, due primarily to CVSR reaching commercial operations in 2013, partially offset by losses from San Juan Mesa, acquired with the EME Assets.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8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increased by $134 million during the year ended December 31, 2014, compared to the same period in 2013, due to:</w:t>
      </w:r>
    </w:p>
    <w:p>
      <w:pPr>
        <w:spacing w:after="0" w:line="392"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99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55"/>
        </w:trPr>
        <w:tc>
          <w:tcPr>
            <w:tcW w:w="9920" w:type="dxa"/>
            <w:vAlign w:val="bottom"/>
          </w:tcPr>
          <w:p>
            <w:pPr>
              <w:ind w:left="40"/>
              <w:spacing w:after="0"/>
              <w:rPr>
                <w:sz w:val="20"/>
                <w:szCs w:val="20"/>
                <w:color w:val="auto"/>
              </w:rPr>
            </w:pPr>
            <w:r>
              <w:rPr>
                <w:rFonts w:ascii="Arial" w:cs="Arial" w:eastAsia="Arial" w:hAnsi="Arial"/>
                <w:sz w:val="18"/>
                <w:szCs w:val="18"/>
                <w:color w:val="auto"/>
              </w:rPr>
              <w:t>Interest expense on the project-level debt assumed in the Alta Wind Portfolio acquisition in August 2014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9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due to the acquisition of the EME Assets in April 2014</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w w:val="92"/>
              </w:rPr>
              <w:t>Issuance of the Senior Notes due 2024 in the third quarter of 2014 and an intercompany loan with Yield, Inc. in the first quarter of 2014</w:t>
            </w:r>
          </w:p>
        </w:tc>
        <w:tc>
          <w:tcPr>
            <w:tcW w:w="3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9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interest expense primarily related to Alpine interest rate swap</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Increase in interest expense for the El Segundo and Marsh Landing projects which reached commercial operations in 2013</w:t>
            </w:r>
          </w:p>
        </w:tc>
        <w:tc>
          <w:tcPr>
            <w:tcW w:w="3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9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For the twelve months ended December 31, 2014, the Company had a loss of $6 million attributable to NRG's interest in the Company and income of $9 million attributable to noncontrolling interest with respect to its tax equity financing arrangements and the application of the HLBV method. For the twelve months ended December 31, 2013, the Company had a loss of $2 million attributable to NRG's interest in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to service debt and to pay distributions. Historically, the Company's predecessor operations were financed as part of NRG's integrated operations and largely relied on internally generated cash flows as well as corporate and/or project-level borrowings to satisfy its capital expenditure requirements. </w:t>
      </w:r>
      <w:r>
        <w:rPr>
          <w:rFonts w:ascii="Arial" w:cs="Arial" w:eastAsia="Arial" w:hAnsi="Arial"/>
          <w:sz w:val="17"/>
          <w:szCs w:val="17"/>
          <w:color w:val="000000"/>
        </w:rPr>
        <w:t>As a normal part of the Company's business, depending on market conditions, the Company will from time to time consider</w:t>
      </w:r>
      <w:r>
        <w:rPr>
          <w:rFonts w:ascii="Arial" w:cs="Arial" w:eastAsia="Arial" w:hAnsi="Arial"/>
          <w:sz w:val="17"/>
          <w:szCs w:val="17"/>
          <w:color w:val="231F20"/>
        </w:rPr>
        <w:t xml:space="preserve"> </w:t>
      </w:r>
      <w:r>
        <w:rPr>
          <w:rFonts w:ascii="Arial" w:cs="Arial" w:eastAsia="Arial" w:hAnsi="Arial"/>
          <w:sz w:val="17"/>
          <w:szCs w:val="17"/>
          <w:color w:val="000000"/>
        </w:rPr>
        <w:t>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December 31, 2015</w:t>
      </w:r>
      <w:r>
        <w:rPr>
          <w:rFonts w:ascii="Arial" w:cs="Arial" w:eastAsia="Arial" w:hAnsi="Arial"/>
          <w:sz w:val="16"/>
          <w:szCs w:val="16"/>
          <w:color w:val="231F20"/>
        </w:rPr>
        <w:t xml:space="preserve">, and December 31, 2014, the Company's liquidity was approximately $291 million and $888 million, respectively, comprised of cash, restricted cash, and availability under the Company's revolving credit facility. The decrease primarily relates to increased borrowings under the revolving credit facility used to fund the acquisition of the November 2015 Drop Down Assets and the use of cash on hand to fund the acquisition of the January 2015 Drop Down Assets. The Company's various financing arrangements are described in </w:t>
      </w:r>
      <w:r>
        <w:rPr>
          <w:rFonts w:ascii="Arial" w:cs="Arial" w:eastAsia="Arial" w:hAnsi="Arial"/>
          <w:sz w:val="16"/>
          <w:szCs w:val="16"/>
          <w:color w:val="000000"/>
        </w:rPr>
        <w:t>Item 15 — Note 9</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color w:val="231F20"/>
        </w:rPr>
        <w:t>, to the Consolidated Financial Statements. On June 26, 2015, the Company amended the revolving credit facility to, among other things, increase the availability from $450 million to $495 million. As of December 31, 2015, $306 million of borrowings and $56 million of letters of credit were outstanding.</w:t>
      </w:r>
    </w:p>
    <w:p>
      <w:pPr>
        <w:spacing w:after="0" w:line="111"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Yield, Inc. and NRG. Management continues to regularly monitor the Company's ability to finance the needs of its operating, financing and investing activity within the dictates of prudent balance sheet management.</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Credit Ratings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December 31, 2015, the Company's Senior Notes are rated BB+ by S&amp;P and Ba2 by Moody's.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8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231F20"/>
        </w:rPr>
        <w:t xml:space="preserve">The Company's principal sources of liquidity include cash on hand, cash generated from operations, borrowings under new and existing financing arrangements, and the issuance of additional equity and debt securities by Yield, Inc. or the Company as appropriate given market conditions. As described in </w:t>
      </w:r>
      <w:r>
        <w:rPr>
          <w:rFonts w:ascii="Arial" w:cs="Arial" w:eastAsia="Arial" w:hAnsi="Arial"/>
          <w:sz w:val="17"/>
          <w:szCs w:val="17"/>
          <w:color w:val="000000"/>
        </w:rPr>
        <w:t>Item 15— Note 9</w:t>
      </w:r>
      <w:r>
        <w:rPr>
          <w:rFonts w:ascii="Arial" w:cs="Arial" w:eastAsia="Arial" w:hAnsi="Arial"/>
          <w:sz w:val="17"/>
          <w:szCs w:val="17"/>
          <w:color w:val="231F20"/>
        </w:rPr>
        <w:t>,</w:t>
      </w:r>
      <w:r>
        <w:rPr>
          <w:rFonts w:ascii="Arial" w:cs="Arial" w:eastAsia="Arial" w:hAnsi="Arial"/>
          <w:sz w:val="17"/>
          <w:szCs w:val="17"/>
          <w:color w:val="000000"/>
        </w:rPr>
        <w:t xml:space="preserve"> </w:t>
      </w:r>
      <w:r>
        <w:rPr>
          <w:rFonts w:ascii="Arial" w:cs="Arial" w:eastAsia="Arial" w:hAnsi="Arial"/>
          <w:sz w:val="17"/>
          <w:szCs w:val="17"/>
          <w:i w:val="1"/>
          <w:iCs w:val="1"/>
          <w:color w:val="231F20"/>
        </w:rPr>
        <w:t>Long-term Debt</w:t>
      </w:r>
      <w:r>
        <w:rPr>
          <w:rFonts w:ascii="Arial" w:cs="Arial" w:eastAsia="Arial" w:hAnsi="Arial"/>
          <w:sz w:val="17"/>
          <w:szCs w:val="17"/>
          <w:color w:val="231F20"/>
        </w:rPr>
        <w:t>, to the Consolidated Financial Statements, and above in</w:t>
      </w:r>
      <w:r>
        <w:rPr>
          <w:rFonts w:ascii="Arial" w:cs="Arial" w:eastAsia="Arial" w:hAnsi="Arial"/>
          <w:sz w:val="17"/>
          <w:szCs w:val="17"/>
          <w:color w:val="000000"/>
        </w:rPr>
        <w:t xml:space="preserve"> </w:t>
      </w:r>
      <w:r>
        <w:rPr>
          <w:rFonts w:ascii="Arial" w:cs="Arial" w:eastAsia="Arial" w:hAnsi="Arial"/>
          <w:sz w:val="17"/>
          <w:szCs w:val="17"/>
          <w:i w:val="1"/>
          <w:iCs w:val="1"/>
          <w:color w:val="000000"/>
        </w:rPr>
        <w:t>Significant Events During the Year Ended December 31, 2015,</w:t>
      </w:r>
      <w:r>
        <w:rPr>
          <w:rFonts w:ascii="Arial" w:cs="Arial" w:eastAsia="Arial" w:hAnsi="Arial"/>
          <w:sz w:val="17"/>
          <w:szCs w:val="17"/>
          <w:color w:val="000000"/>
        </w:rPr>
        <w:t xml:space="preserve"> </w:t>
      </w:r>
      <w:r>
        <w:rPr>
          <w:rFonts w:ascii="Arial" w:cs="Arial" w:eastAsia="Arial" w:hAnsi="Arial"/>
          <w:sz w:val="17"/>
          <w:szCs w:val="17"/>
          <w:color w:val="231F20"/>
        </w:rPr>
        <w:t xml:space="preserve">and </w:t>
      </w:r>
      <w:r>
        <w:rPr>
          <w:rFonts w:ascii="Arial" w:cs="Arial" w:eastAsia="Arial" w:hAnsi="Arial"/>
          <w:sz w:val="17"/>
          <w:szCs w:val="17"/>
          <w:i w:val="1"/>
          <w:iCs w:val="1"/>
          <w:color w:val="000000"/>
        </w:rPr>
        <w:t>Significant Events During the Year Ended December 31, 2014</w:t>
      </w:r>
      <w:r>
        <w:rPr>
          <w:rFonts w:ascii="Arial" w:cs="Arial" w:eastAsia="Arial" w:hAnsi="Arial"/>
          <w:sz w:val="17"/>
          <w:szCs w:val="17"/>
          <w:color w:val="231F20"/>
        </w:rPr>
        <w:t>, the Company's financing arrangements consist of the revolving credit facility, the Senior Notes, its intercompany borrowings with Yield, Inc. and project-level financings for its various assets.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Recapitalization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As described above in </w:t>
      </w:r>
      <w:r>
        <w:rPr>
          <w:rFonts w:ascii="Arial" w:cs="Arial" w:eastAsia="Arial" w:hAnsi="Arial"/>
          <w:sz w:val="18"/>
          <w:szCs w:val="18"/>
          <w:i w:val="1"/>
          <w:iCs w:val="1"/>
          <w:color w:val="auto"/>
        </w:rPr>
        <w:t>Significant Events During the Year Ended December 31, 2015</w:t>
      </w:r>
      <w:r>
        <w:rPr>
          <w:rFonts w:ascii="Arial" w:cs="Arial" w:eastAsia="Arial" w:hAnsi="Arial"/>
          <w:sz w:val="18"/>
          <w:szCs w:val="18"/>
          <w:color w:val="auto"/>
        </w:rPr>
        <w:t>, effective May 14, 2015, Yield, Inc. amended its certificate of incorporation to create two new classes of capital stock, Class C common stock and Class D common stock, and distributed shares of the Class C common stock and Class D common stock to holders of Yield, Inc.'s outstanding Class A common stock and Class B common stock, respectively, through a stock split. The Company also amended its operating agreement to reflect the Recapitalization. Effective May 14, 2015, each Class A unit of the Company was automatically reclassified into one Class A unit and one Class C unit and each Class B unit of the Company was automatically reclassified into one Class B unit and one Class D unit.</w:t>
      </w:r>
    </w:p>
    <w:p>
      <w:pPr>
        <w:spacing w:after="0" w:line="1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connection with the amendments described above, the ROFO Agreement was amended to make additional assets available to the Company and Yield, Inc. should NRG choose to sell them, including (i) two natural gas facilities totaling 795 MW of net capacity that are expected to reach COD in 2017 and 2020, (ii) an equity interest in a wind portfolio that includes wind facilities totaling approximately 934 MW of net capacity, the majority of which was sold to the Company on November 3, 2015, and (iii) up to $250 million of equity interests in one or more residential or distributed solar generation portfolios developed by affiliates of NRG.</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June 29, 2015, Yield, Inc. issued 28,198,000 shares of Class C common stock for net proceeds of $599 million, net of underwriting discounts and commissions of $21 million. Yield, Inc. utilized the proceeds of the offering to acquire 28,198,000 additional Class C units of the Company and, as a result, it currently owns 53.3% of the economic interests of the Company, with NRG retaining 46.7% of the economic interests of the Company. Additionally, on June 29, 2015, Yield, Inc. completed an offering of $287.5 million aggregate principal amount of 3.25% Convertible Notes due 2020, which proceeds were subsequently lent to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w:t>
      </w:r>
      <w:r>
        <w:rPr>
          <w:rFonts w:ascii="Arial" w:cs="Arial" w:eastAsia="Arial" w:hAnsi="Arial"/>
          <w:sz w:val="18"/>
          <w:szCs w:val="18"/>
          <w:color w:val="000000"/>
        </w:rPr>
        <w:t>Item 15 — Note 9</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xml:space="preserve"> to the Consolidated Financial Statements; (ii) capital expenditures; (iii) acquisitions and investments; and (iv) distributions.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81" w:right="239" w:bottom="1440" w:gutter="0" w:footer="0" w:header="0"/>
        </w:sectPr>
      </w:pPr>
    </w:p>
    <w:bookmarkStart w:id="46" w:name="page47"/>
    <w:bookmarkEnd w:id="46"/>
    <w:p>
      <w:pPr>
        <w:ind w:left="420"/>
        <w:spacing w:after="0"/>
        <w:rPr>
          <w:sz w:val="20"/>
          <w:szCs w:val="20"/>
          <w:color w:val="auto"/>
        </w:rPr>
      </w:pPr>
      <w:r>
        <w:rPr>
          <w:rFonts w:ascii="Arial" w:cs="Arial" w:eastAsia="Arial" w:hAnsi="Arial"/>
          <w:sz w:val="18"/>
          <w:szCs w:val="18"/>
          <w:i w:val="1"/>
          <w:iCs w:val="1"/>
          <w:color w:val="auto"/>
        </w:rPr>
        <w:t>Debt Service Obligations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payments on debt as of December 31, 2015, are due in the following periods: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There -</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7"/>
                <w:szCs w:val="17"/>
                <w:color w:val="auto"/>
              </w:rPr>
            </w:pPr>
          </w:p>
        </w:tc>
        <w:tc>
          <w:tcPr>
            <w:tcW w:w="48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b w:val="1"/>
                <w:bCs w:val="1"/>
                <w:color w:val="auto"/>
                <w:w w:val="84"/>
              </w:rPr>
              <w:t>2018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after</w:t>
            </w:r>
          </w:p>
        </w:tc>
        <w:tc>
          <w:tcPr>
            <w:tcW w:w="140" w:type="dxa"/>
            <w:vAlign w:val="bottom"/>
          </w:tcPr>
          <w:p>
            <w:pPr>
              <w:spacing w:after="0"/>
              <w:rPr>
                <w:sz w:val="17"/>
                <w:szCs w:val="17"/>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b w:val="1"/>
                <w:bCs w:val="1"/>
                <w:color w:val="auto"/>
                <w:w w:val="94"/>
              </w:rPr>
              <w:t>Total</w:t>
            </w: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Long term debt - affiliate due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r>
      <w:tr>
        <w:trPr>
          <w:trHeight w:val="237"/>
        </w:trPr>
        <w:tc>
          <w:tcPr>
            <w:tcW w:w="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Long term debt - affiliate due 2020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281</w:t>
            </w: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NRG Yield Operating LLC Senior Notes, due 2024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37"/>
        </w:trPr>
        <w:tc>
          <w:tcPr>
            <w:tcW w:w="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NRG Yield LLC and NRG Yield Operating LLC Revolving Credit Facility, due 2019</w:t>
            </w:r>
          </w:p>
        </w:tc>
        <w:tc>
          <w:tcPr>
            <w:tcW w:w="1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306</w:t>
            </w: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Corporate-level debt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1,424</w:t>
            </w:r>
          </w:p>
        </w:tc>
      </w:tr>
      <w:tr>
        <w:trPr>
          <w:trHeight w:val="231"/>
        </w:trPr>
        <w:tc>
          <w:tcPr>
            <w:tcW w:w="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Project-level debt:</w:t>
            </w: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Alta Wind I, lease financing arrangement, due 2034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r>
      <w:tr>
        <w:trPr>
          <w:trHeight w:val="237"/>
        </w:trPr>
        <w:tc>
          <w:tcPr>
            <w:tcW w:w="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Alta Wind II, lease financing arrangement, due 2034</w:t>
            </w: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198</w:t>
            </w: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Alta Wind III, lease financing arrangement, due 2034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r>
      <w:tr>
        <w:trPr>
          <w:trHeight w:val="237"/>
        </w:trPr>
        <w:tc>
          <w:tcPr>
            <w:tcW w:w="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Alta Wind IV, lease financing arrangement, due 2034</w:t>
            </w: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133</w:t>
            </w: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Alta Wind V, lease financing arrangement, due 2035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r>
      <w:tr>
        <w:trPr>
          <w:trHeight w:val="237"/>
        </w:trPr>
        <w:tc>
          <w:tcPr>
            <w:tcW w:w="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Alta Realty Investments, due 2031</w:t>
            </w: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Alta Wind Asset Management, due 2031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Alpine, due 2022</w:t>
            </w: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154</w:t>
            </w: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Avra Valley, due 2031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37"/>
        </w:trPr>
        <w:tc>
          <w:tcPr>
            <w:tcW w:w="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Blythe, due 2028</w:t>
            </w: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Borrego, due 2025 and 2038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37"/>
        </w:trPr>
        <w:tc>
          <w:tcPr>
            <w:tcW w:w="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El Segundo Energy Center, due 2023</w:t>
            </w: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485</w:t>
            </w: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Energy Center Minneapolis, due 2017 and 2025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r>
      <w:tr>
        <w:trPr>
          <w:trHeight w:val="237"/>
        </w:trPr>
        <w:tc>
          <w:tcPr>
            <w:tcW w:w="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Kansas South, due 2031</w:t>
            </w: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Laredo Ridge, due 2028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237"/>
        </w:trPr>
        <w:tc>
          <w:tcPr>
            <w:tcW w:w="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Marsh Landing, due 2017 and 2023</w:t>
            </w: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418</w:t>
            </w: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PFMG and related subsidiaries financing agreement, due 2030</w:t>
            </w: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Roadrunner, due 2031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37"/>
        </w:trPr>
        <w:tc>
          <w:tcPr>
            <w:tcW w:w="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South Trent Wind, due 2020</w:t>
            </w: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62</w:t>
            </w: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TA High Desert, due 2020 and 2032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37"/>
        </w:trPr>
        <w:tc>
          <w:tcPr>
            <w:tcW w:w="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Tapestry Wind, due 2021</w:t>
            </w: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181</w:t>
            </w: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Viento, due 2023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r>
      <w:tr>
        <w:trPr>
          <w:trHeight w:val="237"/>
        </w:trPr>
        <w:tc>
          <w:tcPr>
            <w:tcW w:w="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Walnut Creek, due 2023</w:t>
            </w:r>
          </w:p>
        </w:tc>
        <w:tc>
          <w:tcPr>
            <w:tcW w:w="1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351</w:t>
            </w: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WCEP Holdings, due 2023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17"/>
        </w:trPr>
        <w:tc>
          <w:tcPr>
            <w:tcW w:w="20" w:type="dxa"/>
            <w:vAlign w:val="bottom"/>
          </w:tcPr>
          <w:p>
            <w:pPr>
              <w:spacing w:after="0"/>
              <w:rPr>
                <w:sz w:val="18"/>
                <w:szCs w:val="18"/>
                <w:color w:val="auto"/>
              </w:rPr>
            </w:pPr>
          </w:p>
        </w:tc>
        <w:tc>
          <w:tcPr>
            <w:tcW w:w="6480" w:type="dxa"/>
            <w:vAlign w:val="bottom"/>
            <w:gridSpan w:val="2"/>
          </w:tcPr>
          <w:p>
            <w:pPr>
              <w:ind w:left="120"/>
              <w:spacing w:after="0"/>
              <w:rPr>
                <w:sz w:val="20"/>
                <w:szCs w:val="20"/>
                <w:color w:val="auto"/>
              </w:rPr>
            </w:pPr>
            <w:r>
              <w:rPr>
                <w:rFonts w:ascii="Arial" w:cs="Arial" w:eastAsia="Arial" w:hAnsi="Arial"/>
                <w:sz w:val="16"/>
                <w:szCs w:val="16"/>
                <w:color w:val="auto"/>
              </w:rPr>
              <w:t>Total project-level debt</w:t>
            </w: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2,106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3,461</w:t>
            </w:r>
          </w:p>
        </w:tc>
      </w:tr>
      <w:tr>
        <w:trPr>
          <w:trHeight w:val="33"/>
        </w:trPr>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20" w:type="dxa"/>
            <w:vAlign w:val="bottom"/>
            <w:shd w:val="clear" w:color="auto" w:fill="CCEEFF"/>
          </w:tcPr>
          <w:p>
            <w:pPr>
              <w:spacing w:after="0"/>
              <w:rPr>
                <w:sz w:val="21"/>
                <w:szCs w:val="21"/>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debt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4"/>
              </w:rPr>
              <w:t>2,606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4,885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231F20"/>
        </w:rPr>
        <w:t xml:space="preserve">The Company's capital spending program is focused on maintenance capital expenditures, or costs to maintain the assets currently operating such as costs to replace or refurbish assets during routine maintenance, and growth capital expenditures or construction of new assets and completing the construction of assets where construction is in process. The Company develops annual capital spending plans based on projected requirements for maintenance and growth capital. For the years ended </w:t>
      </w:r>
      <w:r>
        <w:rPr>
          <w:rFonts w:ascii="Arial" w:cs="Arial" w:eastAsia="Arial" w:hAnsi="Arial"/>
          <w:sz w:val="16"/>
          <w:szCs w:val="16"/>
          <w:color w:val="000000"/>
        </w:rPr>
        <w:t>December 31, 2015</w:t>
      </w:r>
      <w:r>
        <w:rPr>
          <w:rFonts w:ascii="Arial" w:cs="Arial" w:eastAsia="Arial" w:hAnsi="Arial"/>
          <w:sz w:val="16"/>
          <w:szCs w:val="16"/>
          <w:color w:val="231F20"/>
        </w:rPr>
        <w:t xml:space="preserve">, 2014 and 2013, the Company used approximately $29 million, $33 million, and $353 million, respectively, to fund capital expenditures, including maintenance </w:t>
      </w:r>
      <w:r>
        <w:rPr>
          <w:rFonts w:ascii="Arial" w:cs="Arial" w:eastAsia="Arial" w:hAnsi="Arial"/>
          <w:sz w:val="16"/>
          <w:szCs w:val="16"/>
          <w:color w:val="000000"/>
        </w:rPr>
        <w:t>capital</w:t>
      </w:r>
      <w:r>
        <w:rPr>
          <w:rFonts w:ascii="Arial" w:cs="Arial" w:eastAsia="Arial" w:hAnsi="Arial"/>
          <w:sz w:val="16"/>
          <w:szCs w:val="16"/>
          <w:color w:val="231F20"/>
        </w:rPr>
        <w:t xml:space="preserve"> expenditures </w:t>
      </w:r>
      <w:r>
        <w:rPr>
          <w:rFonts w:ascii="Arial" w:cs="Arial" w:eastAsia="Arial" w:hAnsi="Arial"/>
          <w:sz w:val="16"/>
          <w:szCs w:val="16"/>
          <w:color w:val="000000"/>
        </w:rPr>
        <w:t>of $20 million, $8 million and $8 million, respectively. Growth capital expenditures</w:t>
      </w:r>
      <w:r>
        <w:rPr>
          <w:rFonts w:ascii="Arial" w:cs="Arial" w:eastAsia="Arial" w:hAnsi="Arial"/>
          <w:sz w:val="16"/>
          <w:szCs w:val="16"/>
          <w:color w:val="231F20"/>
        </w:rPr>
        <w:t xml:space="preserve"> </w:t>
      </w:r>
      <w:r>
        <w:rPr>
          <w:rFonts w:ascii="Arial" w:cs="Arial" w:eastAsia="Arial" w:hAnsi="Arial"/>
          <w:sz w:val="16"/>
          <w:szCs w:val="16"/>
          <w:color w:val="000000"/>
        </w:rPr>
        <w:t>in 2014 and 2013 primarily related to the construction of the Company’s solar generating assets, Marsh Landing and El Segundo.</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82" w:right="239" w:bottom="1440" w:gutter="0" w:footer="0" w:header="0"/>
        </w:sectPr>
      </w:pPr>
    </w:p>
    <w:bookmarkStart w:id="47" w:name="page48"/>
    <w:bookmarkEnd w:id="47"/>
    <w:p>
      <w:pPr>
        <w:jc w:val="both"/>
        <w:ind w:firstLine="405"/>
        <w:spacing w:after="0" w:line="312" w:lineRule="auto"/>
        <w:rPr>
          <w:sz w:val="20"/>
          <w:szCs w:val="20"/>
          <w:color w:val="auto"/>
        </w:rPr>
      </w:pPr>
      <w:r>
        <w:rPr>
          <w:rFonts w:ascii="Arial" w:cs="Arial" w:eastAsia="Arial" w:hAnsi="Arial"/>
          <w:sz w:val="16"/>
          <w:szCs w:val="16"/>
          <w:color w:val="auto"/>
        </w:rPr>
        <w:t>In January 2015, El Segundo experienced a steam turbine water intrusion resulting in a forced outage on Units 5 and 6. The units returned to service in April 2015. The Company completed a root cause analysis and has implemented steps to prevent a recurrence of the event. The Company reviewed the financial impact of repair costs and lost capacity revenue and collected approximately $4 million of insurance proceeds in the fourth quarter of 2015.</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intends to acquire generation assets developed and constructed by NRG in the future, as well as generation and thermal infrastructure assets from third parties where the Company believes its knowledge of the market and operating expertise provides a competitive advantage, and to utilize such acquisitions as a means to grow its CAFD. See </w:t>
      </w:r>
      <w:r>
        <w:rPr>
          <w:rFonts w:ascii="Arial" w:cs="Arial" w:eastAsia="Arial" w:hAnsi="Arial"/>
          <w:sz w:val="18"/>
          <w:szCs w:val="18"/>
          <w:i w:val="1"/>
          <w:iCs w:val="1"/>
          <w:color w:val="auto"/>
        </w:rPr>
        <w:t>Significant Events During the Year Ended December 31, 2015</w:t>
      </w:r>
      <w:r>
        <w:rPr>
          <w:rFonts w:ascii="Arial" w:cs="Arial" w:eastAsia="Arial" w:hAnsi="Arial"/>
          <w:sz w:val="18"/>
          <w:szCs w:val="18"/>
          <w:color w:val="auto"/>
        </w:rPr>
        <w:t>, above for a description of the acquisitions and investments that have taken place during the year ended December 31, 2015.</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231F20"/>
        </w:rPr>
        <w:t>Cash Distributions to Yield, Inc. and NRG</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231F20"/>
        </w:rPr>
        <w:t xml:space="preserve">The Company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less cash distributions to noncontrolling interests, maintenance capital expenditures, pro-rata EBITDA from unconsolidated affiliates, cash interest paid, income taxes paid, principal amortization of indebtedness and changes in other assets. Distributions on units </w:t>
      </w:r>
      <w:r>
        <w:rPr>
          <w:rFonts w:ascii="Arial" w:cs="Arial" w:eastAsia="Arial" w:hAnsi="Arial"/>
          <w:sz w:val="17"/>
          <w:szCs w:val="17"/>
          <w:color w:val="000000"/>
        </w:rPr>
        <w:t>are subject to available capital, market conditions, and</w:t>
      </w:r>
      <w:r>
        <w:rPr>
          <w:rFonts w:ascii="Arial" w:cs="Arial" w:eastAsia="Arial" w:hAnsi="Arial"/>
          <w:sz w:val="17"/>
          <w:szCs w:val="17"/>
          <w:color w:val="231F20"/>
        </w:rPr>
        <w:t xml:space="preserve"> </w:t>
      </w:r>
      <w:r>
        <w:rPr>
          <w:rFonts w:ascii="Arial" w:cs="Arial" w:eastAsia="Arial" w:hAnsi="Arial"/>
          <w:sz w:val="17"/>
          <w:szCs w:val="17"/>
          <w:color w:val="000000"/>
        </w:rPr>
        <w:t>compliance with associated laws, regulations and other contractual obligations. The Company expects that, based on current circumstances, comparable distributions will continue to be paid in the foreseeable future.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lists the distributions paid on the Company's Class A, Class B, Class C and Class D units during the year ended December 31, 2015:</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Fourth Quarter 2015</w:t>
            </w: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Third Quarter 2015</w:t>
            </w:r>
          </w:p>
        </w:tc>
        <w:tc>
          <w:tcPr>
            <w:tcW w:w="16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Second Quarter</w:t>
            </w: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First Quarter 2015</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and Class B unit</w:t>
            </w:r>
          </w:p>
        </w:tc>
        <w:tc>
          <w:tcPr>
            <w:tcW w:w="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Distributions per Class C and Class D unit</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0.215</w:t>
            </w:r>
          </w:p>
        </w:tc>
        <w:tc>
          <w:tcPr>
            <w:tcW w:w="100" w:type="dxa"/>
            <w:vAlign w:val="bottom"/>
          </w:tcPr>
          <w:p>
            <w:pPr>
              <w:spacing w:after="0"/>
              <w:rPr>
                <w:sz w:val="21"/>
                <w:szCs w:val="21"/>
                <w:color w:val="auto"/>
              </w:rPr>
            </w:pPr>
          </w:p>
        </w:tc>
        <w:tc>
          <w:tcPr>
            <w:tcW w:w="520" w:type="dxa"/>
            <w:vAlign w:val="bottom"/>
          </w:tcPr>
          <w:p>
            <w:pPr>
              <w:jc w:val="right"/>
              <w:ind w:right="31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February 17, 2016, the Company declared a quarterly distribution on its Class A, Class B, Class C and Class D units of $0.225 per unit payable on March 15, 2016.</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8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Cash Flow Discussion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Year Ended December 31, 2014</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reflects the changes in cash flows for the year ended December 31, 2015, compared to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81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(1,118)</w:t>
            </w:r>
          </w:p>
        </w:tc>
        <w:tc>
          <w:tcPr>
            <w:tcW w:w="300" w:type="dxa"/>
            <w:vAlign w:val="bottom"/>
          </w:tcPr>
          <w:p>
            <w:pPr>
              <w:spacing w:after="0"/>
              <w:rPr>
                <w:sz w:val="21"/>
                <w:szCs w:val="21"/>
                <w:color w:val="auto"/>
              </w:rPr>
            </w:pPr>
          </w:p>
        </w:tc>
        <w:tc>
          <w:tcPr>
            <w:tcW w:w="840" w:type="dxa"/>
            <w:vAlign w:val="bottom"/>
            <w:gridSpan w:val="3"/>
          </w:tcPr>
          <w:p>
            <w:pPr>
              <w:jc w:val="right"/>
              <w:ind w:right="10"/>
              <w:spacing w:after="0"/>
              <w:rPr>
                <w:sz w:val="20"/>
                <w:szCs w:val="20"/>
                <w:color w:val="auto"/>
              </w:rPr>
            </w:pPr>
            <w:r>
              <w:rPr>
                <w:rFonts w:ascii="Arial" w:cs="Arial" w:eastAsia="Arial" w:hAnsi="Arial"/>
                <w:sz w:val="18"/>
                <w:szCs w:val="18"/>
                <w:color w:val="auto"/>
              </w:rPr>
              <w:t>(1,033)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427</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432"/>
        </w:trPr>
        <w:tc>
          <w:tcPr>
            <w:tcW w:w="81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8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w w:val="95"/>
              </w:rPr>
              <w:t>Higher net distributions from unconsolidated affiliates for the period ending December 31, 2015, compared to the same period in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Increase in operating income adjusted for non-cash items and changes in working capital</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to acquire businesses, net of cash acquired (primarily the Alta acquisition in 2014)</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43"/>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Higher payments made to acquire Drop Down Assets in 2015 compared to payments made in 2014</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81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 capital expenditures due to several projects being placed in service in early 2014</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440" w:type="dxa"/>
            <w:vAlign w:val="bottom"/>
            <w:gridSpan w:val="3"/>
          </w:tcPr>
          <w:p>
            <w:pPr>
              <w:ind w:left="40"/>
              <w:spacing w:after="0"/>
              <w:rPr>
                <w:sz w:val="20"/>
                <w:szCs w:val="20"/>
                <w:color w:val="auto"/>
              </w:rPr>
            </w:pPr>
            <w:r>
              <w:rPr>
                <w:rFonts w:ascii="Arial" w:cs="Arial" w:eastAsia="Arial" w:hAnsi="Arial"/>
                <w:sz w:val="18"/>
                <w:szCs w:val="18"/>
                <w:color w:val="auto"/>
                <w:w w:val="90"/>
              </w:rPr>
              <w:t>Changes in restricted cash primarily due to cash transfers in connection with higher debt principal payments in 2015</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10180" w:type="dxa"/>
            <w:vAlign w:val="bottom"/>
            <w:gridSpan w:val="7"/>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8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1"/>
              </w:rPr>
              <w:t>Increase in net investments in unconsolidated affiliates in 2015, compared to 2014, primarily due to the investment in Desert Sunlight made</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 2015</w:t>
            </w: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3"/>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Proceeds from renewable energy grants in 2014</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81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140" w:type="dxa"/>
            <w:vAlign w:val="bottom"/>
            <w:gridSpan w:val="2"/>
            <w:vMerge w:val="restart"/>
          </w:tcPr>
          <w:p>
            <w:pPr>
              <w:ind w:left="180"/>
              <w:spacing w:after="0"/>
              <w:rPr>
                <w:sz w:val="20"/>
                <w:szCs w:val="20"/>
                <w:color w:val="auto"/>
              </w:rPr>
            </w:pPr>
            <w:r>
              <w:rPr>
                <w:rFonts w:ascii="Arial" w:cs="Arial" w:eastAsia="Arial" w:hAnsi="Arial"/>
                <w:sz w:val="18"/>
                <w:szCs w:val="18"/>
                <w:b w:val="1"/>
                <w:bCs w:val="1"/>
                <w:i w:val="1"/>
                <w:iCs w:val="1"/>
                <w:color w:val="auto"/>
              </w:rPr>
              <w:t>Net Cash Provided By Financing Activities</w:t>
            </w: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Changes in net cash provided by financing activities were driven by:</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Lower contributions from tax equity investors in 2015</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8140" w:type="dxa"/>
            <w:vAlign w:val="bottom"/>
            <w:gridSpan w:val="2"/>
          </w:tcPr>
          <w:p>
            <w:pPr>
              <w:ind w:left="40"/>
              <w:spacing w:after="0"/>
              <w:rPr>
                <w:sz w:val="20"/>
                <w:szCs w:val="20"/>
                <w:color w:val="auto"/>
              </w:rPr>
            </w:pPr>
            <w:r>
              <w:rPr>
                <w:rFonts w:ascii="Arial" w:cs="Arial" w:eastAsia="Arial" w:hAnsi="Arial"/>
                <w:sz w:val="18"/>
                <w:szCs w:val="18"/>
                <w:color w:val="auto"/>
                <w:w w:val="92"/>
              </w:rPr>
              <w:t>Lower payments of dividends and returns of capital to NRG, partially offset by contributions from NRG in 2014</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9500" w:type="dxa"/>
            <w:vAlign w:val="bottom"/>
            <w:gridSpan w:val="5"/>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1"/>
              </w:rPr>
              <w:t>Lower net proceeds from issuance of Class C units in 2015, compared to the net proceeds from issuance of Class A units in 2014</w:t>
            </w: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140" w:type="dxa"/>
            <w:vAlign w:val="bottom"/>
            <w:gridSpan w:val="2"/>
          </w:tcPr>
          <w:p>
            <w:pPr>
              <w:ind w:left="40"/>
              <w:spacing w:after="0"/>
              <w:rPr>
                <w:sz w:val="20"/>
                <w:szCs w:val="20"/>
                <w:color w:val="auto"/>
              </w:rPr>
            </w:pPr>
            <w:r>
              <w:rPr>
                <w:rFonts w:ascii="Arial" w:cs="Arial" w:eastAsia="Arial" w:hAnsi="Arial"/>
                <w:sz w:val="18"/>
                <w:szCs w:val="18"/>
                <w:color w:val="auto"/>
                <w:w w:val="92"/>
              </w:rPr>
              <w:t>Increase in debt payments, as well as a decrease in proceeds from long-term debt in 2015, compared to 2014</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81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in distributions paid to unit holders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Decrease in debt issuance costs due to lower borrowings in 2015</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49</w:t>
            </w: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81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Year Ended December 31, 2014, Compared to Year Ended December 31, 2013</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reflects the changes in cash flows for the year ended December 31, 2014, compared to 2013:</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64"/>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7"/>
        </w:trPr>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661</w:t>
            </w:r>
          </w:p>
        </w:tc>
      </w:tr>
      <w:tr>
        <w:trPr>
          <w:trHeight w:val="27"/>
        </w:trPr>
        <w:tc>
          <w:tcPr>
            <w:tcW w:w="8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ectPr>
          <w:pgSz w:w="11900" w:h="16838" w:orient="portrait"/>
          <w:cols w:equalWidth="0" w:num="1">
            <w:col w:w="11420"/>
          </w:cols>
          <w:pgMar w:left="240" w:top="1260" w:right="239" w:bottom="1440" w:gutter="0" w:footer="0" w:header="0"/>
        </w:sect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200" w:hanging="161"/>
        <w:spacing w:after="0" w:line="277" w:lineRule="auto"/>
        <w:rPr>
          <w:sz w:val="20"/>
          <w:szCs w:val="20"/>
          <w:color w:val="auto"/>
        </w:rPr>
      </w:pPr>
      <w:r>
        <w:rPr>
          <w:rFonts w:ascii="Arial" w:cs="Arial" w:eastAsia="Arial" w:hAnsi="Arial"/>
          <w:sz w:val="18"/>
          <w:szCs w:val="18"/>
          <w:color w:val="auto"/>
        </w:rPr>
        <w:t>Increase in operating income due to El Segundo, Marsh Landing and a number of the Renewable projects being placed in service in 2013, as well as the acquisitions of the Alta Wind Portfolio and the EME Assets, adjusted for non-cash charges</w:t>
      </w:r>
    </w:p>
    <w:p>
      <w:pPr>
        <w:spacing w:after="0" w:line="8" w:lineRule="exact"/>
        <w:rPr>
          <w:sz w:val="20"/>
          <w:szCs w:val="20"/>
          <w:color w:val="auto"/>
        </w:rPr>
      </w:pPr>
    </w:p>
    <w:p>
      <w:pPr>
        <w:ind w:left="40" w:right="240"/>
        <w:spacing w:after="0" w:line="340" w:lineRule="auto"/>
        <w:rPr>
          <w:sz w:val="20"/>
          <w:szCs w:val="20"/>
          <w:color w:val="auto"/>
        </w:rPr>
      </w:pPr>
      <w:r>
        <w:rPr>
          <w:rFonts w:ascii="Arial" w:cs="Arial" w:eastAsia="Arial" w:hAnsi="Arial"/>
          <w:sz w:val="18"/>
          <w:szCs w:val="18"/>
          <w:color w:val="auto"/>
        </w:rPr>
        <w:t>Higher net distributions from unconsolidated affiliates for the period ending December 31, 2014, compared to the same period in 2013 Decreased working capital requirements due to assets placed in service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229"/>
        <w:spacing w:after="0"/>
        <w:rPr>
          <w:sz w:val="20"/>
          <w:szCs w:val="20"/>
          <w:color w:val="auto"/>
        </w:rPr>
      </w:pPr>
      <w:r>
        <w:rPr>
          <w:rFonts w:ascii="Arial" w:cs="Arial" w:eastAsia="Arial" w:hAnsi="Arial"/>
          <w:sz w:val="14"/>
          <w:szCs w:val="14"/>
          <w:b w:val="1"/>
          <w:bCs w:val="1"/>
          <w:u w:val="single" w:color="auto"/>
          <w:color w:val="auto"/>
        </w:rPr>
        <w:t>(In millions)</w:t>
      </w:r>
    </w:p>
    <w:p>
      <w:pPr>
        <w:spacing w:after="0" w:line="266" w:lineRule="exact"/>
        <w:rPr>
          <w:sz w:val="20"/>
          <w:szCs w:val="20"/>
          <w:color w:val="auto"/>
        </w:rPr>
      </w:pPr>
    </w:p>
    <w:p>
      <w:pPr>
        <w:ind w:left="849" w:hanging="849"/>
        <w:spacing w:after="0"/>
        <w:tabs>
          <w:tab w:leader="none" w:pos="8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140</w:t>
      </w:r>
    </w:p>
    <w:p>
      <w:pPr>
        <w:spacing w:after="0" w:line="86" w:lineRule="exact"/>
        <w:rPr>
          <w:rFonts w:ascii="Arial" w:cs="Arial" w:eastAsia="Arial" w:hAnsi="Arial"/>
          <w:sz w:val="16"/>
          <w:szCs w:val="16"/>
          <w:color w:val="auto"/>
        </w:rPr>
      </w:pPr>
    </w:p>
    <w:p>
      <w:pPr>
        <w:ind w:left="949"/>
        <w:spacing w:after="0"/>
        <w:rPr>
          <w:rFonts w:ascii="Arial" w:cs="Arial" w:eastAsia="Arial" w:hAnsi="Arial"/>
          <w:sz w:val="16"/>
          <w:szCs w:val="16"/>
          <w:color w:val="auto"/>
        </w:rPr>
      </w:pPr>
      <w:r>
        <w:rPr>
          <w:rFonts w:ascii="Arial" w:cs="Arial" w:eastAsia="Arial" w:hAnsi="Arial"/>
          <w:sz w:val="16"/>
          <w:szCs w:val="16"/>
          <w:color w:val="auto"/>
        </w:rPr>
        <w:t>11</w:t>
      </w:r>
    </w:p>
    <w:p>
      <w:pPr>
        <w:spacing w:after="0" w:line="86" w:lineRule="exact"/>
        <w:rPr>
          <w:rFonts w:ascii="Arial" w:cs="Arial" w:eastAsia="Arial" w:hAnsi="Arial"/>
          <w:sz w:val="16"/>
          <w:szCs w:val="16"/>
          <w:color w:val="auto"/>
        </w:rPr>
      </w:pPr>
    </w:p>
    <w:p>
      <w:pPr>
        <w:ind w:left="949"/>
        <w:spacing w:after="0"/>
        <w:rPr>
          <w:rFonts w:ascii="Arial" w:cs="Arial" w:eastAsia="Arial" w:hAnsi="Arial"/>
          <w:sz w:val="16"/>
          <w:szCs w:val="16"/>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7975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80" w:lineRule="exact"/>
        <w:rPr>
          <w:sz w:val="20"/>
          <w:szCs w:val="20"/>
          <w:color w:val="auto"/>
        </w:rPr>
      </w:pPr>
    </w:p>
    <w:p>
      <w:pPr>
        <w:ind w:left="849" w:hanging="849"/>
        <w:spacing w:after="0"/>
        <w:tabs>
          <w:tab w:leader="none" w:pos="8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7975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63500</wp:posOffset>
            </wp:positionV>
            <wp:extent cx="7975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722" w:lineRule="exact"/>
        <w:rPr>
          <w:sz w:val="20"/>
          <w:szCs w:val="20"/>
          <w:color w:val="auto"/>
        </w:rPr>
      </w:pPr>
    </w:p>
    <w:p>
      <w:pPr>
        <w:sectPr>
          <w:pgSz w:w="11900" w:h="16838" w:orient="portrait"/>
          <w:cols w:equalWidth="0" w:num="2">
            <w:col w:w="9960" w:space="231"/>
            <w:col w:w="1229"/>
          </w:cols>
          <w:pgMar w:left="240" w:top="1260"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160" w:type="dxa"/>
            <w:vAlign w:val="bottom"/>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18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10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cash paid for Alta Wind Portfolio in 2014 compared to cash paid for Energy Systems in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Payment to NRG for Drop Down Assets, net of cash acquired</w:t>
            </w:r>
          </w:p>
        </w:tc>
        <w:tc>
          <w:tcPr>
            <w:tcW w:w="18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Decrease in capital expenditures for El Segundo, Marsh Landing and some Renewable projects, as the assets were placed in service in 2013</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Decrease in restricted cash, primarily for Marsh Landing, Borrego, Alta Wind Portfolio, El Segundo, Alpine and High Desert</w:t>
            </w:r>
          </w:p>
        </w:tc>
        <w:tc>
          <w:tcPr>
            <w:tcW w:w="18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notes receivable, including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Increase in proceeds from renewable grants in 2014 compared to 2013</w:t>
            </w:r>
          </w:p>
        </w:tc>
        <w:tc>
          <w:tcPr>
            <w:tcW w:w="18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investments in unconsolidated affiliates in 2014 compared to 2013</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10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b w:val="1"/>
                <w:bCs w:val="1"/>
                <w:i w:val="1"/>
                <w:iCs w:val="1"/>
                <w:color w:val="auto"/>
              </w:rPr>
              <w:t>Net Cash Provided By Financing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160" w:type="dxa"/>
            <w:vAlign w:val="bottom"/>
          </w:tcPr>
          <w:p>
            <w:pPr>
              <w:ind w:left="40"/>
              <w:spacing w:after="0"/>
              <w:rPr>
                <w:sz w:val="20"/>
                <w:szCs w:val="20"/>
                <w:color w:val="auto"/>
              </w:rPr>
            </w:pPr>
            <w:r>
              <w:rPr>
                <w:rFonts w:ascii="Arial" w:cs="Arial" w:eastAsia="Arial" w:hAnsi="Arial"/>
                <w:sz w:val="18"/>
                <w:szCs w:val="18"/>
                <w:color w:val="auto"/>
              </w:rPr>
              <w:t>Changes in net cash provided by financing activities were driven by:</w:t>
            </w:r>
          </w:p>
        </w:tc>
        <w:tc>
          <w:tcPr>
            <w:tcW w:w="180" w:type="dxa"/>
            <w:vAlign w:val="bottom"/>
          </w:tcPr>
          <w:p>
            <w:pPr>
              <w:spacing w:after="0"/>
              <w:rPr>
                <w:sz w:val="24"/>
                <w:szCs w:val="2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10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dividends and returns of capital to NRG, net of change in cash contributions from NRG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Contributions from tax equity investors in 2014</w:t>
            </w:r>
          </w:p>
        </w:tc>
        <w:tc>
          <w:tcPr>
            <w:tcW w:w="18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proceeds from the issuance of Class A units in 2014 compared to 2013</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Increase in distributions paid to unit holders</w:t>
            </w:r>
          </w:p>
        </w:tc>
        <w:tc>
          <w:tcPr>
            <w:tcW w:w="18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Increase in cash received from issuance of Senior Notes and other long-term debt, partially offset by higher principal payments in 2014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compared to 2013</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Increase in cash paid for deferred financing costs</w:t>
            </w:r>
          </w:p>
        </w:tc>
        <w:tc>
          <w:tcPr>
            <w:tcW w:w="18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1016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50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0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0"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Variable interest in equity investments </w:t>
      </w:r>
      <w:r>
        <w:rPr>
          <w:rFonts w:ascii="Arial" w:cs="Arial" w:eastAsia="Arial" w:hAnsi="Arial"/>
          <w:sz w:val="18"/>
          <w:szCs w:val="18"/>
          <w:color w:val="auto"/>
        </w:rPr>
        <w:t>— As of December 31, 2015, the Company has several investments with an ownership interest percentage of 50%</w:t>
      </w:r>
      <w:r>
        <w:rPr>
          <w:rFonts w:ascii="Arial" w:cs="Arial" w:eastAsia="Arial" w:hAnsi="Arial"/>
          <w:sz w:val="18"/>
          <w:szCs w:val="18"/>
          <w:i w:val="1"/>
          <w:iCs w:val="1"/>
          <w:color w:val="auto"/>
        </w:rPr>
        <w:t xml:space="preserve"> </w:t>
      </w:r>
      <w:r>
        <w:rPr>
          <w:rFonts w:ascii="Arial" w:cs="Arial" w:eastAsia="Arial" w:hAnsi="Arial"/>
          <w:sz w:val="18"/>
          <w:szCs w:val="18"/>
          <w:color w:val="auto"/>
        </w:rPr>
        <w:t>or less in energy and energy-related entities that are accounted for under the equity method. NRG DGPV Holdco 1 LLC</w:t>
      </w:r>
      <w:r>
        <w:rPr>
          <w:rFonts w:ascii="Arial" w:cs="Arial" w:eastAsia="Arial" w:hAnsi="Arial"/>
          <w:sz w:val="18"/>
          <w:szCs w:val="18"/>
          <w:i w:val="1"/>
          <w:iCs w:val="1"/>
          <w:color w:val="auto"/>
        </w:rPr>
        <w:t>,</w:t>
      </w:r>
      <w:r>
        <w:rPr>
          <w:rFonts w:ascii="Arial" w:cs="Arial" w:eastAsia="Arial" w:hAnsi="Arial"/>
          <w:sz w:val="18"/>
          <w:szCs w:val="18"/>
          <w:color w:val="auto"/>
        </w:rPr>
        <w:t xml:space="preserve"> NRG RPV Holdco 1 LLC and GenConn are variable interest entities for which the Company is not the primary beneficiary.</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Company's pro-rata share of non-recourse debt held by unconsolidated affiliates was approximately $842 million as of December 31, 2015. This indebtedness may restrict the ability of these subsidiaries to issue dividends or distributions to the Company. See also Item 15— Note 5,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Accounted for by the Equity Method and Variable Interest Entities</w:t>
      </w:r>
      <w:r>
        <w:rPr>
          <w:rFonts w:ascii="Arial" w:cs="Arial" w:eastAsia="Arial" w:hAnsi="Arial"/>
          <w:sz w:val="18"/>
          <w:szCs w:val="18"/>
          <w:color w:val="auto"/>
        </w:rPr>
        <w:t>, to the Consolidated Financial Statements.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48"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Company has a variety of contractual obligations and other commercial commitments that represent prospective cash requirements in addition to the Company's capital expenditure programs. The following table summarizes the Company's contractual obligations. See Item 15 — Note 9</w:t>
      </w:r>
      <w:r>
        <w:rPr>
          <w:rFonts w:ascii="Arial" w:cs="Arial" w:eastAsia="Arial" w:hAnsi="Arial"/>
          <w:sz w:val="17"/>
          <w:szCs w:val="17"/>
          <w:color w:val="231F20"/>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Long-term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Debt, </w:t>
      </w:r>
      <w:r>
        <w:rPr>
          <w:rFonts w:ascii="Arial" w:cs="Arial" w:eastAsia="Arial" w:hAnsi="Arial"/>
          <w:sz w:val="17"/>
          <w:szCs w:val="17"/>
          <w:color w:val="auto"/>
        </w:rPr>
        <w:t>and Note 14,</w:t>
      </w:r>
      <w:r>
        <w:rPr>
          <w:rFonts w:ascii="Arial" w:cs="Arial" w:eastAsia="Arial" w:hAnsi="Arial"/>
          <w:sz w:val="17"/>
          <w:szCs w:val="17"/>
          <w:i w:val="1"/>
          <w:iCs w:val="1"/>
          <w:color w:val="auto"/>
        </w:rPr>
        <w:t xml:space="preserve"> Commitments and Contingencies</w:t>
      </w:r>
      <w:r>
        <w:rPr>
          <w:rFonts w:ascii="Arial" w:cs="Arial" w:eastAsia="Arial" w:hAnsi="Arial"/>
          <w:sz w:val="17"/>
          <w:szCs w:val="17"/>
          <w:color w:val="auto"/>
        </w:rPr>
        <w:t>, to the Consolidated Financial Statements for additional discussion.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6"/>
              </w:rPr>
              <w:t>By Remaining Maturity at December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2"/>
        </w:trPr>
        <w:tc>
          <w:tcPr>
            <w:tcW w:w="4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Contractual Cash Obligations</w:t>
            </w:r>
          </w:p>
        </w:tc>
        <w:tc>
          <w:tcPr>
            <w:tcW w:w="260" w:type="dxa"/>
            <w:vAlign w:val="bottom"/>
          </w:tcPr>
          <w:p>
            <w:pPr>
              <w:spacing w:after="0"/>
              <w:rPr>
                <w:sz w:val="13"/>
                <w:szCs w:val="13"/>
                <w:color w:val="auto"/>
              </w:rPr>
            </w:pPr>
          </w:p>
        </w:tc>
        <w:tc>
          <w:tcPr>
            <w:tcW w:w="10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Under</w:t>
            </w:r>
          </w:p>
        </w:tc>
        <w:tc>
          <w:tcPr>
            <w:tcW w:w="200" w:type="dxa"/>
            <w:vAlign w:val="bottom"/>
          </w:tcPr>
          <w:p>
            <w:pPr>
              <w:spacing w:after="0"/>
              <w:rPr>
                <w:sz w:val="13"/>
                <w:szCs w:val="13"/>
                <w:color w:val="auto"/>
              </w:rPr>
            </w:pPr>
          </w:p>
        </w:tc>
        <w:tc>
          <w:tcPr>
            <w:tcW w:w="9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1-3 Years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Over</w:t>
            </w:r>
          </w:p>
        </w:tc>
        <w:tc>
          <w:tcPr>
            <w:tcW w:w="26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8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00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2"/>
              </w:rPr>
              <w:t>5 Years</w:t>
            </w:r>
          </w:p>
        </w:tc>
        <w:tc>
          <w:tcPr>
            <w:tcW w:w="2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(including estimated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7,345</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Fuel purchase and transportation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881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6,249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7,719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8"/>
          <w:szCs w:val="18"/>
          <w:color w:val="000000"/>
        </w:rPr>
        <w:t>December 31, 2015</w:t>
      </w:r>
      <w:r>
        <w:rPr>
          <w:rFonts w:ascii="Arial" w:cs="Arial" w:eastAsia="Arial" w:hAnsi="Arial"/>
          <w:sz w:val="18"/>
          <w:szCs w:val="18"/>
          <w:color w:val="231F20"/>
        </w:rPr>
        <w:t xml:space="preserve">, based on their level within the fair value hierarchy defined in ASC 820; and indicate the maturities of contracts at </w:t>
      </w:r>
      <w:r>
        <w:rPr>
          <w:rFonts w:ascii="Arial" w:cs="Arial" w:eastAsia="Arial" w:hAnsi="Arial"/>
          <w:sz w:val="18"/>
          <w:szCs w:val="18"/>
          <w:color w:val="000000"/>
        </w:rPr>
        <w:t>December 31, 2015</w:t>
      </w:r>
      <w:r>
        <w:rPr>
          <w:rFonts w:ascii="Arial" w:cs="Arial" w:eastAsia="Arial" w:hAnsi="Arial"/>
          <w:sz w:val="18"/>
          <w:szCs w:val="18"/>
          <w:color w:val="231F20"/>
        </w:rPr>
        <w:t xml:space="preserve">. For a full discussion of the Company's valuation methodology of its contracts, see </w:t>
      </w:r>
      <w:r>
        <w:rPr>
          <w:rFonts w:ascii="Arial" w:cs="Arial" w:eastAsia="Arial" w:hAnsi="Arial"/>
          <w:sz w:val="18"/>
          <w:szCs w:val="18"/>
          <w:i w:val="1"/>
          <w:iCs w:val="1"/>
          <w:color w:val="231F20"/>
        </w:rPr>
        <w:t>Derivative Fair Value Measurements</w:t>
      </w:r>
      <w:r>
        <w:rPr>
          <w:rFonts w:ascii="Arial" w:cs="Arial" w:eastAsia="Arial" w:hAnsi="Arial"/>
          <w:sz w:val="18"/>
          <w:szCs w:val="18"/>
          <w:color w:val="231F20"/>
        </w:rPr>
        <w:t xml:space="preserve"> in </w:t>
      </w:r>
      <w:r>
        <w:rPr>
          <w:rFonts w:ascii="Arial" w:cs="Arial" w:eastAsia="Arial" w:hAnsi="Arial"/>
          <w:sz w:val="18"/>
          <w:szCs w:val="18"/>
          <w:color w:val="000000"/>
        </w:rPr>
        <w:t>Item 15 — Note 6</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78"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 Activity (Losses)/Gains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2014</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w w:val="98"/>
              </w:rPr>
              <w:t>Contracts realized or otherwise settled during the period</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Fair Value of contracts as of December 31, 2015</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60" w:type="dxa"/>
            <w:vAlign w:val="bottom"/>
            <w:gridSpan w:val="5"/>
            <w:vMerge w:val="restart"/>
          </w:tcPr>
          <w:p>
            <w:pPr>
              <w:jc w:val="center"/>
              <w:ind w:right="122"/>
              <w:spacing w:after="0"/>
              <w:rPr>
                <w:sz w:val="20"/>
                <w:szCs w:val="20"/>
                <w:color w:val="auto"/>
              </w:rPr>
            </w:pPr>
            <w:r>
              <w:rPr>
                <w:rFonts w:ascii="Arial" w:cs="Arial" w:eastAsia="Arial" w:hAnsi="Arial"/>
                <w:sz w:val="14"/>
                <w:szCs w:val="14"/>
                <w:b w:val="1"/>
                <w:bCs w:val="1"/>
                <w:color w:val="auto"/>
                <w:w w:val="92"/>
              </w:rPr>
              <w:t>Fair Value of contracts as of December 31, 2015</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5"/>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Maturity</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Fair Value Hierarchy Losses</w:t>
            </w:r>
          </w:p>
        </w:tc>
        <w:tc>
          <w:tcPr>
            <w:tcW w:w="160" w:type="dxa"/>
            <w:vAlign w:val="bottom"/>
          </w:tcPr>
          <w:p>
            <w:pPr>
              <w:spacing w:after="0"/>
              <w:rPr>
                <w:sz w:val="13"/>
                <w:szCs w:val="13"/>
                <w:color w:val="auto"/>
              </w:rPr>
            </w:pPr>
          </w:p>
        </w:tc>
        <w:tc>
          <w:tcPr>
            <w:tcW w:w="11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1"/>
              </w:rPr>
              <w:t>1 Year or Less</w:t>
            </w:r>
          </w:p>
        </w:tc>
        <w:tc>
          <w:tcPr>
            <w:tcW w:w="240" w:type="dxa"/>
            <w:vAlign w:val="bottom"/>
          </w:tcPr>
          <w:p>
            <w:pPr>
              <w:spacing w:after="0"/>
              <w:rPr>
                <w:sz w:val="13"/>
                <w:szCs w:val="13"/>
                <w:color w:val="auto"/>
              </w:rPr>
            </w:pPr>
          </w:p>
        </w:tc>
        <w:tc>
          <w:tcPr>
            <w:tcW w:w="114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6"/>
              </w:rPr>
              <w:t>Greater Than</w:t>
            </w:r>
          </w:p>
        </w:tc>
        <w:tc>
          <w:tcPr>
            <w:tcW w:w="220" w:type="dxa"/>
            <w:vAlign w:val="bottom"/>
          </w:tcPr>
          <w:p>
            <w:pPr>
              <w:spacing w:after="0"/>
              <w:rPr>
                <w:sz w:val="13"/>
                <w:szCs w:val="13"/>
                <w:color w:val="auto"/>
              </w:rPr>
            </w:pPr>
          </w:p>
        </w:tc>
        <w:tc>
          <w:tcPr>
            <w:tcW w:w="1140" w:type="dxa"/>
            <w:vAlign w:val="bottom"/>
          </w:tcPr>
          <w:p>
            <w:pPr>
              <w:jc w:val="center"/>
              <w:ind w:right="144"/>
              <w:spacing w:after="0" w:line="153" w:lineRule="exact"/>
              <w:rPr>
                <w:sz w:val="20"/>
                <w:szCs w:val="20"/>
                <w:color w:val="auto"/>
              </w:rPr>
            </w:pPr>
            <w:r>
              <w:rPr>
                <w:rFonts w:ascii="Arial" w:cs="Arial" w:eastAsia="Arial" w:hAnsi="Arial"/>
                <w:sz w:val="14"/>
                <w:szCs w:val="14"/>
                <w:b w:val="1"/>
                <w:bCs w:val="1"/>
                <w:color w:val="auto"/>
                <w:w w:val="96"/>
              </w:rPr>
              <w:t>Greater Than</w:t>
            </w:r>
          </w:p>
        </w:tc>
        <w:tc>
          <w:tcPr>
            <w:tcW w:w="220" w:type="dxa"/>
            <w:vAlign w:val="bottom"/>
          </w:tcPr>
          <w:p>
            <w:pPr>
              <w:spacing w:after="0"/>
              <w:rPr>
                <w:sz w:val="13"/>
                <w:szCs w:val="13"/>
                <w:color w:val="auto"/>
              </w:rPr>
            </w:pPr>
          </w:p>
        </w:tc>
        <w:tc>
          <w:tcPr>
            <w:tcW w:w="114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3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1 Year to 3 Years</w:t>
            </w:r>
          </w:p>
        </w:tc>
        <w:tc>
          <w:tcPr>
            <w:tcW w:w="13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3 Years to 5 Years</w:t>
            </w:r>
          </w:p>
        </w:tc>
        <w:tc>
          <w:tcPr>
            <w:tcW w:w="220" w:type="dxa"/>
            <w:vAlign w:val="bottom"/>
          </w:tcPr>
          <w:p>
            <w:pPr>
              <w:spacing w:after="0"/>
              <w:rPr>
                <w:sz w:val="13"/>
                <w:szCs w:val="13"/>
                <w:color w:val="auto"/>
              </w:rPr>
            </w:pPr>
          </w:p>
        </w:tc>
        <w:tc>
          <w:tcPr>
            <w:tcW w:w="11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2"/>
              </w:rPr>
              <w:t>5 Years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77"/>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center"/>
              <w:ind w:right="124"/>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6"/>
          <w:szCs w:val="16"/>
          <w:i w:val="1"/>
          <w:iCs w:val="1"/>
          <w:color w:val="231F20"/>
        </w:rPr>
        <w:t>Quantitative and Qualitative Disclosures about Market Risk -Commodity Price Risk,</w:t>
      </w:r>
      <w:r>
        <w:rPr>
          <w:rFonts w:ascii="Arial" w:cs="Arial" w:eastAsia="Arial" w:hAnsi="Arial"/>
          <w:sz w:val="16"/>
          <w:szCs w:val="16"/>
          <w:color w:val="231F20"/>
        </w:rPr>
        <w:t xml:space="preserve"> NRG, on behalf of the </w:t>
      </w:r>
      <w:r>
        <w:rPr>
          <w:rFonts w:ascii="Arial" w:cs="Arial" w:eastAsia="Arial" w:hAnsi="Arial"/>
          <w:sz w:val="16"/>
          <w:szCs w:val="16"/>
          <w:color w:val="000000"/>
        </w:rPr>
        <w:t>Company, measures the sensitivity of the portfolio to potential changes in market prices using VaR, a statistical model which attempts to predict risk of loss based on market price and volatility. NRG's risk management policy places a limit on one-day holding period VaR, which limits the net open position.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U.S. GAAP. The preparation of these financial statements and related disclosures in compliance with U.S.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Company's significant accounting policies are summarized in Item 15—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 and acquisition accounting.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19" w:right="239" w:bottom="1440" w:gutter="0" w:footer="0" w:header="0"/>
        </w:sectPr>
      </w:pPr>
    </w:p>
    <w:bookmarkStart w:id="52" w:name="page53"/>
    <w:bookmarkEnd w:id="52"/>
    <w:tbl>
      <w:tblPr>
        <w:tblLayout w:type="fixed"/>
        <w:tblInd w:w="4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Accounting Policy</w:t>
            </w:r>
          </w:p>
        </w:tc>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Judgments/Uncertainties Affecting Application</w:t>
            </w:r>
          </w:p>
        </w:tc>
      </w:tr>
      <w:tr>
        <w:trPr>
          <w:trHeight w:val="21"/>
        </w:trPr>
        <w:tc>
          <w:tcPr>
            <w:tcW w:w="1120" w:type="dxa"/>
            <w:vAlign w:val="bottom"/>
            <w:tcBorders>
              <w:top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r>
      <w:tr>
        <w:trPr>
          <w:trHeight w:val="399"/>
        </w:trPr>
        <w:tc>
          <w:tcPr>
            <w:tcW w:w="6020" w:type="dxa"/>
            <w:vAlign w:val="bottom"/>
            <w:gridSpan w:val="2"/>
          </w:tcPr>
          <w:p>
            <w:pPr>
              <w:spacing w:after="0"/>
              <w:rPr>
                <w:sz w:val="20"/>
                <w:szCs w:val="20"/>
                <w:color w:val="auto"/>
              </w:rPr>
            </w:pPr>
            <w:r>
              <w:rPr>
                <w:rFonts w:ascii="Arial" w:cs="Arial" w:eastAsia="Arial" w:hAnsi="Arial"/>
                <w:sz w:val="18"/>
                <w:szCs w:val="18"/>
                <w:color w:val="auto"/>
              </w:rPr>
              <w:t>Impairment of Long Lived Assets</w:t>
            </w:r>
          </w:p>
        </w:tc>
        <w:tc>
          <w:tcPr>
            <w:tcW w:w="5360" w:type="dxa"/>
            <w:vAlign w:val="bottom"/>
          </w:tcPr>
          <w:p>
            <w:pPr>
              <w:ind w:left="20"/>
              <w:spacing w:after="0"/>
              <w:rPr>
                <w:sz w:val="20"/>
                <w:szCs w:val="20"/>
                <w:color w:val="auto"/>
              </w:rPr>
            </w:pPr>
            <w:r>
              <w:rPr>
                <w:rFonts w:ascii="Arial" w:cs="Arial" w:eastAsia="Arial" w:hAnsi="Arial"/>
                <w:sz w:val="18"/>
                <w:szCs w:val="18"/>
                <w:color w:val="auto"/>
              </w:rPr>
              <w:t>Recoverability of investments through future operations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Regulatory and political environments and requirements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Estimated useful lives of assets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Operational limitations and environmental obligations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Estimates of future cash flows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Estimates of fair value</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Judgment about triggering events</w:t>
            </w:r>
          </w:p>
        </w:tc>
      </w:tr>
      <w:tr>
        <w:trPr>
          <w:trHeight w:val="270"/>
        </w:trPr>
        <w:tc>
          <w:tcPr>
            <w:tcW w:w="6020" w:type="dxa"/>
            <w:vAlign w:val="bottom"/>
            <w:gridSpan w:val="2"/>
          </w:tcPr>
          <w:p>
            <w:pPr>
              <w:spacing w:after="0"/>
              <w:rPr>
                <w:sz w:val="20"/>
                <w:szCs w:val="20"/>
                <w:color w:val="auto"/>
              </w:rPr>
            </w:pPr>
            <w:r>
              <w:rPr>
                <w:rFonts w:ascii="Arial" w:cs="Arial" w:eastAsia="Arial" w:hAnsi="Arial"/>
                <w:sz w:val="18"/>
                <w:szCs w:val="18"/>
                <w:color w:val="auto"/>
              </w:rPr>
              <w:t>Acquisition Accounting</w:t>
            </w:r>
          </w:p>
        </w:tc>
        <w:tc>
          <w:tcPr>
            <w:tcW w:w="5360" w:type="dxa"/>
            <w:vAlign w:val="bottom"/>
          </w:tcPr>
          <w:p>
            <w:pPr>
              <w:ind w:left="20"/>
              <w:spacing w:after="0"/>
              <w:rPr>
                <w:sz w:val="20"/>
                <w:szCs w:val="20"/>
                <w:color w:val="auto"/>
              </w:rPr>
            </w:pPr>
            <w:r>
              <w:rPr>
                <w:rFonts w:ascii="Arial" w:cs="Arial" w:eastAsia="Arial" w:hAnsi="Arial"/>
                <w:sz w:val="18"/>
                <w:szCs w:val="18"/>
                <w:color w:val="auto"/>
              </w:rPr>
              <w:t>Identification of intangible assets acquired</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Inputs for fair value of assets and liabilities acquired</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Application of various methodologies</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Evaluation of Assets for Impairment and Other Than Temporary Decline in Value</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or ASC 360, property, plant and equipment and certain intangible assets are evaluated for impairment whenever indicators of impairment exist. Examples of such indicators or events are:</w:t>
      </w:r>
    </w:p>
    <w:p>
      <w:pPr>
        <w:spacing w:after="0" w:line="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decrease in the market price of a long-lived asset;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adverse change in the manner an asset is being used or its physical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business climate;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Accumulation of costs significantly in excess of the amount originally expected for the construction or acquisition of an asset;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Current-period loss combined with a history of losses or the projection of future losses; and</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in the Company's intent about an asset from an intent to hold to a greater than 50% likelihood that an asset will be sold or disposed of before the end of its previously estimated useful life.</w:t>
      </w:r>
    </w:p>
    <w:p>
      <w:pPr>
        <w:spacing w:after="0" w:line="11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Recoverability of assets to be held and used is measured by a comparison of the carrying amount of the assets to the future net cash flows expected to be generated by the asset, through considering project specific assumptions for long-term power pool prices, escalated future project operating costs and expected plant operations. If such assets are considered to be impaired, the impairment to be recognized is measured by the amount by which the carrying amount of the assets exceeds the fair value of the assets by factoring in the probability weighting of different courses of action available to us. Generally, fair value will be determined using valuation techniques such as the present value of expected future cash flows. The Company uses its best estimates in making these evaluations and considers various factors, including forward price curves for energy, fuel costs and operating costs. However, actual future market prices and project costs could vary from the assumptions used in the Company's estimates, and the impact of such variations could be material.</w:t>
      </w:r>
    </w:p>
    <w:p>
      <w:pPr>
        <w:spacing w:after="0" w:line="11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The Company is also required to evaluate its equity method investments to determine whether or not they are impaired. ASC 323, </w:t>
      </w:r>
      <w:r>
        <w:rPr>
          <w:rFonts w:ascii="Arial" w:cs="Arial" w:eastAsia="Arial" w:hAnsi="Arial"/>
          <w:sz w:val="18"/>
          <w:szCs w:val="18"/>
          <w:i w:val="1"/>
          <w:iCs w:val="1"/>
          <w:color w:val="auto"/>
        </w:rPr>
        <w:t>Investments - Equity</w:t>
      </w:r>
      <w:r>
        <w:rPr>
          <w:rFonts w:ascii="Arial" w:cs="Arial" w:eastAsia="Arial" w:hAnsi="Arial"/>
          <w:sz w:val="18"/>
          <w:szCs w:val="18"/>
          <w:color w:val="auto"/>
        </w:rPr>
        <w:t xml:space="preserve"> </w:t>
      </w:r>
      <w:r>
        <w:rPr>
          <w:rFonts w:ascii="Arial" w:cs="Arial" w:eastAsia="Arial" w:hAnsi="Arial"/>
          <w:sz w:val="18"/>
          <w:szCs w:val="18"/>
          <w:i w:val="1"/>
          <w:iCs w:val="1"/>
          <w:color w:val="auto"/>
        </w:rPr>
        <w:t>Method and Joint Ventures</w:t>
      </w:r>
      <w:r>
        <w:rPr>
          <w:rFonts w:ascii="Arial" w:cs="Arial" w:eastAsia="Arial" w:hAnsi="Arial"/>
          <w:sz w:val="18"/>
          <w:szCs w:val="18"/>
          <w:color w:val="auto"/>
        </w:rPr>
        <w:t>, or ASC 323, provides the accounting requirements for these investments. The standard for determining whether an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must be recorded under ASC 323 is whether the value is considered an "other than a temporary" decline in value. The evaluation and measurement of impairments under ASC 323 involves the same uncertainties as described for long-lived assets that the Company owns directly and accounts for in accordance with ASC 360. Similarly, the estimates that the Company makes with respect to its equity method investments are subjective, and the impact of variations in these estimates could be material. Additionally, if the projects in which the Company holds these investments recognize an impairment under the provisions of ASC 360, the Company would record its proportionate share of that impairment loss and would evaluate its investment for an other than temporary decline in value under ASC 323.</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032" w:right="239" w:bottom="1440" w:gutter="0" w:footer="0" w:header="0"/>
        </w:sectPr>
      </w:pPr>
    </w:p>
    <w:bookmarkStart w:id="53" w:name="page54"/>
    <w:bookmarkEnd w:id="53"/>
    <w:p>
      <w:pPr>
        <w:ind w:left="360"/>
        <w:spacing w:after="0"/>
        <w:rPr>
          <w:sz w:val="20"/>
          <w:szCs w:val="20"/>
          <w:color w:val="auto"/>
        </w:rPr>
      </w:pPr>
      <w:r>
        <w:rPr>
          <w:rFonts w:ascii="Arial" w:cs="Arial" w:eastAsia="Arial" w:hAnsi="Arial"/>
          <w:sz w:val="18"/>
          <w:szCs w:val="18"/>
          <w:b w:val="1"/>
          <w:bCs w:val="1"/>
          <w:i w:val="1"/>
          <w:iCs w:val="1"/>
          <w:color w:val="auto"/>
        </w:rPr>
        <w:t>Acquisition Accounting</w:t>
      </w:r>
    </w:p>
    <w:p>
      <w:pPr>
        <w:spacing w:after="0" w:line="171"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7"/>
          <w:szCs w:val="17"/>
          <w:color w:val="auto"/>
        </w:rPr>
        <w:t xml:space="preserve">The Company applies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when accounting for the acquisition of a business, with identifiable assets acquired and liabilities assumed recorded at their estimated fair values on the acquisition date. The Company completes the accounting for an acquisition when the evaluations are completed to the extent that additional information is obtained about the facts and circumstances that existed as of the acquisition date. The allocation of the purchase price may be modified up to one year from the date of the acquisition as more information is obtained about the fair value of assets acquired and liabilities assumed. </w:t>
      </w:r>
      <w:r>
        <w:rPr>
          <w:rFonts w:ascii="Arial" w:cs="Arial" w:eastAsia="Arial" w:hAnsi="Arial"/>
          <w:sz w:val="17"/>
          <w:szCs w:val="17"/>
          <w:color w:val="231F20"/>
        </w:rPr>
        <w:t>Consideration is measured based on fair value of the assets transferred to the seller.</w:t>
      </w:r>
    </w:p>
    <w:p>
      <w:pPr>
        <w:spacing w:after="0" w:line="119"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231F20"/>
        </w:rPr>
        <w:t xml:space="preserve">Significant judgment is required in determining the acquisition date fair value of the assets acquired and liabilities assumed, predominantly with respect to property, plant and equipment, power purchase agreements, asset retirement obligations and other contractual arrangements. Evaluations include numerous inputs including </w:t>
      </w:r>
      <w:r>
        <w:rPr>
          <w:rFonts w:ascii="Arial" w:cs="Arial" w:eastAsia="Arial" w:hAnsi="Arial"/>
          <w:sz w:val="18"/>
          <w:szCs w:val="18"/>
          <w:color w:val="000000"/>
        </w:rPr>
        <w:t>forecasted cash flows that incorporate the specific attributes of each asset including age, useful life, equipment condition and technology, as</w:t>
      </w:r>
      <w:r>
        <w:rPr>
          <w:rFonts w:ascii="Arial" w:cs="Arial" w:eastAsia="Arial" w:hAnsi="Arial"/>
          <w:sz w:val="18"/>
          <w:szCs w:val="18"/>
          <w:color w:val="231F20"/>
        </w:rPr>
        <w:t xml:space="preserve"> </w:t>
      </w:r>
      <w:r>
        <w:rPr>
          <w:rFonts w:ascii="Arial" w:cs="Arial" w:eastAsia="Arial" w:hAnsi="Arial"/>
          <w:sz w:val="18"/>
          <w:szCs w:val="18"/>
          <w:color w:val="000000"/>
        </w:rPr>
        <w:t xml:space="preserve">well as current replacement costs for similar assets. Other key inputs that require judgment include discount rates, </w:t>
      </w:r>
      <w:r>
        <w:rPr>
          <w:rFonts w:ascii="Arial" w:cs="Arial" w:eastAsia="Arial" w:hAnsi="Arial"/>
          <w:sz w:val="18"/>
          <w:szCs w:val="18"/>
          <w:color w:val="231F20"/>
        </w:rPr>
        <w:t>comparable market transactions, estimated</w:t>
      </w:r>
      <w:r>
        <w:rPr>
          <w:rFonts w:ascii="Arial" w:cs="Arial" w:eastAsia="Arial" w:hAnsi="Arial"/>
          <w:sz w:val="18"/>
          <w:szCs w:val="18"/>
          <w:color w:val="000000"/>
        </w:rPr>
        <w:t xml:space="preserve"> </w:t>
      </w:r>
      <w:r>
        <w:rPr>
          <w:rFonts w:ascii="Arial" w:cs="Arial" w:eastAsia="Arial" w:hAnsi="Arial"/>
          <w:sz w:val="18"/>
          <w:szCs w:val="18"/>
          <w:color w:val="231F20"/>
        </w:rPr>
        <w:t>useful lives and probability of future transactions. The Company evaluates all available information, as well as all appropriate methodologies when determining the fair value of assets acquired and liabilities assumed in a business combination. In addition, once the appropriate fair values are determined, the Company must determine the remaining useful life for property, plant and equipment and the amortization period and method of amortization for each finite-lived intangible asset.</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See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8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17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Arial" w:cs="Arial" w:eastAsia="Arial" w:hAnsi="Arial"/>
          <w:sz w:val="17"/>
          <w:szCs w:val="17"/>
          <w:color w:val="000000"/>
        </w:rPr>
        <w:t>$2 million</w:t>
      </w:r>
      <w:r>
        <w:rPr>
          <w:rFonts w:ascii="Arial" w:cs="Arial" w:eastAsia="Arial" w:hAnsi="Arial"/>
          <w:sz w:val="17"/>
          <w:szCs w:val="17"/>
          <w:color w:val="231F20"/>
        </w:rPr>
        <w:t xml:space="preserve"> in the net value of derivatives as of </w:t>
      </w:r>
      <w:r>
        <w:rPr>
          <w:rFonts w:ascii="Arial" w:cs="Arial" w:eastAsia="Arial" w:hAnsi="Arial"/>
          <w:sz w:val="17"/>
          <w:szCs w:val="17"/>
          <w:color w:val="000000"/>
        </w:rPr>
        <w:t>December 31, 2015</w:t>
      </w:r>
      <w:r>
        <w:rPr>
          <w:rFonts w:ascii="Arial" w:cs="Arial" w:eastAsia="Arial" w:hAnsi="Arial"/>
          <w:sz w:val="17"/>
          <w:szCs w:val="17"/>
          <w:color w:val="231F20"/>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NRG's risk management policies allow the Company to reduce interest rate exposure from variable rate debt obligations.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8"/>
          <w:szCs w:val="18"/>
          <w:color w:val="000000"/>
        </w:rPr>
        <w:t>Note 9</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to the Consolidated Financial Statements for more information about interest rate swaps of the Company's project subsidiaries.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If all of the above swaps had been discontinued on </w:t>
      </w:r>
      <w:r>
        <w:rPr>
          <w:rFonts w:ascii="Arial" w:cs="Arial" w:eastAsia="Arial" w:hAnsi="Arial"/>
          <w:sz w:val="18"/>
          <w:szCs w:val="18"/>
          <w:color w:val="000000"/>
        </w:rPr>
        <w:t>December 31, 2015</w:t>
      </w:r>
      <w:r>
        <w:rPr>
          <w:rFonts w:ascii="Arial" w:cs="Arial" w:eastAsia="Arial" w:hAnsi="Arial"/>
          <w:sz w:val="18"/>
          <w:szCs w:val="18"/>
          <w:color w:val="231F20"/>
        </w:rPr>
        <w:t>, the Company would have owed the counterparties $101 million. Based on the investment grade rating of the counterparties, the Company believes its exposure to credit risk due to nonperformance by counterparties to its hedge contracts to be insignificant.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 xml:space="preserve">The Company has long-term debt instruments that subject it to the risk of loss associated with movements in market interest rates. As of </w:t>
      </w:r>
      <w:r>
        <w:rPr>
          <w:rFonts w:ascii="Arial" w:cs="Arial" w:eastAsia="Arial" w:hAnsi="Arial"/>
          <w:sz w:val="16"/>
          <w:szCs w:val="16"/>
          <w:color w:val="000000"/>
        </w:rPr>
        <w:t>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r>
        <w:rPr>
          <w:rFonts w:ascii="Arial" w:cs="Arial" w:eastAsia="Arial" w:hAnsi="Arial"/>
          <w:sz w:val="18"/>
          <w:szCs w:val="18"/>
          <w:color w:val="231F20"/>
        </w:rPr>
        <w:t>, a 1% change in interest rates would result in an approximately $3 million change in interest expense on a rolling twelve month basis.</w:t>
      </w:r>
    </w:p>
    <w:p>
      <w:pPr>
        <w:spacing w:after="0" w:line="1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2015</w:t>
      </w:r>
      <w:r>
        <w:rPr>
          <w:rFonts w:ascii="Arial" w:cs="Arial" w:eastAsia="Arial" w:hAnsi="Arial"/>
          <w:sz w:val="18"/>
          <w:szCs w:val="18"/>
          <w:color w:val="231F20"/>
        </w:rPr>
        <w:t>, the fair value of the Company's debt was $4,734 million and the carrying value was $4,885 million. The Company estimates that a 1% decrease in market interest rates would have increased the fair value of its long-term debt by $331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financial statements and schedules are listed in Part IV, Item 15 of this Form 10-K.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7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 and Internal Control Over Financial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report on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that occurred in the fourth quarter of 2015 that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6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internal control over financial reporting is designed to provide reasonable assurance regarding the reliability of financial reporting and the preparation of consolidated financial statements for external purposes in accordance with U.S. GAAP. The Company's internal control over financial reporting includes those policies and procedures that:</w:t>
      </w:r>
    </w:p>
    <w:p>
      <w:pPr>
        <w:spacing w:after="0" w:line="73" w:lineRule="exact"/>
        <w:rPr>
          <w:sz w:val="20"/>
          <w:szCs w:val="20"/>
          <w:color w:val="auto"/>
        </w:rPr>
      </w:pPr>
    </w:p>
    <w:p>
      <w:pPr>
        <w:ind w:left="600" w:hanging="187"/>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46" w:lineRule="exact"/>
        <w:rPr>
          <w:rFonts w:ascii="Arial" w:cs="Arial" w:eastAsia="Arial" w:hAnsi="Arial"/>
          <w:sz w:val="16"/>
          <w:szCs w:val="16"/>
          <w:color w:val="auto"/>
        </w:rPr>
      </w:pPr>
    </w:p>
    <w:p>
      <w:pPr>
        <w:ind w:right="20" w:firstLine="413"/>
        <w:spacing w:after="0" w:line="281" w:lineRule="auto"/>
        <w:tabs>
          <w:tab w:leader="none" w:pos="585"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consolidated financial statements in accordance with U.S. GAAP, and that the Company's receipts and expenditures are being made only in accordance with authorizations of its management and directors; and</w:t>
      </w:r>
    </w:p>
    <w:p>
      <w:pPr>
        <w:spacing w:after="0" w:line="1" w:lineRule="exact"/>
        <w:rPr>
          <w:rFonts w:ascii="Arial" w:cs="Arial" w:eastAsia="Arial" w:hAnsi="Arial"/>
          <w:sz w:val="16"/>
          <w:szCs w:val="16"/>
          <w:color w:val="auto"/>
        </w:rPr>
      </w:pPr>
    </w:p>
    <w:p>
      <w:pPr>
        <w:ind w:firstLine="413"/>
        <w:spacing w:after="0" w:line="261"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7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67" w:lineRule="exact"/>
        <w:rPr>
          <w:sz w:val="20"/>
          <w:szCs w:val="20"/>
          <w:color w:val="auto"/>
        </w:rPr>
      </w:pPr>
    </w:p>
    <w:p>
      <w:pPr>
        <w:jc w:val="both"/>
        <w:ind w:right="20" w:firstLine="405"/>
        <w:spacing w:after="0" w:line="273"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the Company's evaluation under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the Company's management concluded that its internal control over financial reporting was effective as of December 31, 2015.</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7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9B — 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10 has been omitted from this report pursuant to the reduced disclosure format permitted by General Instruction I to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11 has been omitted from this report pursuant to the reduced disclosure format permitted by General Instruction I to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Item 12 has been omitted from this report pursuant to the reduced disclosure format permitted by General Instruction I to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13 has been omitted from this report pursuant to the reduced disclosure format permitted by General Instruction I to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Audit and Nonaudit Fees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fees for professional services rendered by KPMG LLP, the Company's principal independent registered public accounting firm, for the years ended December 31, 2015, and December 31, 2014.</w:t>
      </w:r>
    </w:p>
    <w:p>
      <w:pPr>
        <w:spacing w:after="0" w:line="329" w:lineRule="exact"/>
        <w:rPr>
          <w:sz w:val="20"/>
          <w:szCs w:val="20"/>
          <w:color w:val="auto"/>
        </w:rPr>
      </w:pPr>
    </w:p>
    <w:p>
      <w:pPr>
        <w:jc w:val="center"/>
        <w:ind w:left="43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4320"/>
        <w:spacing w:after="0"/>
        <w:rPr>
          <w:sz w:val="20"/>
          <w:szCs w:val="20"/>
          <w:color w:val="auto"/>
        </w:rPr>
      </w:pPr>
      <w:r>
        <w:rPr>
          <w:rFonts w:ascii="Arial" w:cs="Arial" w:eastAsia="Arial" w:hAnsi="Arial"/>
          <w:sz w:val="18"/>
          <w:szCs w:val="18"/>
          <w:b w:val="1"/>
          <w:bCs w:val="1"/>
          <w:color w:val="auto"/>
        </w:rPr>
        <w:t>December 31,</w:t>
      </w:r>
    </w:p>
    <w:p>
      <w:pPr>
        <w:spacing w:after="0" w:line="16" w:lineRule="exact"/>
        <w:rPr>
          <w:sz w:val="20"/>
          <w:szCs w:val="20"/>
          <w:color w:val="auto"/>
        </w:rPr>
      </w:pPr>
    </w:p>
    <w:tbl>
      <w:tblPr>
        <w:tblLayout w:type="fixed"/>
        <w:tblInd w:w="1880" w:type="dxa"/>
        <w:tblCellMar>
          <w:top w:w="0" w:type="dxa"/>
          <w:left w:w="0" w:type="dxa"/>
          <w:bottom w:w="0" w:type="dxa"/>
          <w:right w:w="0" w:type="dxa"/>
        </w:tblCellMar>
      </w:tblPr>
      <w:tr>
        <w:trPr>
          <w:trHeight w:val="264"/>
        </w:trPr>
        <w:tc>
          <w:tcPr>
            <w:tcW w:w="428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2014</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Audit Fees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1,680,000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1,138,500</w:t>
            </w: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Audit-Related Fees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Tax Fees</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260,817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Fees</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28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1,940,817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1,138,500</w:t>
            </w:r>
          </w:p>
        </w:tc>
      </w:tr>
      <w:tr>
        <w:trPr>
          <w:trHeight w:val="20"/>
        </w:trPr>
        <w:tc>
          <w:tcPr>
            <w:tcW w:w="4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2015 and 2014 audit services, KPMG LLP billed the Company approximately $1,680,000 and $1,138,500, respectively, for the audit of the Company’s consolidated financial statements and the review of the Company’s quarterly consolidated financial statements on Form 10-Q that are customary under the standards of the Public Company Accounting Oversight Board (United States), and in connection with statutory audits.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Audit-Related Fees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audit-related fees billed to the Company by KPMG LLP for 2015 or 2014.</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were approximately $260,817 in tax fees billed to the Company by KPMG LLP for 2015, relating mainly to compliance work. There were no tax fees billed to the Company by KPMG LLP for 2014.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040" w:right="239" w:bottom="1440" w:gutter="0" w:footer="0" w:header="0"/>
        </w:sectPr>
      </w:pPr>
    </w:p>
    <w:bookmarkStart w:id="57" w:name="page58"/>
    <w:bookmarkEnd w:id="57"/>
    <w:p>
      <w:pPr>
        <w:ind w:left="420"/>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other fees billed to the Company by KPMG LLP for 2015 or 2014.</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Policy on Audit Committee Pre-approval</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Audit Committee of Yield, Inc. is responsible for appointing, setting compensation for, and overseeing the work of the independent registered public accounting firm of the Company. The Audit Committee of Yield, Inc. has established a policy regarding pre-approval of all audit and permissible nonaudit services provided by the independent registered public accounting firm of the Company.</w:t>
      </w:r>
    </w:p>
    <w:p>
      <w:pPr>
        <w:spacing w:after="0" w:line="1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Audit Committee will annually review and pre-approve services that are expected to be provided by the independent registered public accounting firm. The term of the pre-approval will be 12 months from the date of the pre-approval, unless the Audit Committee approves a shorter time period. The Audit Committee may periodically amend and/or supplement the pre-approved services based on subsequent determinations.</w:t>
      </w:r>
    </w:p>
    <w:p>
      <w:pPr>
        <w:spacing w:after="0" w:line="16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Unless the Audit Committee of Yield, Inc. has pre-approved Audit Services or a specified category of nonaudit services, any engagement to provide such services must be pre-approved by the Audit Committee of Yield, Inc. if it is to be provided by the independent registered public accounting firm. The Audit Committee of Yield, Inc. must also pre-approve any proposed services exceeding the pre-approved budgeted fee levels for a specified type of service.</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Audit Committee of Yield, Inc. has authorized its Chair to pre-approve services in amounts up to $100,000 per engagement. Engagements exceeding $100,000 must be approved by the full Yield, Inc. Audit Committee. Engagements pre-approved by the Chair are reported to the Audit Committee of Yield, Inc. at its next scheduled meeting.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78" w:right="239" w:bottom="1440" w:gutter="0" w:footer="0" w:header="0"/>
        </w:sectPr>
      </w:pPr>
    </w:p>
    <w:bookmarkStart w:id="58" w:name="page59"/>
    <w:bookmarkEnd w:id="58"/>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(a)(1) Financial Statements</w:t>
      </w:r>
    </w:p>
    <w:p>
      <w:pPr>
        <w:spacing w:after="0" w:line="171" w:lineRule="exact"/>
        <w:rPr>
          <w:sz w:val="20"/>
          <w:szCs w:val="20"/>
          <w:color w:val="auto"/>
        </w:rPr>
      </w:pPr>
    </w:p>
    <w:p>
      <w:pPr>
        <w:ind w:left="980" w:hanging="242"/>
        <w:spacing w:after="0" w:line="277" w:lineRule="auto"/>
        <w:rPr>
          <w:sz w:val="20"/>
          <w:szCs w:val="20"/>
          <w:color w:val="auto"/>
        </w:rPr>
      </w:pPr>
      <w:r>
        <w:rPr>
          <w:rFonts w:ascii="Arial" w:cs="Arial" w:eastAsia="Arial" w:hAnsi="Arial"/>
          <w:sz w:val="18"/>
          <w:szCs w:val="18"/>
          <w:color w:val="auto"/>
        </w:rPr>
        <w:t>The following consolidated financial statements of NRG Yield LLC and related notes thereto, together with the reports thereon of KPMG LLP, are included herein:</w:t>
      </w:r>
    </w:p>
    <w:p>
      <w:pPr>
        <w:spacing w:after="0" w:line="11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Income — Years ended December 31, 2015, 2014 and 2013</w:t>
      </w:r>
    </w:p>
    <w:p>
      <w:pPr>
        <w:spacing w:after="0" w:line="171" w:lineRule="exact"/>
        <w:rPr>
          <w:sz w:val="20"/>
          <w:szCs w:val="20"/>
          <w:color w:val="auto"/>
        </w:rPr>
      </w:pPr>
    </w:p>
    <w:p>
      <w:pPr>
        <w:ind w:left="740" w:right="3060"/>
        <w:spacing w:after="0" w:line="438" w:lineRule="auto"/>
        <w:rPr>
          <w:sz w:val="20"/>
          <w:szCs w:val="20"/>
          <w:color w:val="auto"/>
        </w:rPr>
      </w:pPr>
      <w:r>
        <w:rPr>
          <w:rFonts w:ascii="Arial" w:cs="Arial" w:eastAsia="Arial" w:hAnsi="Arial"/>
          <w:sz w:val="18"/>
          <w:szCs w:val="18"/>
          <w:color w:val="auto"/>
        </w:rPr>
        <w:t>Consolidated Statements of Comprehensive Income — Years ended December 31, 2015, 2014 and 2013 Consolidated Balance Sheets — As of December 31, 2015 and 2014</w:t>
      </w:r>
    </w:p>
    <w:p>
      <w:pPr>
        <w:spacing w:after="0" w:line="1" w:lineRule="exact"/>
        <w:rPr>
          <w:sz w:val="20"/>
          <w:szCs w:val="20"/>
          <w:color w:val="auto"/>
        </w:rPr>
      </w:pPr>
    </w:p>
    <w:p>
      <w:pPr>
        <w:ind w:left="740" w:right="3540"/>
        <w:spacing w:after="0" w:line="438" w:lineRule="auto"/>
        <w:rPr>
          <w:sz w:val="20"/>
          <w:szCs w:val="20"/>
          <w:color w:val="auto"/>
        </w:rPr>
      </w:pPr>
      <w:r>
        <w:rPr>
          <w:rFonts w:ascii="Arial" w:cs="Arial" w:eastAsia="Arial" w:hAnsi="Arial"/>
          <w:sz w:val="18"/>
          <w:szCs w:val="18"/>
          <w:color w:val="auto"/>
        </w:rPr>
        <w:t>Consolidated Statements of Cash Flows — Years ended December 31, 2015, 2014 and 2013 Consolidated Statements of Members' Equity — Years ended December 31, 2015, 2014 and 2013 Notes to Consolidated Financial Statements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Not applicable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(a)(3) Exhibits: See Exhibit Index submitted as a separate section of this report</w:t>
      </w:r>
    </w:p>
    <w:p>
      <w:pPr>
        <w:spacing w:after="0" w:line="171" w:lineRule="exact"/>
        <w:rPr>
          <w:sz w:val="20"/>
          <w:szCs w:val="20"/>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See Exhibit Index submitted as a separate section of this report</w:t>
      </w:r>
    </w:p>
    <w:p>
      <w:pPr>
        <w:spacing w:after="0" w:line="17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00"/>
          </w:cols>
          <w:pgMar w:left="240" w:top="877" w:right="3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Members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NRG Yield LLC:</w:t>
      </w:r>
    </w:p>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NRG Yield LLC and subsidiaries as of December 31, 2015 and 2014, and the related consolidated statements of income, comprehensive income, stockholders’ equity, and cash flows for each of the years in the three-year period ended December 31, 2015. These consolidated financial statements are the responsibility of the Company’s management. Our responsibility is to express an opinion on these consolidated financial statements and financial statement schedule based on our audits.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7"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NRG Yield LLC and subsidiaries as of December 31, 2015 and 2014, and the results of their operations and their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2015, in conformity with U.S. generally accepted accounting principles.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(signed) KPMG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09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7"/>
          </w:tcPr>
          <w:p>
            <w:pPr>
              <w:jc w:val="center"/>
              <w:ind w:right="111"/>
              <w:spacing w:after="0"/>
              <w:rPr>
                <w:sz w:val="20"/>
                <w:szCs w:val="20"/>
                <w:color w:val="auto"/>
              </w:rPr>
            </w:pPr>
            <w:r>
              <w:rPr>
                <w:rFonts w:ascii="Arial" w:cs="Arial" w:eastAsia="Arial" w:hAnsi="Arial"/>
                <w:sz w:val="18"/>
                <w:szCs w:val="18"/>
                <w:b w:val="1"/>
                <w:bCs w:val="1"/>
                <w:color w:val="auto"/>
                <w:w w:val="89"/>
              </w:rPr>
              <w:t>Year ended December 31,</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(In millions)</w:t>
            </w:r>
          </w:p>
        </w:tc>
        <w:tc>
          <w:tcPr>
            <w:tcW w:w="220" w:type="dxa"/>
            <w:vAlign w:val="bottom"/>
          </w:tcPr>
          <w:p>
            <w:pPr>
              <w:spacing w:after="0"/>
              <w:rPr>
                <w:sz w:val="17"/>
                <w:szCs w:val="17"/>
                <w:color w:val="auto"/>
              </w:rPr>
            </w:pPr>
          </w:p>
        </w:tc>
        <w:tc>
          <w:tcPr>
            <w:tcW w:w="82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00"/>
              <w:spacing w:after="0" w:line="197" w:lineRule="exact"/>
              <w:rPr>
                <w:sz w:val="20"/>
                <w:szCs w:val="20"/>
                <w:color w:val="auto"/>
              </w:rPr>
            </w:pPr>
            <w:r>
              <w:rPr>
                <w:rFonts w:ascii="Arial" w:cs="Arial" w:eastAsia="Arial" w:hAnsi="Arial"/>
                <w:sz w:val="16"/>
                <w:szCs w:val="16"/>
                <w:b w:val="1"/>
                <w:bCs w:val="1"/>
                <w:color w:val="auto"/>
                <w:w w:val="93"/>
              </w:rPr>
              <w:t xml:space="preserve">2014 </w:t>
            </w:r>
            <w:r>
              <w:rPr>
                <w:rFonts w:ascii="Arial" w:cs="Arial" w:eastAsia="Arial" w:hAnsi="Arial"/>
                <w:sz w:val="22"/>
                <w:szCs w:val="22"/>
                <w:b w:val="1"/>
                <w:bCs w:val="1"/>
                <w:color w:val="auto"/>
                <w:w w:val="93"/>
                <w:vertAlign w:val="superscript"/>
              </w:rPr>
              <w:t>(a)</w:t>
            </w:r>
          </w:p>
        </w:tc>
        <w:tc>
          <w:tcPr>
            <w:tcW w:w="180" w:type="dxa"/>
            <w:vAlign w:val="bottom"/>
          </w:tcPr>
          <w:p>
            <w:pPr>
              <w:spacing w:after="0"/>
              <w:rPr>
                <w:sz w:val="17"/>
                <w:szCs w:val="17"/>
                <w:color w:val="auto"/>
              </w:rPr>
            </w:pPr>
          </w:p>
        </w:tc>
        <w:tc>
          <w:tcPr>
            <w:tcW w:w="840" w:type="dxa"/>
            <w:vAlign w:val="bottom"/>
          </w:tcPr>
          <w:p>
            <w:pPr>
              <w:jc w:val="right"/>
              <w:ind w:right="151"/>
              <w:spacing w:after="0" w:line="197" w:lineRule="exact"/>
              <w:rPr>
                <w:sz w:val="20"/>
                <w:szCs w:val="20"/>
                <w:color w:val="auto"/>
              </w:rPr>
            </w:pPr>
            <w:r>
              <w:rPr>
                <w:rFonts w:ascii="Arial" w:cs="Arial" w:eastAsia="Arial" w:hAnsi="Arial"/>
                <w:sz w:val="16"/>
                <w:szCs w:val="16"/>
                <w:b w:val="1"/>
                <w:bCs w:val="1"/>
                <w:color w:val="auto"/>
                <w:w w:val="99"/>
              </w:rPr>
              <w:t xml:space="preserve">2013 </w:t>
            </w:r>
            <w:r>
              <w:rPr>
                <w:rFonts w:ascii="Arial" w:cs="Arial" w:eastAsia="Arial" w:hAnsi="Arial"/>
                <w:sz w:val="22"/>
                <w:szCs w:val="22"/>
                <w:b w:val="1"/>
                <w:bCs w:val="1"/>
                <w:color w:val="auto"/>
                <w:w w:val="99"/>
                <w:vertAlign w:val="superscript"/>
              </w:rPr>
              <w:t>(a)</w:t>
            </w:r>
          </w:p>
        </w:tc>
      </w:tr>
      <w:tr>
        <w:trPr>
          <w:trHeight w:val="48"/>
        </w:trPr>
        <w:tc>
          <w:tcPr>
            <w:tcW w:w="4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71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Total operating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387</w:t>
            </w: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Cost of operations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148</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Acquisition-related transaction and integration costs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w:t>
            </w: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w:t>
            </w: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w:t>
            </w: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Net (loss) income attributable to 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136</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46"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87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center"/>
              <w:ind w:left="494"/>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Borders>
              <w:bottom w:val="single" w:sz="8" w:color="auto"/>
            </w:tcBorders>
          </w:tcPr>
          <w:p>
            <w:pPr>
              <w:spacing w:after="0"/>
              <w:rPr>
                <w:sz w:val="16"/>
                <w:szCs w:val="16"/>
                <w:color w:val="auto"/>
              </w:rPr>
            </w:pPr>
          </w:p>
        </w:tc>
      </w:tr>
      <w:tr>
        <w:trPr>
          <w:trHeight w:val="264"/>
        </w:trPr>
        <w:tc>
          <w:tcPr>
            <w:tcW w:w="79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(a)</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(a)</w:t>
            </w:r>
          </w:p>
        </w:tc>
      </w:tr>
      <w:tr>
        <w:trPr>
          <w:trHeight w:val="250"/>
        </w:trPr>
        <w:tc>
          <w:tcPr>
            <w:tcW w:w="7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6"/>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gain on derivatives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r>
      <w:tr>
        <w:trPr>
          <w:trHeight w:val="237"/>
        </w:trPr>
        <w:tc>
          <w:tcPr>
            <w:tcW w:w="7960" w:type="dxa"/>
            <w:vAlign w:val="bottom"/>
          </w:tcPr>
          <w:p>
            <w:pPr>
              <w:ind w:left="600"/>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w:t>
            </w:r>
          </w:p>
        </w:tc>
      </w:tr>
      <w:tr>
        <w:trPr>
          <w:trHeight w:val="27"/>
        </w:trPr>
        <w:tc>
          <w:tcPr>
            <w:tcW w:w="7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w:t>
            </w: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NRG Yield LLC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r>
      <w:tr>
        <w:trPr>
          <w:trHeight w:val="20"/>
        </w:trPr>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0"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78" w:right="239" w:bottom="1440" w:gutter="0" w:footer="0" w:header="0"/>
        </w:sectPr>
      </w:pPr>
    </w:p>
    <w:bookmarkStart w:id="62" w:name="page63"/>
    <w:bookmarkEnd w:id="62"/>
    <w:p>
      <w:pPr>
        <w:jc w:val="center"/>
        <w:ind w:right="-51"/>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04" w:lineRule="exact"/>
        <w:rPr>
          <w:sz w:val="20"/>
          <w:szCs w:val="20"/>
          <w:color w:val="auto"/>
        </w:rPr>
      </w:pPr>
    </w:p>
    <w:tbl>
      <w:tblPr>
        <w:tblLayout w:type="fixed"/>
        <w:tblInd w:w="52"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7"/>
              </w:rPr>
              <w:t xml:space="preserve">December 31, 2014 </w:t>
            </w:r>
            <w:r>
              <w:rPr>
                <w:rFonts w:ascii="Arial" w:cs="Arial" w:eastAsia="Arial" w:hAnsi="Arial"/>
                <w:sz w:val="8"/>
                <w:szCs w:val="8"/>
                <w:b w:val="1"/>
                <w:bCs w:val="1"/>
                <w:color w:val="auto"/>
                <w:w w:val="97"/>
              </w:rPr>
              <w:t>(a)</w:t>
            </w:r>
          </w:p>
        </w:tc>
      </w:tr>
      <w:tr>
        <w:trPr>
          <w:trHeight w:val="197"/>
        </w:trPr>
        <w:tc>
          <w:tcPr>
            <w:tcW w:w="20" w:type="dxa"/>
            <w:vAlign w:val="bottom"/>
          </w:tcPr>
          <w:p>
            <w:pPr>
              <w:spacing w:after="0"/>
              <w:rPr>
                <w:sz w:val="17"/>
                <w:szCs w:val="17"/>
                <w:color w:val="auto"/>
              </w:rPr>
            </w:pPr>
          </w:p>
        </w:tc>
        <w:tc>
          <w:tcPr>
            <w:tcW w:w="7580" w:type="dxa"/>
            <w:vAlign w:val="bottom"/>
            <w:tcBorders>
              <w:bottom w:val="single" w:sz="8" w:color="CCEEFF"/>
            </w:tcBorders>
          </w:tcPr>
          <w:p>
            <w:pPr>
              <w:ind w:left="350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4"/>
          </w:tcPr>
          <w:p>
            <w:pPr>
              <w:jc w:val="right"/>
              <w:ind w:right="1379"/>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58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429</w:t>
            </w:r>
          </w:p>
        </w:tc>
      </w:tr>
      <w:tr>
        <w:trPr>
          <w:trHeight w:val="33"/>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37"/>
        </w:trPr>
        <w:tc>
          <w:tcPr>
            <w:tcW w:w="20" w:type="dxa"/>
            <w:vAlign w:val="bottom"/>
          </w:tcPr>
          <w:p>
            <w:pPr>
              <w:spacing w:after="0"/>
              <w:rPr>
                <w:sz w:val="20"/>
                <w:szCs w:val="20"/>
                <w:color w:val="auto"/>
              </w:rPr>
            </w:pPr>
          </w:p>
        </w:tc>
        <w:tc>
          <w:tcPr>
            <w:tcW w:w="7580" w:type="dxa"/>
            <w:vAlign w:val="bottom"/>
          </w:tcPr>
          <w:p>
            <w:pPr>
              <w:ind w:left="160"/>
              <w:spacing w:after="0"/>
              <w:rPr>
                <w:sz w:val="20"/>
                <w:szCs w:val="20"/>
                <w:color w:val="auto"/>
              </w:rPr>
            </w:pPr>
            <w:r>
              <w:rPr>
                <w:rFonts w:ascii="Arial" w:cs="Arial" w:eastAsia="Arial" w:hAnsi="Arial"/>
                <w:sz w:val="16"/>
                <w:szCs w:val="16"/>
                <w:color w:val="auto"/>
              </w:rPr>
              <w:t>Accounts receivable — trade</w:t>
            </w:r>
          </w:p>
        </w:tc>
        <w:tc>
          <w:tcPr>
            <w:tcW w:w="20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90</w:t>
            </w:r>
          </w:p>
        </w:tc>
      </w:tr>
      <w:tr>
        <w:trPr>
          <w:trHeight w:val="33"/>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receivable — affiliate</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37"/>
        </w:trPr>
        <w:tc>
          <w:tcPr>
            <w:tcW w:w="20" w:type="dxa"/>
            <w:vAlign w:val="bottom"/>
          </w:tcPr>
          <w:p>
            <w:pPr>
              <w:spacing w:after="0"/>
              <w:rPr>
                <w:sz w:val="20"/>
                <w:szCs w:val="20"/>
                <w:color w:val="auto"/>
              </w:rPr>
            </w:pPr>
          </w:p>
        </w:tc>
        <w:tc>
          <w:tcPr>
            <w:tcW w:w="7580" w:type="dxa"/>
            <w:vAlign w:val="bottom"/>
          </w:tcPr>
          <w:p>
            <w:pPr>
              <w:ind w:left="16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instruments — affiliate</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20" w:type="dxa"/>
            <w:vAlign w:val="bottom"/>
          </w:tcPr>
          <w:p>
            <w:pPr>
              <w:spacing w:after="0"/>
              <w:rPr>
                <w:sz w:val="20"/>
                <w:szCs w:val="20"/>
                <w:color w:val="auto"/>
              </w:rPr>
            </w:pPr>
          </w:p>
        </w:tc>
        <w:tc>
          <w:tcPr>
            <w:tcW w:w="7580" w:type="dxa"/>
            <w:vAlign w:val="bottom"/>
          </w:tcPr>
          <w:p>
            <w:pPr>
              <w:ind w:left="160"/>
              <w:spacing w:after="0"/>
              <w:rPr>
                <w:sz w:val="20"/>
                <w:szCs w:val="20"/>
                <w:color w:val="auto"/>
              </w:rPr>
            </w:pPr>
            <w:r>
              <w:rPr>
                <w:rFonts w:ascii="Arial" w:cs="Arial" w:eastAsia="Arial" w:hAnsi="Arial"/>
                <w:sz w:val="16"/>
                <w:szCs w:val="16"/>
                <w:color w:val="auto"/>
              </w:rPr>
              <w:t>Notes receivable</w:t>
            </w:r>
          </w:p>
        </w:tc>
        <w:tc>
          <w:tcPr>
            <w:tcW w:w="20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Prepayments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17"/>
        </w:trPr>
        <w:tc>
          <w:tcPr>
            <w:tcW w:w="2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656</w:t>
            </w:r>
          </w:p>
        </w:tc>
      </w:tr>
      <w:tr>
        <w:trPr>
          <w:trHeight w:val="33"/>
        </w:trPr>
        <w:tc>
          <w:tcPr>
            <w:tcW w:w="7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580" w:type="dxa"/>
            <w:vAlign w:val="bottom"/>
          </w:tcPr>
          <w:p>
            <w:pPr>
              <w:ind w:left="160"/>
              <w:spacing w:after="0"/>
              <w:rPr>
                <w:sz w:val="20"/>
                <w:szCs w:val="20"/>
                <w:color w:val="auto"/>
              </w:rPr>
            </w:pPr>
            <w:r>
              <w:rPr>
                <w:rFonts w:ascii="Arial" w:cs="Arial" w:eastAsia="Arial" w:hAnsi="Arial"/>
                <w:sz w:val="16"/>
                <w:szCs w:val="16"/>
                <w:color w:val="auto"/>
              </w:rPr>
              <w:t>In service</w:t>
            </w:r>
          </w:p>
        </w:tc>
        <w:tc>
          <w:tcPr>
            <w:tcW w:w="20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5,748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5,604</w:t>
            </w:r>
          </w:p>
        </w:tc>
      </w:tr>
      <w:tr>
        <w:trPr>
          <w:trHeight w:val="33"/>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Under construction</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17"/>
        </w:trPr>
        <w:tc>
          <w:tcPr>
            <w:tcW w:w="20" w:type="dxa"/>
            <w:vAlign w:val="bottom"/>
          </w:tcPr>
          <w:p>
            <w:pPr>
              <w:spacing w:after="0"/>
              <w:rPr>
                <w:sz w:val="18"/>
                <w:szCs w:val="18"/>
                <w:color w:val="auto"/>
              </w:rPr>
            </w:pPr>
          </w:p>
        </w:tc>
        <w:tc>
          <w:tcPr>
            <w:tcW w:w="7580" w:type="dxa"/>
            <w:vAlign w:val="bottom"/>
          </w:tcPr>
          <w:p>
            <w:pPr>
              <w:ind w:left="260"/>
              <w:spacing w:after="0"/>
              <w:rPr>
                <w:sz w:val="20"/>
                <w:szCs w:val="20"/>
                <w:color w:val="auto"/>
              </w:rPr>
            </w:pPr>
            <w:r>
              <w:rPr>
                <w:rFonts w:ascii="Arial" w:cs="Arial" w:eastAsia="Arial" w:hAnsi="Arial"/>
                <w:sz w:val="16"/>
                <w:szCs w:val="16"/>
                <w:color w:val="auto"/>
              </w:rPr>
              <w:t>Total property, plant and equipment</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5,757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5,613</w:t>
            </w:r>
          </w:p>
        </w:tc>
      </w:tr>
      <w:tr>
        <w:trPr>
          <w:trHeight w:val="33"/>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r>
      <w:tr>
        <w:trPr>
          <w:trHeight w:val="217"/>
        </w:trPr>
        <w:tc>
          <w:tcPr>
            <w:tcW w:w="2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Net property, plant and equipment</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5,056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5,175</w:t>
            </w:r>
          </w:p>
        </w:tc>
      </w:tr>
      <w:tr>
        <w:trPr>
          <w:trHeight w:val="33"/>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580" w:type="dxa"/>
            <w:vAlign w:val="bottom"/>
          </w:tcPr>
          <w:p>
            <w:pPr>
              <w:ind w:left="160"/>
              <w:spacing w:after="0"/>
              <w:rPr>
                <w:sz w:val="20"/>
                <w:szCs w:val="20"/>
                <w:color w:val="auto"/>
              </w:rPr>
            </w:pPr>
            <w:r>
              <w:rPr>
                <w:rFonts w:ascii="Arial" w:cs="Arial" w:eastAsia="Arial" w:hAnsi="Arial"/>
                <w:sz w:val="16"/>
                <w:szCs w:val="16"/>
                <w:color w:val="auto"/>
              </w:rPr>
              <w:t>Equity investments in affiliates</w:t>
            </w:r>
          </w:p>
        </w:tc>
        <w:tc>
          <w:tcPr>
            <w:tcW w:w="20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410</w:t>
            </w:r>
          </w:p>
        </w:tc>
      </w:tr>
      <w:tr>
        <w:trPr>
          <w:trHeight w:val="33"/>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Notes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20" w:type="dxa"/>
            <w:vAlign w:val="bottom"/>
          </w:tcPr>
          <w:p>
            <w:pPr>
              <w:spacing w:after="0"/>
              <w:rPr>
                <w:sz w:val="20"/>
                <w:szCs w:val="20"/>
                <w:color w:val="auto"/>
              </w:rPr>
            </w:pPr>
          </w:p>
        </w:tc>
        <w:tc>
          <w:tcPr>
            <w:tcW w:w="7580" w:type="dxa"/>
            <w:vAlign w:val="bottom"/>
          </w:tcPr>
          <w:p>
            <w:pPr>
              <w:ind w:left="100"/>
              <w:spacing w:after="0"/>
              <w:rPr>
                <w:sz w:val="20"/>
                <w:szCs w:val="20"/>
                <w:color w:val="auto"/>
              </w:rPr>
            </w:pPr>
            <w:r>
              <w:rPr>
                <w:rFonts w:ascii="Arial" w:cs="Arial" w:eastAsia="Arial" w:hAnsi="Arial"/>
                <w:sz w:val="16"/>
                <w:szCs w:val="16"/>
                <w:color w:val="auto"/>
              </w:rPr>
              <w:t>Intangible assets, net of accumulated amortization of $93 and $38</w:t>
            </w:r>
          </w:p>
        </w:tc>
        <w:tc>
          <w:tcPr>
            <w:tcW w:w="20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1,362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1,424</w:t>
            </w:r>
          </w:p>
        </w:tc>
      </w:tr>
      <w:tr>
        <w:trPr>
          <w:trHeight w:val="33"/>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20" w:type="dxa"/>
            <w:vAlign w:val="bottom"/>
          </w:tcPr>
          <w:p>
            <w:pPr>
              <w:spacing w:after="0"/>
              <w:rPr>
                <w:sz w:val="20"/>
                <w:szCs w:val="20"/>
                <w:color w:val="auto"/>
              </w:rPr>
            </w:pPr>
          </w:p>
        </w:tc>
        <w:tc>
          <w:tcPr>
            <w:tcW w:w="7580" w:type="dxa"/>
            <w:vAlign w:val="bottom"/>
          </w:tcPr>
          <w:p>
            <w:pPr>
              <w:ind w:left="160"/>
              <w:spacing w:after="0"/>
              <w:rPr>
                <w:sz w:val="20"/>
                <w:szCs w:val="20"/>
                <w:color w:val="auto"/>
              </w:rPr>
            </w:pPr>
            <w:r>
              <w:rPr>
                <w:rFonts w:ascii="Arial" w:cs="Arial" w:eastAsia="Arial" w:hAnsi="Arial"/>
                <w:sz w:val="16"/>
                <w:szCs w:val="16"/>
                <w:color w:val="auto"/>
              </w:rPr>
              <w:t>Other non-current assets</w:t>
            </w:r>
          </w:p>
        </w:tc>
        <w:tc>
          <w:tcPr>
            <w:tcW w:w="20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20" w:type="dxa"/>
            <w:vAlign w:val="bottom"/>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1,896</w:t>
            </w:r>
          </w:p>
        </w:tc>
      </w:tr>
      <w:tr>
        <w:trPr>
          <w:trHeight w:val="244"/>
        </w:trPr>
        <w:tc>
          <w:tcPr>
            <w:tcW w:w="2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7,608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7,727</w:t>
            </w: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414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0" w:lineRule="exact"/>
        <w:rPr>
          <w:sz w:val="20"/>
          <w:szCs w:val="20"/>
          <w:color w:val="auto"/>
        </w:rPr>
      </w:pPr>
    </w:p>
    <w:p>
      <w:pPr>
        <w:ind w:left="192" w:hanging="192"/>
        <w:spacing w:after="0"/>
        <w:tabs>
          <w:tab w:leader="none" w:pos="192" w:val="left"/>
        </w:tabs>
        <w:numPr>
          <w:ilvl w:val="0"/>
          <w:numId w:val="32"/>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19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52"/>
          </w:cols>
          <w:pgMar w:left="248" w:top="877" w:right="299" w:bottom="1440" w:gutter="0" w:footer="0" w:header="0"/>
        </w:sectPr>
      </w:pPr>
    </w:p>
    <w:bookmarkStart w:id="63" w:name="page64"/>
    <w:bookmarkEnd w:id="63"/>
    <w:p>
      <w:pPr>
        <w:ind w:left="5000"/>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7"/>
              </w:rPr>
              <w:t xml:space="preserve">December 31, 2014 </w:t>
            </w:r>
            <w:r>
              <w:rPr>
                <w:rFonts w:ascii="Arial" w:cs="Arial" w:eastAsia="Arial" w:hAnsi="Arial"/>
                <w:sz w:val="8"/>
                <w:szCs w:val="8"/>
                <w:b w:val="1"/>
                <w:bCs w:val="1"/>
                <w:color w:val="auto"/>
                <w:w w:val="97"/>
              </w:rPr>
              <w:t>(a)</w:t>
            </w:r>
          </w:p>
        </w:tc>
      </w:tr>
      <w:tr>
        <w:trPr>
          <w:trHeight w:val="237"/>
        </w:trPr>
        <w:tc>
          <w:tcPr>
            <w:tcW w:w="7580" w:type="dxa"/>
            <w:vAlign w:val="bottom"/>
            <w:tcBorders>
              <w:bottom w:val="single" w:sz="8" w:color="CCEEFF"/>
            </w:tcBorders>
          </w:tcPr>
          <w:p>
            <w:pPr>
              <w:ind w:left="2280"/>
              <w:spacing w:after="0"/>
              <w:rPr>
                <w:sz w:val="20"/>
                <w:szCs w:val="20"/>
                <w:color w:val="auto"/>
              </w:rPr>
            </w:pPr>
            <w:r>
              <w:rPr>
                <w:rFonts w:ascii="Arial" w:cs="Arial" w:eastAsia="Arial" w:hAnsi="Arial"/>
                <w:sz w:val="16"/>
                <w:szCs w:val="16"/>
                <w:b w:val="1"/>
                <w:bCs w:val="1"/>
                <w:color w:val="auto"/>
              </w:rPr>
              <w:t>LIABILITIES AND MEMBERS' EQUITY</w:t>
            </w:r>
          </w:p>
        </w:tc>
        <w:tc>
          <w:tcPr>
            <w:tcW w:w="2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1379"/>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Current portion of long-term debt — external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224</w:t>
            </w: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Accounts payable — affiliate</w:t>
            </w:r>
          </w:p>
        </w:tc>
        <w:tc>
          <w:tcPr>
            <w:tcW w:w="20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r>
      <w:tr>
        <w:trPr>
          <w:trHeight w:val="231"/>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Long-term debt — external</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4,377</w:t>
            </w: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Long-term debt — affiliate</w:t>
            </w:r>
          </w:p>
        </w:tc>
        <w:tc>
          <w:tcPr>
            <w:tcW w:w="20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337</w:t>
            </w: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Other non-current liabilities</w:t>
            </w:r>
          </w:p>
        </w:tc>
        <w:tc>
          <w:tcPr>
            <w:tcW w:w="20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3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non-current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4,843</w:t>
            </w:r>
          </w:p>
        </w:tc>
      </w:tr>
      <w:tr>
        <w:trPr>
          <w:trHeight w:val="21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5,174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5,251</w:t>
            </w:r>
          </w:p>
        </w:tc>
      </w:tr>
      <w:tr>
        <w:trPr>
          <w:trHeight w:val="3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Members' Equity</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Contributed capital</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2,104</w:t>
            </w: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103</w:t>
            </w:r>
          </w:p>
        </w:tc>
      </w:tr>
      <w:tr>
        <w:trPr>
          <w:trHeight w:val="33"/>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37"/>
        </w:trPr>
        <w:tc>
          <w:tcPr>
            <w:tcW w:w="7580" w:type="dxa"/>
            <w:vAlign w:val="bottom"/>
          </w:tcPr>
          <w:p>
            <w:pPr>
              <w:ind w:left="160"/>
              <w:spacing w:after="0"/>
              <w:rPr>
                <w:sz w:val="20"/>
                <w:szCs w:val="20"/>
                <w:color w:val="auto"/>
              </w:rPr>
            </w:pPr>
            <w:r>
              <w:rPr>
                <w:rFonts w:ascii="Arial" w:cs="Arial" w:eastAsia="Arial" w:hAnsi="Arial"/>
                <w:sz w:val="16"/>
                <w:szCs w:val="16"/>
                <w:color w:val="auto"/>
              </w:rPr>
              <w:t>Noncontrolling interest</w:t>
            </w:r>
          </w:p>
        </w:tc>
        <w:tc>
          <w:tcPr>
            <w:tcW w:w="20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334</w:t>
            </w:r>
          </w:p>
        </w:tc>
      </w:tr>
      <w:tr>
        <w:trPr>
          <w:trHeight w:val="3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2,476</w:t>
            </w:r>
          </w:p>
        </w:tc>
      </w:tr>
      <w:tr>
        <w:trPr>
          <w:trHeight w:val="244"/>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7,608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7,727</w:t>
            </w:r>
          </w:p>
        </w:tc>
      </w:tr>
      <w:tr>
        <w:trPr>
          <w:trHeight w:val="20"/>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(a)</w:t>
      </w:r>
      <w:r>
        <w:rPr>
          <w:rFonts w:ascii="Arial" w:cs="Arial" w:eastAsia="Arial" w:hAnsi="Arial"/>
          <w:sz w:val="16"/>
          <w:szCs w:val="16"/>
          <w:color w:val="auto"/>
        </w:rPr>
        <w:t xml:space="preserve"> Retrospectively adjusted 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878" w:right="29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NRG YIELD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 xml:space="preserve">2014 </w:t>
            </w:r>
            <w:r>
              <w:rPr>
                <w:rFonts w:ascii="Arial" w:cs="Arial" w:eastAsia="Arial" w:hAnsi="Arial"/>
                <w:sz w:val="8"/>
                <w:szCs w:val="8"/>
                <w:b w:val="1"/>
                <w:bCs w:val="1"/>
                <w:color w:val="auto"/>
                <w:w w:val="93"/>
              </w:rPr>
              <w:t>(a)</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(a)</w:t>
            </w:r>
          </w:p>
        </w:tc>
      </w:tr>
      <w:tr>
        <w:trPr>
          <w:trHeight w:val="250"/>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6"/>
                <w:szCs w:val="16"/>
                <w:color w:val="auto"/>
              </w:rPr>
              <w:t>Distributions in excess of equity in earnings of unconsolidated affiliates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43"/>
        </w:trPr>
        <w:tc>
          <w:tcPr>
            <w:tcW w:w="7440" w:type="dxa"/>
            <w:vAlign w:val="bottom"/>
          </w:tcPr>
          <w:p>
            <w:pPr>
              <w:ind w:left="380"/>
              <w:spacing w:after="0"/>
              <w:rPr>
                <w:sz w:val="20"/>
                <w:szCs w:val="20"/>
                <w:color w:val="auto"/>
              </w:rPr>
            </w:pPr>
            <w:r>
              <w:rPr>
                <w:rFonts w:ascii="Arial" w:cs="Arial" w:eastAsia="Arial" w:hAnsi="Arial"/>
                <w:sz w:val="16"/>
                <w:szCs w:val="16"/>
                <w:color w:val="auto"/>
              </w:rPr>
              <w:t>Amortization of financing costs and debt discount/premiums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intangibles and out-of-market contracts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7440" w:type="dxa"/>
            <w:vAlign w:val="bottom"/>
          </w:tcPr>
          <w:p>
            <w:pPr>
              <w:ind w:left="380"/>
              <w:spacing w:after="0"/>
              <w:rPr>
                <w:sz w:val="20"/>
                <w:szCs w:val="20"/>
                <w:color w:val="auto"/>
              </w:rPr>
            </w:pPr>
            <w:r>
              <w:rPr>
                <w:rFonts w:ascii="Arial" w:cs="Arial" w:eastAsia="Arial" w:hAnsi="Arial"/>
                <w:sz w:val="16"/>
                <w:szCs w:val="16"/>
                <w:color w:val="auto"/>
              </w:rPr>
              <w:t>Adjustment for debt extinguishment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440" w:type="dxa"/>
            <w:vAlign w:val="bottom"/>
          </w:tcPr>
          <w:p>
            <w:pPr>
              <w:ind w:left="380"/>
              <w:spacing w:after="0"/>
              <w:rPr>
                <w:sz w:val="20"/>
                <w:szCs w:val="20"/>
                <w:color w:val="auto"/>
              </w:rPr>
            </w:pPr>
            <w:r>
              <w:rPr>
                <w:rFonts w:ascii="Arial" w:cs="Arial" w:eastAsia="Arial" w:hAnsi="Arial"/>
                <w:sz w:val="16"/>
                <w:szCs w:val="16"/>
                <w:color w:val="auto"/>
              </w:rPr>
              <w:t>Changes in derivative instruments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other working capital</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6"/>
                <w:szCs w:val="16"/>
                <w:color w:val="auto"/>
              </w:rPr>
              <w:t>Acquisition of businesses, net of cash acquired</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Drop Down Assets,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7440" w:type="dxa"/>
            <w:vAlign w:val="bottom"/>
          </w:tcPr>
          <w:p>
            <w:pPr>
              <w:ind w:left="380"/>
              <w:spacing w:after="0"/>
              <w:rPr>
                <w:sz w:val="20"/>
                <w:szCs w:val="20"/>
                <w:color w:val="auto"/>
              </w:rPr>
            </w:pPr>
            <w:r>
              <w:rPr>
                <w:rFonts w:ascii="Arial" w:cs="Arial" w:eastAsia="Arial" w:hAnsi="Arial"/>
                <w:sz w:val="16"/>
                <w:szCs w:val="16"/>
                <w:color w:val="auto"/>
              </w:rPr>
              <w:t>Decrease in notes receivable, including affiliates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renewable energy grants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7440" w:type="dxa"/>
            <w:vAlign w:val="bottom"/>
          </w:tcPr>
          <w:p>
            <w:pPr>
              <w:ind w:left="380"/>
              <w:spacing w:after="0"/>
              <w:rPr>
                <w:sz w:val="20"/>
                <w:szCs w:val="20"/>
                <w:color w:val="auto"/>
              </w:rPr>
            </w:pPr>
            <w:r>
              <w:rPr>
                <w:rFonts w:ascii="Arial" w:cs="Arial" w:eastAsia="Arial" w:hAnsi="Arial"/>
                <w:sz w:val="16"/>
                <w:szCs w:val="16"/>
                <w:color w:val="auto"/>
              </w:rPr>
              <w:t>Net investments in unconsolidated affiliates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6"/>
                <w:szCs w:val="16"/>
                <w:color w:val="auto"/>
              </w:rPr>
              <w:t>Contributions from tax equity investors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contributions from NRG</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43"/>
        </w:trPr>
        <w:tc>
          <w:tcPr>
            <w:tcW w:w="7440" w:type="dxa"/>
            <w:vAlign w:val="bottom"/>
          </w:tcPr>
          <w:p>
            <w:pPr>
              <w:ind w:left="380"/>
              <w:spacing w:after="0"/>
              <w:rPr>
                <w:sz w:val="20"/>
                <w:szCs w:val="20"/>
                <w:color w:val="auto"/>
              </w:rPr>
            </w:pPr>
            <w:r>
              <w:rPr>
                <w:rFonts w:ascii="Arial" w:cs="Arial" w:eastAsia="Arial" w:hAnsi="Arial"/>
                <w:sz w:val="16"/>
                <w:szCs w:val="16"/>
                <w:color w:val="auto"/>
              </w:rPr>
              <w:t>Distributions and return of capital to NRG prior to the acquisition of Drop Down Assets and IPO</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the issuance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w:t>
            </w:r>
          </w:p>
        </w:tc>
      </w:tr>
      <w:tr>
        <w:trPr>
          <w:trHeight w:val="243"/>
        </w:trPr>
        <w:tc>
          <w:tcPr>
            <w:tcW w:w="7440" w:type="dxa"/>
            <w:vAlign w:val="bottom"/>
          </w:tcPr>
          <w:p>
            <w:pPr>
              <w:ind w:left="380"/>
              <w:spacing w:after="0"/>
              <w:rPr>
                <w:sz w:val="20"/>
                <w:szCs w:val="20"/>
                <w:color w:val="auto"/>
              </w:rPr>
            </w:pPr>
            <w:r>
              <w:rPr>
                <w:rFonts w:ascii="Arial" w:cs="Arial" w:eastAsia="Arial" w:hAnsi="Arial"/>
                <w:sz w:val="16"/>
                <w:szCs w:val="16"/>
                <w:color w:val="auto"/>
              </w:rPr>
              <w:t>Payment of dividends and distributions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long-term debt — external</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w:t>
            </w:r>
          </w:p>
        </w:tc>
      </w:tr>
      <w:tr>
        <w:trPr>
          <w:trHeight w:val="243"/>
        </w:trPr>
        <w:tc>
          <w:tcPr>
            <w:tcW w:w="744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 — affiliate</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440" w:type="dxa"/>
            <w:vAlign w:val="bottom"/>
          </w:tcPr>
          <w:p>
            <w:pPr>
              <w:ind w:left="380"/>
              <w:spacing w:after="0"/>
              <w:rPr>
                <w:sz w:val="20"/>
                <w:szCs w:val="20"/>
                <w:color w:val="auto"/>
              </w:rPr>
            </w:pPr>
            <w:r>
              <w:rPr>
                <w:rFonts w:ascii="Arial" w:cs="Arial" w:eastAsia="Arial" w:hAnsi="Arial"/>
                <w:sz w:val="16"/>
                <w:szCs w:val="16"/>
                <w:color w:val="auto"/>
              </w:rPr>
              <w:t>Payments for long-term debt — external</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long-term debt — affiliate</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43"/>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Interest paid, net of amount capitalized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(251)</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Additions (reductions) to fixed assets for accrued capital expenditures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Decrease to fixed assets for accrued grants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Decrease to fixed assets for deferred tax asset</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return of capital and distributions to NRG, net of contributions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36"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877" w:right="239" w:bottom="464"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NRG YIELD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Contributed</w:t>
            </w: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820" w:type="dxa"/>
            <w:vAlign w:val="bottom"/>
          </w:tcPr>
          <w:p>
            <w:pPr>
              <w:jc w:val="center"/>
              <w:ind w:right="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4640" w:type="dxa"/>
            <w:vAlign w:val="bottom"/>
          </w:tcPr>
          <w:p>
            <w:pPr>
              <w:ind w:left="4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Balances at December 31, 2012 </w:t>
            </w:r>
            <w:r>
              <w:rPr>
                <w:rFonts w:ascii="Arial" w:cs="Arial" w:eastAsia="Arial" w:hAnsi="Arial"/>
                <w:sz w:val="21"/>
                <w:szCs w:val="21"/>
                <w:b w:val="1"/>
                <w:bCs w:val="1"/>
                <w:color w:val="auto"/>
                <w:vertAlign w:val="superscript"/>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2C2C2C"/>
              </w:rPr>
              <w:t>1,022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C2C2C"/>
              </w:rPr>
              <w:t>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2C2C2C"/>
              </w:rPr>
              <w:t>(48)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2C2C2C"/>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2C2C2C"/>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2C2C2C"/>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2C2C2C"/>
              </w:rPr>
              <w:t>1,002</w:t>
            </w:r>
          </w:p>
        </w:tc>
        <w:tc>
          <w:tcPr>
            <w:tcW w:w="0" w:type="dxa"/>
            <w:vAlign w:val="bottom"/>
          </w:tcPr>
          <w:p>
            <w:pPr>
              <w:spacing w:after="0"/>
              <w:rPr>
                <w:sz w:val="1"/>
                <w:szCs w:val="1"/>
                <w:color w:val="auto"/>
              </w:rPr>
            </w:pPr>
          </w:p>
        </w:tc>
      </w:tr>
      <w:tr>
        <w:trPr>
          <w:trHeight w:val="224"/>
        </w:trPr>
        <w:tc>
          <w:tcPr>
            <w:tcW w:w="4640" w:type="dxa"/>
            <w:vAlign w:val="bottom"/>
          </w:tcPr>
          <w:p>
            <w:pPr>
              <w:ind w:left="180"/>
              <w:spacing w:after="0"/>
              <w:rPr>
                <w:sz w:val="20"/>
                <w:szCs w:val="20"/>
                <w:color w:val="auto"/>
              </w:rPr>
            </w:pPr>
            <w:r>
              <w:rPr>
                <w:rFonts w:ascii="Arial" w:cs="Arial" w:eastAsia="Arial" w:hAnsi="Arial"/>
                <w:sz w:val="16"/>
                <w:szCs w:val="16"/>
                <w:color w:val="auto"/>
              </w:rPr>
              <w:t>Members' equity - Acquired Drop Down Assets</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47"/>
        </w:trPr>
        <w:tc>
          <w:tcPr>
            <w:tcW w:w="46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Balances at December 31, 2012 (As recast)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70"/>
        </w:trPr>
        <w:tc>
          <w:tcPr>
            <w:tcW w:w="4640" w:type="dxa"/>
            <w:vAlign w:val="bottom"/>
          </w:tcPr>
          <w:p>
            <w:pPr>
              <w:ind w:left="180"/>
              <w:spacing w:after="0"/>
              <w:rPr>
                <w:sz w:val="20"/>
                <w:szCs w:val="20"/>
                <w:color w:val="auto"/>
              </w:rPr>
            </w:pPr>
            <w:r>
              <w:rPr>
                <w:rFonts w:ascii="Arial" w:cs="Arial" w:eastAsia="Arial" w:hAnsi="Arial"/>
                <w:sz w:val="16"/>
                <w:szCs w:val="16"/>
                <w:color w:val="auto"/>
              </w:rPr>
              <w:t xml:space="preserve">Net income </w:t>
            </w:r>
            <w:r>
              <w:rPr>
                <w:rFonts w:ascii="Arial" w:cs="Arial" w:eastAsia="Arial" w:hAnsi="Arial"/>
                <w:sz w:val="21"/>
                <w:szCs w:val="21"/>
                <w:color w:val="auto"/>
                <w:vertAlign w:val="superscript"/>
              </w:rPr>
              <w:t>(c)</w:t>
            </w:r>
          </w:p>
        </w:tc>
        <w:tc>
          <w:tcPr>
            <w:tcW w:w="14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Unrealized gain on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24"/>
        </w:trPr>
        <w:tc>
          <w:tcPr>
            <w:tcW w:w="4640" w:type="dxa"/>
            <w:vAlign w:val="bottom"/>
          </w:tcPr>
          <w:p>
            <w:pPr>
              <w:ind w:left="180"/>
              <w:spacing w:after="0"/>
              <w:rPr>
                <w:sz w:val="20"/>
                <w:szCs w:val="20"/>
                <w:color w:val="auto"/>
              </w:rPr>
            </w:pPr>
            <w:r>
              <w:rPr>
                <w:rFonts w:ascii="Arial" w:cs="Arial" w:eastAsia="Arial" w:hAnsi="Arial"/>
                <w:sz w:val="16"/>
                <w:szCs w:val="16"/>
                <w:color w:val="auto"/>
              </w:rPr>
              <w:t>Distributions and returns of capital to NRG, net of contributions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47"/>
        </w:trPr>
        <w:tc>
          <w:tcPr>
            <w:tcW w:w="4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contributions from NRG net of distributions, non-cash</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4"/>
        </w:trPr>
        <w:tc>
          <w:tcPr>
            <w:tcW w:w="4640" w:type="dxa"/>
            <w:vAlign w:val="bottom"/>
          </w:tcPr>
          <w:p>
            <w:pPr>
              <w:ind w:left="180"/>
              <w:spacing w:after="0"/>
              <w:rPr>
                <w:sz w:val="20"/>
                <w:szCs w:val="20"/>
                <w:color w:val="auto"/>
              </w:rPr>
            </w:pPr>
            <w:r>
              <w:rPr>
                <w:rFonts w:ascii="Arial" w:cs="Arial" w:eastAsia="Arial" w:hAnsi="Arial"/>
                <w:sz w:val="16"/>
                <w:szCs w:val="16"/>
                <w:color w:val="auto"/>
              </w:rPr>
              <w:t>Proceeds from the issuance of Class A units</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47"/>
        </w:trPr>
        <w:tc>
          <w:tcPr>
            <w:tcW w:w="4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Return of capital and distributions to NRG - non-cash</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24"/>
        </w:trPr>
        <w:tc>
          <w:tcPr>
            <w:tcW w:w="4640" w:type="dxa"/>
            <w:vAlign w:val="bottom"/>
          </w:tcPr>
          <w:p>
            <w:pPr>
              <w:ind w:left="180"/>
              <w:spacing w:after="0"/>
              <w:rPr>
                <w:sz w:val="20"/>
                <w:szCs w:val="20"/>
                <w:color w:val="auto"/>
              </w:rPr>
            </w:pPr>
            <w:r>
              <w:rPr>
                <w:rFonts w:ascii="Arial" w:cs="Arial" w:eastAsia="Arial" w:hAnsi="Arial"/>
                <w:sz w:val="16"/>
                <w:szCs w:val="16"/>
                <w:color w:val="auto"/>
              </w:rPr>
              <w:t>Distributions paid to NRG</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47"/>
        </w:trPr>
        <w:tc>
          <w:tcPr>
            <w:tcW w:w="4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Distributions paid to NRG Yield, Inc.</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640" w:type="dxa"/>
            <w:vAlign w:val="bottom"/>
          </w:tcPr>
          <w:p>
            <w:pPr>
              <w:ind w:left="40"/>
              <w:spacing w:after="0"/>
              <w:rPr>
                <w:sz w:val="20"/>
                <w:szCs w:val="20"/>
                <w:color w:val="auto"/>
              </w:rPr>
            </w:pPr>
            <w:r>
              <w:rPr>
                <w:rFonts w:ascii="Arial" w:cs="Arial" w:eastAsia="Arial" w:hAnsi="Arial"/>
                <w:sz w:val="16"/>
                <w:szCs w:val="16"/>
                <w:b w:val="1"/>
                <w:bCs w:val="1"/>
                <w:color w:val="auto"/>
              </w:rPr>
              <w:t>Balances at December 31, 2013</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1,339</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Net income </w:t>
            </w:r>
            <w:r>
              <w:rPr>
                <w:rFonts w:ascii="Arial" w:cs="Arial" w:eastAsia="Arial" w:hAnsi="Arial"/>
                <w:sz w:val="21"/>
                <w:szCs w:val="21"/>
                <w:color w:val="auto"/>
                <w:vertAlign w:val="superscript"/>
              </w:rPr>
              <w:t>(c)</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70"/>
        </w:trPr>
        <w:tc>
          <w:tcPr>
            <w:tcW w:w="4640" w:type="dxa"/>
            <w:vAlign w:val="bottom"/>
          </w:tcPr>
          <w:p>
            <w:pPr>
              <w:ind w:left="180"/>
              <w:spacing w:after="0"/>
              <w:rPr>
                <w:sz w:val="20"/>
                <w:szCs w:val="20"/>
                <w:color w:val="auto"/>
              </w:rPr>
            </w:pPr>
            <w:r>
              <w:rPr>
                <w:rFonts w:ascii="Arial" w:cs="Arial" w:eastAsia="Arial" w:hAnsi="Arial"/>
                <w:sz w:val="16"/>
                <w:szCs w:val="16"/>
                <w:color w:val="auto"/>
              </w:rPr>
              <w:t xml:space="preserve">Unrealized loss on derivatives </w:t>
            </w:r>
            <w:r>
              <w:rPr>
                <w:rFonts w:ascii="Arial" w:cs="Arial" w:eastAsia="Arial" w:hAnsi="Arial"/>
                <w:sz w:val="21"/>
                <w:szCs w:val="21"/>
                <w:color w:val="auto"/>
                <w:vertAlign w:val="superscript"/>
              </w:rPr>
              <w:t>(c)</w:t>
            </w:r>
          </w:p>
        </w:tc>
        <w:tc>
          <w:tcPr>
            <w:tcW w:w="14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to NRG for June 2014 Drop Down Assets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70"/>
        </w:trPr>
        <w:tc>
          <w:tcPr>
            <w:tcW w:w="4640" w:type="dxa"/>
            <w:vAlign w:val="bottom"/>
          </w:tcPr>
          <w:p>
            <w:pPr>
              <w:ind w:left="180"/>
              <w:spacing w:after="0"/>
              <w:rPr>
                <w:sz w:val="20"/>
                <w:szCs w:val="20"/>
                <w:color w:val="auto"/>
              </w:rPr>
            </w:pPr>
            <w:r>
              <w:rPr>
                <w:rFonts w:ascii="Arial" w:cs="Arial" w:eastAsia="Arial" w:hAnsi="Arial"/>
                <w:sz w:val="16"/>
                <w:szCs w:val="16"/>
                <w:color w:val="auto"/>
              </w:rPr>
              <w:t xml:space="preserve">Capital contributions from NRG, non-cash </w:t>
            </w:r>
            <w:r>
              <w:rPr>
                <w:rFonts w:ascii="Arial" w:cs="Arial" w:eastAsia="Arial" w:hAnsi="Arial"/>
                <w:sz w:val="21"/>
                <w:szCs w:val="21"/>
                <w:color w:val="auto"/>
                <w:vertAlign w:val="superscript"/>
              </w:rPr>
              <w:t>(b)</w:t>
            </w: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contributions from tax equity investors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20"/>
        </w:trPr>
        <w:tc>
          <w:tcPr>
            <w:tcW w:w="4640" w:type="dxa"/>
            <w:vAlign w:val="bottom"/>
          </w:tcPr>
          <w:p>
            <w:pPr>
              <w:ind w:left="180"/>
              <w:spacing w:after="0"/>
              <w:rPr>
                <w:sz w:val="20"/>
                <w:szCs w:val="20"/>
                <w:color w:val="auto"/>
              </w:rPr>
            </w:pPr>
            <w:r>
              <w:rPr>
                <w:rFonts w:ascii="Arial" w:cs="Arial" w:eastAsia="Arial" w:hAnsi="Arial"/>
                <w:sz w:val="16"/>
                <w:szCs w:val="16"/>
                <w:color w:val="auto"/>
                <w:w w:val="99"/>
              </w:rPr>
              <w:t>Distributions and returns of capital to NRG, net of contributions,</w:t>
            </w:r>
          </w:p>
        </w:tc>
        <w:tc>
          <w:tcPr>
            <w:tcW w:w="14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98"/>
        </w:trPr>
        <w:tc>
          <w:tcPr>
            <w:tcW w:w="4640" w:type="dxa"/>
            <w:vAlign w:val="bottom"/>
            <w:vMerge w:val="restart"/>
          </w:tcPr>
          <w:p>
            <w:pPr>
              <w:ind w:left="260"/>
              <w:spacing w:after="0" w:line="239" w:lineRule="exact"/>
              <w:rPr>
                <w:sz w:val="20"/>
                <w:szCs w:val="20"/>
                <w:color w:val="auto"/>
              </w:rPr>
            </w:pPr>
            <w:r>
              <w:rPr>
                <w:rFonts w:ascii="Arial" w:cs="Arial" w:eastAsia="Arial" w:hAnsi="Arial"/>
                <w:sz w:val="16"/>
                <w:szCs w:val="16"/>
                <w:color w:val="auto"/>
              </w:rPr>
              <w:t xml:space="preserve">cash </w:t>
            </w:r>
            <w:r>
              <w:rPr>
                <w:rFonts w:ascii="Arial" w:cs="Arial" w:eastAsia="Arial" w:hAnsi="Arial"/>
                <w:sz w:val="21"/>
                <w:szCs w:val="21"/>
                <w:color w:val="auto"/>
                <w:vertAlign w:val="superscript"/>
              </w:rPr>
              <w:t>(c)</w:t>
            </w: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Class A units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24"/>
        </w:trPr>
        <w:tc>
          <w:tcPr>
            <w:tcW w:w="4640" w:type="dxa"/>
            <w:vAlign w:val="bottom"/>
          </w:tcPr>
          <w:p>
            <w:pPr>
              <w:ind w:left="180"/>
              <w:spacing w:after="0"/>
              <w:rPr>
                <w:sz w:val="20"/>
                <w:szCs w:val="20"/>
                <w:color w:val="auto"/>
              </w:rPr>
            </w:pPr>
            <w:r>
              <w:rPr>
                <w:rFonts w:ascii="Arial" w:cs="Arial" w:eastAsia="Arial" w:hAnsi="Arial"/>
                <w:sz w:val="16"/>
                <w:szCs w:val="16"/>
                <w:color w:val="auto"/>
              </w:rPr>
              <w:t>Distributions paid to NRG</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47"/>
        </w:trPr>
        <w:tc>
          <w:tcPr>
            <w:tcW w:w="4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Distributions paid to NRG Yield, Inc.</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7"/>
        </w:trPr>
        <w:tc>
          <w:tcPr>
            <w:tcW w:w="4640" w:type="dxa"/>
            <w:vAlign w:val="bottom"/>
          </w:tcPr>
          <w:p>
            <w:pPr>
              <w:ind w:left="40"/>
              <w:spacing w:after="0"/>
              <w:rPr>
                <w:sz w:val="20"/>
                <w:szCs w:val="20"/>
                <w:color w:val="auto"/>
              </w:rPr>
            </w:pPr>
            <w:r>
              <w:rPr>
                <w:rFonts w:ascii="Arial" w:cs="Arial" w:eastAsia="Arial" w:hAnsi="Arial"/>
                <w:sz w:val="16"/>
                <w:szCs w:val="16"/>
                <w:b w:val="1"/>
                <w:bCs w:val="1"/>
                <w:color w:val="auto"/>
              </w:rPr>
              <w:t>Balances at December 31, 2014</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2,104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2,476</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24"/>
        </w:trPr>
        <w:tc>
          <w:tcPr>
            <w:tcW w:w="4640" w:type="dxa"/>
            <w:vAlign w:val="bottom"/>
          </w:tcPr>
          <w:p>
            <w:pPr>
              <w:ind w:left="180"/>
              <w:spacing w:after="0"/>
              <w:rPr>
                <w:sz w:val="20"/>
                <w:szCs w:val="20"/>
                <w:color w:val="auto"/>
              </w:rPr>
            </w:pPr>
            <w:r>
              <w:rPr>
                <w:rFonts w:ascii="Arial" w:cs="Arial" w:eastAsia="Arial" w:hAnsi="Arial"/>
                <w:sz w:val="16"/>
                <w:szCs w:val="16"/>
                <w:color w:val="auto"/>
              </w:rPr>
              <w:t>Unrealized loss on derivatives</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7"/>
        </w:trPr>
        <w:tc>
          <w:tcPr>
            <w:tcW w:w="4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for January 2015 Drop Down Assets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24"/>
        </w:trPr>
        <w:tc>
          <w:tcPr>
            <w:tcW w:w="4640" w:type="dxa"/>
            <w:vAlign w:val="bottom"/>
          </w:tcPr>
          <w:p>
            <w:pPr>
              <w:ind w:left="180"/>
              <w:spacing w:after="0"/>
              <w:rPr>
                <w:sz w:val="20"/>
                <w:szCs w:val="20"/>
                <w:color w:val="auto"/>
              </w:rPr>
            </w:pPr>
            <w:r>
              <w:rPr>
                <w:rFonts w:ascii="Arial" w:cs="Arial" w:eastAsia="Arial" w:hAnsi="Arial"/>
                <w:sz w:val="16"/>
                <w:szCs w:val="16"/>
                <w:color w:val="auto"/>
              </w:rPr>
              <w:t>Payment for November 2015 Drop Down Assets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47"/>
        </w:trPr>
        <w:tc>
          <w:tcPr>
            <w:tcW w:w="4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contributions from tax equity investors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24"/>
        </w:trPr>
        <w:tc>
          <w:tcPr>
            <w:tcW w:w="4640" w:type="dxa"/>
            <w:vAlign w:val="bottom"/>
          </w:tcPr>
          <w:p>
            <w:pPr>
              <w:ind w:left="180"/>
              <w:spacing w:after="0"/>
              <w:rPr>
                <w:sz w:val="20"/>
                <w:szCs w:val="20"/>
                <w:color w:val="auto"/>
              </w:rPr>
            </w:pPr>
            <w:r>
              <w:rPr>
                <w:rFonts w:ascii="Arial" w:cs="Arial" w:eastAsia="Arial" w:hAnsi="Arial"/>
                <w:sz w:val="16"/>
                <w:szCs w:val="16"/>
                <w:color w:val="auto"/>
              </w:rPr>
              <w:t>Noncontrolling interest acquired in Spring Canyon acquisition</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47"/>
        </w:trPr>
        <w:tc>
          <w:tcPr>
            <w:tcW w:w="4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Distributions paid to NRG, net of contributions, cash</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4"/>
        </w:trPr>
        <w:tc>
          <w:tcPr>
            <w:tcW w:w="4640" w:type="dxa"/>
            <w:vAlign w:val="bottom"/>
          </w:tcPr>
          <w:p>
            <w:pPr>
              <w:ind w:left="180"/>
              <w:spacing w:after="0"/>
              <w:rPr>
                <w:sz w:val="20"/>
                <w:szCs w:val="20"/>
                <w:color w:val="auto"/>
              </w:rPr>
            </w:pPr>
            <w:r>
              <w:rPr>
                <w:rFonts w:ascii="Arial" w:cs="Arial" w:eastAsia="Arial" w:hAnsi="Arial"/>
                <w:sz w:val="16"/>
                <w:szCs w:val="16"/>
                <w:color w:val="auto"/>
              </w:rPr>
              <w:t>Distributions paid to NRG, net of contributions, non-cash</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47"/>
        </w:trPr>
        <w:tc>
          <w:tcPr>
            <w:tcW w:w="4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Class C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24"/>
        </w:trPr>
        <w:tc>
          <w:tcPr>
            <w:tcW w:w="4640" w:type="dxa"/>
            <w:vAlign w:val="bottom"/>
          </w:tcPr>
          <w:p>
            <w:pPr>
              <w:ind w:left="180"/>
              <w:spacing w:after="0"/>
              <w:rPr>
                <w:sz w:val="20"/>
                <w:szCs w:val="20"/>
                <w:color w:val="auto"/>
              </w:rPr>
            </w:pPr>
            <w:r>
              <w:rPr>
                <w:rFonts w:ascii="Arial" w:cs="Arial" w:eastAsia="Arial" w:hAnsi="Arial"/>
                <w:sz w:val="16"/>
                <w:szCs w:val="16"/>
                <w:color w:val="auto"/>
              </w:rPr>
              <w:t>Distributions paid to NRG</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47"/>
        </w:trPr>
        <w:tc>
          <w:tcPr>
            <w:tcW w:w="4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Distributions paid to NRG Yield, Inc.</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7"/>
        </w:trPr>
        <w:tc>
          <w:tcPr>
            <w:tcW w:w="4640" w:type="dxa"/>
            <w:vAlign w:val="bottom"/>
          </w:tcPr>
          <w:p>
            <w:pPr>
              <w:ind w:left="40"/>
              <w:spacing w:after="0"/>
              <w:rPr>
                <w:sz w:val="20"/>
                <w:szCs w:val="20"/>
                <w:color w:val="auto"/>
              </w:rPr>
            </w:pPr>
            <w:r>
              <w:rPr>
                <w:rFonts w:ascii="Arial" w:cs="Arial" w:eastAsia="Arial" w:hAnsi="Arial"/>
                <w:sz w:val="16"/>
                <w:szCs w:val="16"/>
                <w:b w:val="1"/>
                <w:bCs w:val="1"/>
                <w:color w:val="auto"/>
              </w:rPr>
              <w:t>Balance as of December 31, 2015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1,963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2,434</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633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81"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0"/>
          <w:szCs w:val="10"/>
          <w:color w:val="auto"/>
        </w:rPr>
      </w:pPr>
      <w:r>
        <w:rPr>
          <w:rFonts w:ascii="Arial" w:cs="Arial" w:eastAsia="Arial" w:hAnsi="Arial"/>
          <w:sz w:val="14"/>
          <w:szCs w:val="14"/>
          <w:color w:val="auto"/>
        </w:rPr>
        <w:t>As previously reported in the Company's audited financial statements for the year ended December 31, 2014, included in the Company's Prospectus dated June 22, 2015.</w:t>
      </w:r>
    </w:p>
    <w:p>
      <w:pPr>
        <w:spacing w:after="0" w:line="42" w:lineRule="exact"/>
        <w:rPr>
          <w:rFonts w:ascii="Arial" w:cs="Arial" w:eastAsia="Arial" w:hAnsi="Arial"/>
          <w:sz w:val="10"/>
          <w:szCs w:val="10"/>
          <w:color w:val="auto"/>
        </w:rPr>
      </w:pPr>
    </w:p>
    <w:p>
      <w:pPr>
        <w:ind w:left="260" w:hanging="252"/>
        <w:spacing w:after="0" w:line="221" w:lineRule="auto"/>
        <w:tabs>
          <w:tab w:leader="none" w:pos="183"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 xml:space="preserve">Capital contributions from NRG, non-cash, primarily represent Drop Down Assets' equity transferred from NRG to the Company in accordance with guidance on business combinations between entities under common control, as further described in Note 1, </w:t>
      </w:r>
      <w:r>
        <w:rPr>
          <w:rFonts w:ascii="Arial" w:cs="Arial" w:eastAsia="Arial" w:hAnsi="Arial"/>
          <w:sz w:val="15"/>
          <w:szCs w:val="15"/>
          <w:i w:val="1"/>
          <w:iCs w:val="1"/>
          <w:color w:val="auto"/>
        </w:rPr>
        <w:t>Nature of Business.</w:t>
      </w:r>
    </w:p>
    <w:p>
      <w:pPr>
        <w:ind w:left="160" w:hanging="152"/>
        <w:spacing w:after="0" w:line="222" w:lineRule="auto"/>
        <w:tabs>
          <w:tab w:leader="none" w:pos="16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87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NRG Yield LLC, together with its consolidated subsidiaries, or the Company, was formed by NRG as a Delaware limited liability company on March 5, 2013, to serve as the primary vehicle through which NRG owns, operates and acquires contracted renewable and conventional generation and thermal infrastructure assets. NRG owns 100% of the Company's Class B units and Class D units and receives distributions through its ownership of these units. NRG Yield, Inc., or Yield, Inc., owns 100% of the Company's Class A units and Class C units. NRG Yield LLC, through its wholly owned subsidiary, NRG Yield Operating LLC, or Yield Operating LLC, holds a portfolio of renewable and conventional generation and thermal infrastructure assets, primarily located in the Northeast, Southwest and California regions of the U.S.</w:t>
      </w:r>
    </w:p>
    <w:p>
      <w:pPr>
        <w:spacing w:after="0" w:line="3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July 22, 2013, Yield, Inc., issued 22,511,250 shares of Class A common stock in an initial public offering. Yield, Inc. utilized the net proceeds of the initial public offering to acquire 19,011,250 of the Company's Class A units from NRG in return for $395 million, and 3,500,000 Class A units directly from the Company in return for $73 million, including a controlling interest through its position as sole managing member.</w:t>
      </w:r>
    </w:p>
    <w:p>
      <w:pPr>
        <w:spacing w:after="0" w:line="1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July 29, 2014, Yield, Inc. issued 12,075,000 shares of Class A common stock for net proceeds, after underwriting discount and expenses, of $630 million. Yield, Inc. utilized the proceeds of the offering to acquire an additional 12,075,000 of the Company's Class A units. Effective May 14, 2015, Yield, Inc. amended its certificate of incorporation to create two new classes of capital stock, Class C common stock and Class D common stock, and distributed shares of the Class C common stock and Class D common stock to holders of Yield, Inc.'s outstanding Class A common stock and Class B common stock, respectively, through a stock split. The stock split is referred to as the Recapitalization. The Company also amended its operating agreement to reflect the Recapitalization. Effective May 14, 2015, each Class A unit of the Company was automatically reclassified into one Class A unit and one Class C unit and each Class B unit of the Company was automatically reclassified into one Class B unit and one Class D unit.</w:t>
      </w:r>
    </w:p>
    <w:p>
      <w:pPr>
        <w:spacing w:after="0" w:line="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29, 2015, Yield, Inc. issued 28,198,000 shares of Class C common stock for net proceeds of $599 million. Yield, Inc. utilized the proceeds of the offering to acquire 28,198,000 Class C units of NRG Yield LLC, increasing its economic interest to 53.3%. Yield, Inc. consolidates the results of the Company through its controlling interest as sole managing member.</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the structure of the Company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14605</wp:posOffset>
            </wp:positionV>
            <wp:extent cx="5085715" cy="3756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85715"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77" w:right="239" w:bottom="1440" w:gutter="0" w:footer="0" w:header="0"/>
        </w:sectPr>
      </w:pPr>
    </w:p>
    <w:bookmarkStart w:id="67" w:name="page68"/>
    <w:bookmarkEnd w:id="67"/>
    <w:p>
      <w:pPr>
        <w:jc w:val="both"/>
        <w:ind w:firstLine="405"/>
        <w:spacing w:after="0" w:line="302" w:lineRule="auto"/>
        <w:rPr>
          <w:sz w:val="20"/>
          <w:szCs w:val="20"/>
          <w:color w:val="auto"/>
        </w:rPr>
      </w:pPr>
      <w:r>
        <w:rPr>
          <w:rFonts w:ascii="Arial" w:cs="Arial" w:eastAsia="Arial" w:hAnsi="Arial"/>
          <w:sz w:val="16"/>
          <w:szCs w:val="16"/>
          <w:color w:val="auto"/>
        </w:rPr>
        <w:t>For the periods prior to the initial public offering of Yield, Inc., the accompanying combined financial statements represent the combination of the assets that the Company acquired and were prepared using NRG's historical basis in the assets and liabilities. For the purposes of the combined financial statements, the term "NRG Yield" represents the accounting predecessor, or the combination of the acquired businesses. For all periods subsequent to the Yield, Inc. initial public offering, the accompanying audited consolidated financial statements represent the consolidated results of the Company.</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2015, the Company's operating assets are comprised of the following projects: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Percentage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96"/>
              </w:rPr>
              <w:t>Net Capacity</w:t>
            </w:r>
          </w:p>
        </w:tc>
        <w:tc>
          <w:tcPr>
            <w:tcW w:w="1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3"/>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Projects</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Ownership</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 xml:space="preserve">(MW) </w:t>
            </w:r>
            <w:r>
              <w:rPr>
                <w:rFonts w:ascii="Arial" w:cs="Arial" w:eastAsia="Arial" w:hAnsi="Arial"/>
                <w:sz w:val="21"/>
                <w:szCs w:val="21"/>
                <w:b w:val="1"/>
                <w:bCs w:val="1"/>
                <w:color w:val="auto"/>
                <w:vertAlign w:val="superscript"/>
              </w:rPr>
              <w:t>(a)</w:t>
            </w:r>
          </w:p>
        </w:tc>
        <w:tc>
          <w:tcPr>
            <w:tcW w:w="100" w:type="dxa"/>
            <w:vAlign w:val="bottom"/>
            <w:tcBorders>
              <w:bottom w:val="single" w:sz="8" w:color="CCEEFF"/>
            </w:tcBorders>
          </w:tcPr>
          <w:p>
            <w:pPr>
              <w:spacing w:after="0"/>
              <w:rPr>
                <w:sz w:val="21"/>
                <w:szCs w:val="21"/>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Offtake Counterparty</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Expiration</w:t>
            </w:r>
          </w:p>
        </w:tc>
      </w:tr>
      <w:tr>
        <w:trPr>
          <w:trHeight w:val="244"/>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Conventional</w:t>
            </w: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El Segundo</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GenConn Devon</w:t>
            </w:r>
            <w:r>
              <w:rPr>
                <w:rFonts w:ascii="Arial" w:cs="Arial" w:eastAsia="Arial" w:hAnsi="Arial"/>
                <w:sz w:val="21"/>
                <w:szCs w:val="21"/>
                <w:color w:val="auto"/>
                <w:vertAlign w:val="superscript"/>
              </w:rPr>
              <w:t>(b)</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3"/>
                <w:szCs w:val="23"/>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Connecticut Light &amp;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2040</w:t>
            </w:r>
          </w:p>
        </w:tc>
      </w:tr>
      <w:tr>
        <w:trPr>
          <w:trHeight w:val="270"/>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 xml:space="preserve">GenConn Middletown </w:t>
            </w:r>
            <w:r>
              <w:rPr>
                <w:rFonts w:ascii="Arial" w:cs="Arial" w:eastAsia="Arial" w:hAnsi="Arial"/>
                <w:sz w:val="21"/>
                <w:szCs w:val="21"/>
                <w:color w:val="auto"/>
                <w:vertAlign w:val="superscript"/>
              </w:rPr>
              <w:t>(b)</w:t>
            </w: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Connecticut Light &amp; Power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2041</w:t>
            </w: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Marsh Landing</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Walnut Creek</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7"/>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64"/>
        </w:trPr>
        <w:tc>
          <w:tcPr>
            <w:tcW w:w="4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w:t>
            </w:r>
          </w:p>
        </w:tc>
        <w:tc>
          <w:tcPr>
            <w:tcW w:w="10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31"/>
        </w:trPr>
        <w:tc>
          <w:tcPr>
            <w:tcW w:w="4400" w:type="dxa"/>
            <w:vAlign w:val="bottom"/>
            <w:gridSpan w:val="2"/>
          </w:tcPr>
          <w:p>
            <w:pPr>
              <w:ind w:left="40"/>
              <w:spacing w:after="0"/>
              <w:rPr>
                <w:sz w:val="20"/>
                <w:szCs w:val="20"/>
                <w:color w:val="auto"/>
              </w:rPr>
            </w:pPr>
            <w:r>
              <w:rPr>
                <w:rFonts w:ascii="Arial" w:cs="Arial" w:eastAsia="Arial" w:hAnsi="Arial"/>
                <w:sz w:val="16"/>
                <w:szCs w:val="16"/>
                <w:i w:val="1"/>
                <w:iCs w:val="1"/>
                <w:color w:val="auto"/>
              </w:rPr>
              <w:t>Utility Scale Solar</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Alpine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2033</w:t>
            </w:r>
          </w:p>
        </w:tc>
      </w:tr>
      <w:tr>
        <w:trPr>
          <w:trHeight w:val="270"/>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 xml:space="preserve">Avenal </w:t>
            </w:r>
            <w:r>
              <w:rPr>
                <w:rFonts w:ascii="Arial" w:cs="Arial" w:eastAsia="Arial" w:hAnsi="Arial"/>
                <w:sz w:val="21"/>
                <w:szCs w:val="21"/>
                <w:color w:val="auto"/>
                <w:vertAlign w:val="superscript"/>
              </w:rPr>
              <w:t>(b)</w:t>
            </w: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Pacific Gas and Electric</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2031</w:t>
            </w: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Avra Valley</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Tucson Electric Power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2032</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Blythe</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2029</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Borrego</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San Diego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2038</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CVSR</w:t>
            </w:r>
          </w:p>
        </w:tc>
        <w:tc>
          <w:tcPr>
            <w:tcW w:w="1320" w:type="dxa"/>
            <w:vAlign w:val="bottom"/>
          </w:tcPr>
          <w:p>
            <w:pPr>
              <w:jc w:val="right"/>
              <w:spacing w:after="0"/>
              <w:rPr>
                <w:sz w:val="20"/>
                <w:szCs w:val="20"/>
                <w:color w:val="auto"/>
              </w:rPr>
            </w:pPr>
            <w:r>
              <w:rPr>
                <w:rFonts w:ascii="Arial" w:cs="Arial" w:eastAsia="Arial" w:hAnsi="Arial"/>
                <w:sz w:val="18"/>
                <w:szCs w:val="18"/>
                <w:color w:val="auto"/>
              </w:rPr>
              <w:t>48.95%</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Pacific Gas and Electric</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2038</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Desert Sunlight 250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2035</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Desert Sunlight 300</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Pacific Gas and Electric</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2040</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Kansas South</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2033</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Roadrunner</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El Paso Electric</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2031</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TA High Desert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2033</w:t>
            </w:r>
          </w:p>
        </w:tc>
      </w:tr>
      <w:tr>
        <w:trPr>
          <w:trHeight w:val="237"/>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Distributed Solar</w:t>
            </w: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AZ DG Solar Projects</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Various</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2025 - 2033</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PFMG DG Solar Projects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Various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2032</w:t>
            </w:r>
          </w:p>
        </w:tc>
      </w:tr>
      <w:tr>
        <w:trPr>
          <w:trHeight w:val="237"/>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Wind</w:t>
            </w: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Alta I</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2035</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Alta II</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2035</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Alta III</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2035</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Alta IV</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2035</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Alta V</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2035</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00" w:type="dxa"/>
            <w:vAlign w:val="bottom"/>
            <w:gridSpan w:val="2"/>
            <w:shd w:val="clear" w:color="auto" w:fill="CCEEFF"/>
          </w:tcPr>
          <w:p>
            <w:pPr>
              <w:ind w:left="280"/>
              <w:spacing w:after="0" w:line="269" w:lineRule="exact"/>
              <w:rPr>
                <w:sz w:val="20"/>
                <w:szCs w:val="20"/>
                <w:color w:val="auto"/>
              </w:rPr>
            </w:pPr>
            <w:r>
              <w:rPr>
                <w:rFonts w:ascii="Arial" w:cs="Arial" w:eastAsia="Arial" w:hAnsi="Arial"/>
                <w:sz w:val="31"/>
                <w:szCs w:val="31"/>
                <w:color w:val="auto"/>
                <w:vertAlign w:val="subscript"/>
              </w:rPr>
              <w:t>Alta X</w:t>
            </w:r>
            <w:r>
              <w:rPr>
                <w:rFonts w:ascii="Arial" w:cs="Arial" w:eastAsia="Arial" w:hAnsi="Arial"/>
                <w:sz w:val="11"/>
                <w:szCs w:val="11"/>
                <w:color w:val="auto"/>
              </w:rPr>
              <w:t xml:space="preserve"> (c)(d)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3"/>
                <w:szCs w:val="23"/>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2038</w:t>
            </w:r>
          </w:p>
        </w:tc>
      </w:tr>
      <w:tr>
        <w:trPr>
          <w:trHeight w:val="270"/>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 xml:space="preserve">Alta XI </w:t>
            </w:r>
            <w:r>
              <w:rPr>
                <w:rFonts w:ascii="Arial" w:cs="Arial" w:eastAsia="Arial" w:hAnsi="Arial"/>
                <w:sz w:val="21"/>
                <w:szCs w:val="21"/>
                <w:color w:val="auto"/>
                <w:vertAlign w:val="superscript"/>
              </w:rPr>
              <w:t>(c)(d)</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2038</w:t>
            </w:r>
          </w:p>
        </w:tc>
      </w:tr>
      <w:tr>
        <w:trPr>
          <w:trHeight w:val="270"/>
        </w:trPr>
        <w:tc>
          <w:tcPr>
            <w:tcW w:w="4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Buffalo Bear</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3"/>
                <w:szCs w:val="23"/>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Western Farmers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2033</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Crosswinds</w:t>
            </w:r>
          </w:p>
        </w:tc>
        <w:tc>
          <w:tcPr>
            <w:tcW w:w="132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Corn Belt Power Cooperative</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2027</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Elbow Creek</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NRG Power Marketing LLC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r>
      <w:tr>
        <w:trPr>
          <w:trHeight w:val="237"/>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Elkhorn Ridge</w:t>
            </w:r>
          </w:p>
        </w:tc>
        <w:tc>
          <w:tcPr>
            <w:tcW w:w="132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Nebraska Public Power District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2029</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Forward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Constellation NewEnergy, Inc.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Goat Wind</w:t>
            </w:r>
          </w:p>
        </w:tc>
        <w:tc>
          <w:tcPr>
            <w:tcW w:w="132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Dow Pipeline Company</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2025</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Hardin</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Interstate Power and Light Company</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2027</w:t>
            </w:r>
          </w:p>
        </w:tc>
      </w:tr>
      <w:tr>
        <w:trPr>
          <w:trHeight w:val="237"/>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Laredo Ridge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Nebraska Public Power District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2031</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Lookout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Southern Maryland Electric Cooperative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Odin</w:t>
            </w:r>
          </w:p>
        </w:tc>
        <w:tc>
          <w:tcPr>
            <w:tcW w:w="132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Missouri River Energy Services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2028</w:t>
            </w: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098"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Percentage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96"/>
              </w:rPr>
              <w:t>Net Capacity</w:t>
            </w:r>
          </w:p>
        </w:tc>
        <w:tc>
          <w:tcPr>
            <w:tcW w:w="1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3"/>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Projects</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Ownership</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 xml:space="preserve">(MW) </w:t>
            </w:r>
            <w:r>
              <w:rPr>
                <w:rFonts w:ascii="Arial" w:cs="Arial" w:eastAsia="Arial" w:hAnsi="Arial"/>
                <w:sz w:val="21"/>
                <w:szCs w:val="21"/>
                <w:b w:val="1"/>
                <w:bCs w:val="1"/>
                <w:color w:val="auto"/>
                <w:vertAlign w:val="superscript"/>
              </w:rPr>
              <w:t>(a)</w:t>
            </w:r>
          </w:p>
        </w:tc>
        <w:tc>
          <w:tcPr>
            <w:tcW w:w="100" w:type="dxa"/>
            <w:vAlign w:val="bottom"/>
            <w:tcBorders>
              <w:bottom w:val="single" w:sz="8" w:color="CCEEFF"/>
            </w:tcBorders>
          </w:tcPr>
          <w:p>
            <w:pPr>
              <w:spacing w:after="0"/>
              <w:rPr>
                <w:sz w:val="21"/>
                <w:szCs w:val="21"/>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Offtake Counterparty</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Expiration</w:t>
            </w:r>
          </w:p>
        </w:tc>
      </w:tr>
      <w:tr>
        <w:trPr>
          <w:trHeight w:val="213"/>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Maryland Department of General Services and</w:t>
            </w:r>
          </w:p>
        </w:tc>
        <w:tc>
          <w:tcPr>
            <w:tcW w:w="1140" w:type="dxa"/>
            <w:vAlign w:val="bottom"/>
            <w:shd w:val="clear" w:color="auto" w:fill="CCEEFF"/>
          </w:tcPr>
          <w:p>
            <w:pPr>
              <w:spacing w:after="0"/>
              <w:rPr>
                <w:sz w:val="18"/>
                <w:szCs w:val="18"/>
                <w:color w:val="auto"/>
              </w:rPr>
            </w:pPr>
          </w:p>
        </w:tc>
      </w:tr>
      <w:tr>
        <w:trPr>
          <w:trHeight w:val="219"/>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Pinnacle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19"/>
                <w:szCs w:val="19"/>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University System of Maryland</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2031</w:t>
            </w:r>
          </w:p>
        </w:tc>
      </w:tr>
      <w:tr>
        <w:trPr>
          <w:trHeight w:val="264"/>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San Juan Mesa</w:t>
            </w:r>
          </w:p>
        </w:tc>
        <w:tc>
          <w:tcPr>
            <w:tcW w:w="132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Southwestern Public Service Company</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2025</w:t>
            </w:r>
          </w:p>
        </w:tc>
      </w:tr>
      <w:tr>
        <w:trPr>
          <w:trHeight w:val="256"/>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Sleeping Bear</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Public Service Company of Oklahoma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2032</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South Trent</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AEP Energy Partners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2029</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Spanish Fork</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PacifiCorp</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2028</w:t>
            </w:r>
          </w:p>
        </w:tc>
      </w:tr>
      <w:tr>
        <w:trPr>
          <w:trHeight w:val="270"/>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 xml:space="preserve">Spring Canyon II </w:t>
            </w:r>
            <w:r>
              <w:rPr>
                <w:rFonts w:ascii="Arial" w:cs="Arial" w:eastAsia="Arial" w:hAnsi="Arial"/>
                <w:sz w:val="21"/>
                <w:szCs w:val="21"/>
                <w:color w:val="auto"/>
                <w:vertAlign w:val="superscript"/>
              </w:rPr>
              <w:t>(c)</w:t>
            </w:r>
          </w:p>
        </w:tc>
        <w:tc>
          <w:tcPr>
            <w:tcW w:w="1320" w:type="dxa"/>
            <w:vAlign w:val="bottom"/>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3"/>
                <w:szCs w:val="23"/>
                <w:color w:val="auto"/>
              </w:rPr>
            </w:pPr>
          </w:p>
        </w:tc>
        <w:tc>
          <w:tcPr>
            <w:tcW w:w="1020" w:type="dxa"/>
            <w:vAlign w:val="bottom"/>
          </w:tcPr>
          <w:p>
            <w:pPr>
              <w:jc w:val="right"/>
              <w:ind w:right="15"/>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3"/>
                <w:szCs w:val="23"/>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Platte River Power Authority</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2039</w:t>
            </w:r>
          </w:p>
        </w:tc>
      </w:tr>
      <w:tr>
        <w:trPr>
          <w:trHeight w:val="270"/>
        </w:trPr>
        <w:tc>
          <w:tcPr>
            <w:tcW w:w="4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Spring Canyon III </w:t>
            </w:r>
            <w:r>
              <w:rPr>
                <w:rFonts w:ascii="Arial" w:cs="Arial" w:eastAsia="Arial" w:hAnsi="Arial"/>
                <w:sz w:val="21"/>
                <w:szCs w:val="21"/>
                <w:color w:val="auto"/>
                <w:vertAlign w:val="superscript"/>
              </w:rPr>
              <w:t>(c)</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2039</w:t>
            </w:r>
          </w:p>
        </w:tc>
      </w:tr>
      <w:tr>
        <w:trPr>
          <w:trHeight w:val="237"/>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Taloga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Oklahoma Gas &amp; Electric</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2031</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4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Wildorado</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2"/>
                <w:szCs w:val="22"/>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Southwestern Public Service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2027</w:t>
            </w:r>
          </w:p>
        </w:tc>
      </w:tr>
      <w:tr>
        <w:trPr>
          <w:trHeight w:val="223"/>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6"/>
                <w:szCs w:val="16"/>
                <w:color w:val="auto"/>
              </w:rPr>
              <w:t>1,999</w:t>
            </w:r>
          </w:p>
        </w:tc>
        <w:tc>
          <w:tcPr>
            <w:tcW w:w="1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Thermal</w:t>
            </w: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Thermal equivalent MWt</w:t>
            </w:r>
            <w:r>
              <w:rPr>
                <w:rFonts w:ascii="Arial" w:cs="Arial" w:eastAsia="Arial" w:hAnsi="Arial"/>
                <w:sz w:val="21"/>
                <w:szCs w:val="21"/>
                <w:color w:val="auto"/>
                <w:vertAlign w:val="superscript"/>
              </w:rPr>
              <w:t>(e)</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3"/>
                <w:szCs w:val="23"/>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Various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Various</w:t>
            </w:r>
          </w:p>
        </w:tc>
      </w:tr>
      <w:tr>
        <w:trPr>
          <w:trHeight w:val="27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Thermal generation</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Various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Various</w:t>
            </w:r>
          </w:p>
        </w:tc>
      </w:tr>
      <w:tr>
        <w:trPr>
          <w:trHeight w:val="264"/>
        </w:trPr>
        <w:tc>
          <w:tcPr>
            <w:tcW w:w="4400" w:type="dxa"/>
            <w:vAlign w:val="bottom"/>
            <w:gridSpan w:val="2"/>
          </w:tcPr>
          <w:p>
            <w:pPr>
              <w:ind w:left="40"/>
              <w:spacing w:after="0"/>
              <w:rPr>
                <w:sz w:val="20"/>
                <w:szCs w:val="20"/>
                <w:color w:val="auto"/>
              </w:rPr>
            </w:pPr>
            <w:r>
              <w:rPr>
                <w:rFonts w:ascii="Arial" w:cs="Arial" w:eastAsia="Arial" w:hAnsi="Arial"/>
                <w:sz w:val="16"/>
                <w:szCs w:val="16"/>
                <w:color w:val="auto"/>
              </w:rPr>
              <w:t xml:space="preserve">Total net capacity (excluding equivalent MWt) </w:t>
            </w:r>
            <w:r>
              <w:rPr>
                <w:rFonts w:ascii="Arial" w:cs="Arial" w:eastAsia="Arial" w:hAnsi="Arial"/>
                <w:sz w:val="21"/>
                <w:szCs w:val="21"/>
                <w:color w:val="auto"/>
                <w:vertAlign w:val="superscript"/>
              </w:rPr>
              <w:t>(f)</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8301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81" w:lineRule="exact"/>
        <w:rPr>
          <w:sz w:val="20"/>
          <w:szCs w:val="20"/>
          <w:color w:val="auto"/>
        </w:rPr>
      </w:pPr>
    </w:p>
    <w:p>
      <w:pPr>
        <w:ind w:right="20" w:firstLine="8"/>
        <w:spacing w:after="0" w:line="229" w:lineRule="auto"/>
        <w:tabs>
          <w:tab w:leader="none" w:pos="174" w:val="left"/>
        </w:tabs>
        <w:numPr>
          <w:ilvl w:val="0"/>
          <w:numId w:val="35"/>
        </w:numPr>
        <w:rPr>
          <w:rFonts w:ascii="Arial" w:cs="Arial" w:eastAsia="Arial" w:hAnsi="Arial"/>
          <w:sz w:val="11"/>
          <w:szCs w:val="11"/>
          <w:color w:val="auto"/>
        </w:rPr>
      </w:pPr>
      <w:r>
        <w:rPr>
          <w:rFonts w:ascii="Arial" w:cs="Arial" w:eastAsia="Arial" w:hAnsi="Arial"/>
          <w:sz w:val="16"/>
          <w:szCs w:val="16"/>
          <w:color w:val="auto"/>
        </w:rPr>
        <w:t>Net capacity represents the maximum, or rated, generating capacity of the facility multiplied by the Company's percentage ownership in the facility as of December 31, 2015.</w:t>
      </w:r>
    </w:p>
    <w:p>
      <w:pPr>
        <w:ind w:left="180" w:hanging="172"/>
        <w:spacing w:after="0" w:line="229" w:lineRule="auto"/>
        <w:tabs>
          <w:tab w:leader="none" w:pos="180" w:val="left"/>
        </w:tabs>
        <w:numPr>
          <w:ilvl w:val="0"/>
          <w:numId w:val="35"/>
        </w:numPr>
        <w:rPr>
          <w:rFonts w:ascii="Arial" w:cs="Arial" w:eastAsia="Arial" w:hAnsi="Arial"/>
          <w:sz w:val="11"/>
          <w:szCs w:val="11"/>
          <w:color w:val="auto"/>
        </w:rPr>
      </w:pPr>
      <w:r>
        <w:rPr>
          <w:rFonts w:ascii="Arial" w:cs="Arial" w:eastAsia="Arial" w:hAnsi="Arial"/>
          <w:sz w:val="16"/>
          <w:szCs w:val="16"/>
          <w:color w:val="auto"/>
        </w:rPr>
        <w:t>On September 30, 2015, the Company acquired NRG's remaining 0.05% for an immaterial amount.</w:t>
      </w:r>
    </w:p>
    <w:p>
      <w:pPr>
        <w:ind w:firstLine="8"/>
        <w:spacing w:after="0" w:line="220" w:lineRule="auto"/>
        <w:tabs>
          <w:tab w:leader="none" w:pos="160" w:val="left"/>
        </w:tabs>
        <w:numPr>
          <w:ilvl w:val="0"/>
          <w:numId w:val="35"/>
        </w:numPr>
        <w:rPr>
          <w:rFonts w:ascii="Arial" w:cs="Arial" w:eastAsia="Arial" w:hAnsi="Arial"/>
          <w:sz w:val="11"/>
          <w:szCs w:val="11"/>
          <w:color w:val="auto"/>
        </w:rPr>
      </w:pPr>
      <w:r>
        <w:rPr>
          <w:rFonts w:ascii="Arial" w:cs="Arial" w:eastAsia="Arial" w:hAnsi="Arial"/>
          <w:sz w:val="16"/>
          <w:szCs w:val="16"/>
          <w:color w:val="auto"/>
        </w:rPr>
        <w:t xml:space="preserve">Projects are part of tax equity arrangements, as further described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and Note 5, </w:t>
      </w:r>
      <w:r>
        <w:rPr>
          <w:rFonts w:ascii="Arial" w:cs="Arial" w:eastAsia="Arial" w:hAnsi="Arial"/>
          <w:sz w:val="16"/>
          <w:szCs w:val="16"/>
          <w:i w:val="1"/>
          <w:iCs w:val="1"/>
          <w:color w:val="auto"/>
        </w:rPr>
        <w:t>Investments Accounted for by the 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and Variable Interest Entities.</w:t>
      </w:r>
    </w:p>
    <w:p>
      <w:pPr>
        <w:ind w:left="180" w:hanging="172"/>
        <w:spacing w:after="0" w:line="229" w:lineRule="auto"/>
        <w:tabs>
          <w:tab w:leader="none" w:pos="180" w:val="left"/>
        </w:tabs>
        <w:numPr>
          <w:ilvl w:val="0"/>
          <w:numId w:val="35"/>
        </w:numPr>
        <w:rPr>
          <w:rFonts w:ascii="Arial" w:cs="Arial" w:eastAsia="Arial" w:hAnsi="Arial"/>
          <w:sz w:val="11"/>
          <w:szCs w:val="11"/>
          <w:color w:val="auto"/>
        </w:rPr>
      </w:pPr>
      <w:r>
        <w:rPr>
          <w:rFonts w:ascii="Arial" w:cs="Arial" w:eastAsia="Arial" w:hAnsi="Arial"/>
          <w:sz w:val="16"/>
          <w:szCs w:val="16"/>
          <w:color w:val="auto"/>
        </w:rPr>
        <w:t>PPA began on January 1, 2016.</w:t>
      </w:r>
    </w:p>
    <w:p>
      <w:pPr>
        <w:ind w:firstLine="8"/>
        <w:spacing w:after="0" w:line="220" w:lineRule="auto"/>
        <w:tabs>
          <w:tab w:leader="none" w:pos="174" w:val="left"/>
        </w:tabs>
        <w:numPr>
          <w:ilvl w:val="0"/>
          <w:numId w:val="35"/>
        </w:numPr>
        <w:rPr>
          <w:rFonts w:ascii="Arial" w:cs="Arial" w:eastAsia="Arial" w:hAnsi="Arial"/>
          <w:sz w:val="11"/>
          <w:szCs w:val="11"/>
          <w:color w:val="auto"/>
        </w:rPr>
      </w:pPr>
      <w:r>
        <w:rPr>
          <w:rFonts w:ascii="Arial" w:cs="Arial" w:eastAsia="Arial" w:hAnsi="Arial"/>
          <w:sz w:val="16"/>
          <w:szCs w:val="16"/>
          <w:color w:val="auto"/>
        </w:rPr>
        <w:t>For thermal energy, net capacity represents MWt for steam or chilled water and excludes 134 MWt available under the right-to-use provisions contained in agreements between two of the Company's thermal facilities and certain of its customers.</w:t>
      </w:r>
    </w:p>
    <w:p>
      <w:pPr>
        <w:ind w:firstLine="8"/>
        <w:spacing w:after="0" w:line="231" w:lineRule="auto"/>
        <w:tabs>
          <w:tab w:leader="none" w:pos="148" w:val="left"/>
        </w:tabs>
        <w:numPr>
          <w:ilvl w:val="0"/>
          <w:numId w:val="35"/>
        </w:numPr>
        <w:rPr>
          <w:rFonts w:ascii="Arial" w:cs="Arial" w:eastAsia="Arial" w:hAnsi="Arial"/>
          <w:sz w:val="11"/>
          <w:szCs w:val="11"/>
          <w:color w:val="auto"/>
        </w:rPr>
      </w:pPr>
      <w:r>
        <w:rPr>
          <w:rFonts w:ascii="Arial" w:cs="Arial" w:eastAsia="Arial" w:hAnsi="Arial"/>
          <w:sz w:val="16"/>
          <w:szCs w:val="16"/>
          <w:color w:val="auto"/>
        </w:rPr>
        <w:t xml:space="preserve">Total net capacity excludes capacity for RPV Holdco and DGPV Holdco, which are consolidated by NRG, as further described in Note 5, </w:t>
      </w:r>
      <w:r>
        <w:rPr>
          <w:rFonts w:ascii="Arial" w:cs="Arial" w:eastAsia="Arial" w:hAnsi="Arial"/>
          <w:sz w:val="16"/>
          <w:szCs w:val="16"/>
          <w:i w:val="1"/>
          <w:iCs w:val="1"/>
          <w:color w:val="auto"/>
        </w:rPr>
        <w:t>Investments Accounted for by the</w:t>
      </w:r>
      <w:r>
        <w:rPr>
          <w:rFonts w:ascii="Arial" w:cs="Arial" w:eastAsia="Arial" w:hAnsi="Arial"/>
          <w:sz w:val="16"/>
          <w:szCs w:val="16"/>
          <w:color w:val="auto"/>
        </w:rPr>
        <w:t xml:space="preserve"> </w:t>
      </w:r>
      <w:r>
        <w:rPr>
          <w:rFonts w:ascii="Arial" w:cs="Arial" w:eastAsia="Arial" w:hAnsi="Arial"/>
          <w:sz w:val="16"/>
          <w:szCs w:val="16"/>
          <w:i w:val="1"/>
          <w:iCs w:val="1"/>
          <w:color w:val="auto"/>
        </w:rPr>
        <w:t>Equity Method and Variable Interest Entities.</w:t>
      </w:r>
    </w:p>
    <w:p>
      <w:pPr>
        <w:spacing w:after="0" w:line="15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Three of the district energy systems are subject to rate regulation by state public utility commissions while the other district energy systems have rates determined by negotiated bilateral contracts.</w:t>
      </w:r>
    </w:p>
    <w:p>
      <w:pPr>
        <w:spacing w:after="0" w:line="9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historical combined financial statements include allocations of certain NRG corporate expenses. Management believes the assumptions and methodology underlying the allocation of general corporate overhead expenses are reasonable. The allocated costs include legal, accounting, tax, treasury, information technology, insurance, employee benefit costs, and other corporate costs. However, such expenses may not be indicative of the actual level of expense that would have been incurred if the Company had operated as an independent company during the period prior to the Yield, Inc. initial public offering or of the costs expected to be incurred in the future. Allocations of NRG corporate expenses were $3 million for the period from January 1, 2013, through July 22, 2013. In connection with the Yield, Inc. initial public offering, the Company, Yield Operating and Yield, Inc. entered into a management services agreement with NRG for various services, including human resources, accounting, tax, legal, information systems, treasury, and risk management. Costs incurred by the Company under this agreement were $3 million for the period from July 23, 2013, through December 31, 2013, $6 million for the year ended December 31, 2014 and $8 million for the year ended December 31, 2015, which included certain direct expenses incurred by NRG on behalf of the Company.</w:t>
      </w:r>
    </w:p>
    <w:p>
      <w:pPr>
        <w:spacing w:after="0" w:line="10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For the period prior to the Yield, Inc. initial public offering, members' equity represents the combined equity of the Company's subsidiaries, including adjustments necessary to present the Company's financial statements as if the Company were in existence as of the beginning of the periods presented.</w:t>
      </w:r>
    </w:p>
    <w:p>
      <w:pPr>
        <w:spacing w:after="0" w:line="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As described in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the Company has completed three acquisitions of Drop Down Assets from NRG during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December 31, 2014, as follows:</w:t>
      </w:r>
    </w:p>
    <w:p>
      <w:pPr>
        <w:spacing w:after="0" w:line="116" w:lineRule="exact"/>
        <w:rPr>
          <w:sz w:val="20"/>
          <w:szCs w:val="20"/>
          <w:color w:val="auto"/>
        </w:rPr>
      </w:pPr>
    </w:p>
    <w:p>
      <w:pPr>
        <w:jc w:val="both"/>
        <w:ind w:left="660" w:hanging="328"/>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November 3, 2015, the Company acquired 75% of the Class B interests of NRG Wind TE Holdco, or the November 2015 Drop Down Assets, for total cash consideration of $209 million. In February 2016, NRG made a final working capital payment of $2 million, reducing total cash consideration to $207 million. The Company is responsible for its pro-rata share of non-recourse project debt of $193 million and noncontrolling interest associated with a tax equity structure of $159 million (as of the acquisition date).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044" w:right="239" w:bottom="1440" w:gutter="0" w:footer="0" w:header="0"/>
        </w:sectPr>
      </w:pPr>
    </w:p>
    <w:bookmarkStart w:id="69" w:name="page70"/>
    <w:bookmarkEnd w:id="69"/>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January 2, 2015, the Company acquired the Laredo Ridge, Tapestry, and Walnut Creek projects, or the January 2015 Drop Down Assets, for total cash consideration of $489 million, plus assumed project-level debt of $737 million.</w:t>
      </w:r>
    </w:p>
    <w:p>
      <w:pPr>
        <w:spacing w:after="0" w:line="7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June 30, 2014, the Company acquired the TA High Desert, Kansas South, and El Segundo projects from NRG for total cash consideration of $357 million plus assumed project level debt of $612 million.</w:t>
      </w:r>
    </w:p>
    <w:p>
      <w:pPr>
        <w:spacing w:after="0" w:line="7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guidance requires retrospective combination of the entities for all periods presented as if the combination has been in effect since the inception of common control. Accordingly, the Company prepared its consolidated financial statements and the notes to the consolidated financial statements to reflect the transfers as if they had taken place from the beginning of the financial statements period, or from the date the entities were under common control (if later than the beginning of the financial statements period), which was May 13, 2013 for Kansas South, March 28, 2013 for TA High Desert, and April 1, 2014 for the January 2015 Drop Down Assets and the majority of the November 2015 Drop Down Assets, and which represent the dates these entities were acquired by NRG. With respect to the November 2015 Drop Down Asset acquisition, the Company has recorded all minority interests in NRG Wind TE Holdco as noncontrolling interest in the Consolidated Financial Statements for all periods presented.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consolidated and combined financial statements have been prepared in accordance with U.S. GAAP. The FASB ASC is the source of authoritative U.S. GAAP to be applied by nongovernmental entities. In addition, the rules and interpretative releases of the SEC under authority of federal securities laws are also sources of authoritative U.S. GAAP for SEC registrants.</w:t>
      </w:r>
    </w:p>
    <w:p>
      <w:pPr>
        <w:spacing w:after="0" w:line="12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The consolidated and combined financial statements include the Company's accounts and operations and those of its subsidiaries in which it has a controlling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16"/>
          <w:szCs w:val="16"/>
          <w:i w:val="1"/>
          <w:iCs w:val="1"/>
          <w:color w:val="auto"/>
        </w:rPr>
        <w:t>Consolidations,</w:t>
      </w:r>
      <w:r>
        <w:rPr>
          <w:rFonts w:ascii="Arial" w:cs="Arial" w:eastAsia="Arial" w:hAnsi="Arial"/>
          <w:sz w:val="16"/>
          <w:szCs w:val="16"/>
          <w:color w:val="auto"/>
        </w:rPr>
        <w:t xml:space="preserve"> or ASC 810, to determine when an entity that is insufficiently capitalized or not controlled through its voting interests, referred to as a variable interest entity, or VIE, should be consolidated.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at the time of purchase. Cash and cash equivalents held at project subsidiaries was $93 million and $74 million as of December 31, 2015, and 2014,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Of these funds as of December 31, 2015, approximately $2 million is designated for current debt service payments, $7 million is designated to fund operating expenses and $2 million is designated for distributions to the Company, with the remaining $37 million restricted for reserves including debt service, performance obligations and other reserves as well as 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and Allowance for Doubtful Accounts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Trade receivables are reported on the balance sheet at the invoiced amount adjusted for any write-offs and the allowance for doubtful accounts. The allowance for doubtful accounts is reviewed periodically based on amounts past due and significance. The allowance for doubtful accounts was immaterial as of December 31, 2015, and 2014.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Inventory consists principally of spare parts and fuel oil and is valued at the weighted average cost, unless evidence indicates that the weighted average cost will be recovered with a normal profit in the ordinary course of business. The Company removes fuel inventories as they are used in the production of steam, chilled water or electricity. Spare parts inventory are removed when they are used for repairs, maintenance or capital projects.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88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Property, plant and equipment are stated at cost or, in the case of business acquisitions, fair value; however impairment adjustments are recorded whenever events or changes in circumstances indicate that their carrying values may not be recoverable. See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xml:space="preserve"> for more information on acquired property, plant and equipment.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operations.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Additionally, the Company reduces the book value of the property, plant and equipment of its eligible renewable energy projects for any cash grants that are submitted to the U.S. Treasury Department when the receivable is recorded for the net realizable amount. A non-cash dividend to parent for the deferred tax asset is recorded with a corresponding reduction to the book value of the property, plant and equipment.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Long-lived assets that are held and used are reviewed for impairment whenever events or changes in circumstances indicate carrying values may not be recoverable. Such reviews are performed in accordance with ASC 360. An impairment loss is recognized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statements of operations. Fair values are determined by a variety of valuation methods, including appraisals, sales prices of similar assets and present value techniques.</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Investments accounted for by the equity method are reviewed for impairment in accordance with ASC 323, </w:t>
      </w:r>
      <w:r>
        <w:rPr>
          <w:rFonts w:ascii="Arial" w:cs="Arial" w:eastAsia="Arial" w:hAnsi="Arial"/>
          <w:sz w:val="18"/>
          <w:szCs w:val="18"/>
          <w:i w:val="1"/>
          <w:iCs w:val="1"/>
          <w:color w:val="auto"/>
        </w:rPr>
        <w:t>Investments-Equity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Ventures</w:t>
      </w:r>
      <w:r>
        <w:rPr>
          <w:rFonts w:ascii="Arial" w:cs="Arial" w:eastAsia="Arial" w:hAnsi="Arial"/>
          <w:sz w:val="18"/>
          <w:szCs w:val="18"/>
          <w:color w:val="auto"/>
        </w:rPr>
        <w:t>, which requires that a loss in value of an investment that is other than a temporary decline should be recognized. The Company identifies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losses in the value of equity method investments based upon a comparison of fair value to carrying value.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7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Interest incurred on funds borrowed to finance capital projects is capitalized, until the project under construction is ready for its intended use. The amount of interest capitalized for the year ended December 31, 2013, was $18 million. The Company recorded less than $1 million of capitalized interest during the years ended December 31, 2015, and 2014.</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When a project is available for operations, capitalized interest is reclassified to property, plant and equipment and depreciated on a straight-line basis over the estimated useful life of the project's related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7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 xml:space="preserve">Debt issuance costs are capitalized and amortized as interest expense on a basis which approximates the effective interest method over the term of the related debt. As discussed below, as of December 31, 2015, the Company adopted ASU 2015-03, </w:t>
      </w:r>
      <w:r>
        <w:rPr>
          <w:rFonts w:ascii="Arial" w:cs="Arial" w:eastAsia="Arial" w:hAnsi="Arial"/>
          <w:sz w:val="18"/>
          <w:szCs w:val="18"/>
          <w:i w:val="1"/>
          <w:iCs w:val="1"/>
          <w:color w:val="auto"/>
        </w:rPr>
        <w:t>Interest - Imputation of Interest (Subtopic 835-30):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and reclassified debt issuance costs to be presented as a direct deduction from the carrying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debt in both the current and prior periods.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Intangible assets represent contractual rights held by the Company. The Company recognizes specifically identifiable intangible assets including customer contracts, customer relationships, power purchase agreements and development rights when specific rights and contracts are acquired. These intangible assets are amortized primarily on a straight-line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Notes receivable consists of receivables related to the financing of required network upgrades. The notes issued with respect to network upgrades will be repaid within a 5 year period following the date each facility reaches commercial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Subsequent to the date the Yield Assets were acquired and the Yield, Inc. initial public offering occurred, the Company is a disregarded entity of a partnership for federal and state income tax purposes. Therefore, federal and state income taxes are assessed at the partner level. Accordingly, no provision has been made for federal or state income taxes in the accompanying financial statements. For all periods prior to the Yield, Inc. public offering, federal and state income taxes represent proforma income taxes.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88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Thermal Revenues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Steam and chilled water revenue is recognized based on customer usage as determined by meter readings taken at month-end. Some locations read customer meters throughout the month, and recognize estimated revenue for the period between meter read date and month-end. The Thermal Business subsidiaries collect and remit state and local taxes associated with sales to their customers, as required by governmental authorities. These taxes are presented on a net basis in the income statement.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Purchase Agreements, or PPAs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majority of the Company’s revenues are obtained through PPAs or other contractual agreements.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order to determine lease classification as operating, the Company evaluates the terms of the PPA to determine if the lease includes any of the following provisions which would indicate capital lease treatment:</w:t>
      </w:r>
    </w:p>
    <w:p>
      <w:pPr>
        <w:spacing w:after="0" w:line="89" w:lineRule="exact"/>
        <w:rPr>
          <w:sz w:val="20"/>
          <w:szCs w:val="20"/>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Transfers the ownership of the generating facility,</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Bargain purchase option at the end of the term of the lease,</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Lease term is greater than 75% of the economic life of the generating facility, or</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Present value of minimum lease payments exceeds 90% of the fair value of the generating facility at inception of the lease</w:t>
      </w:r>
    </w:p>
    <w:p>
      <w:pPr>
        <w:spacing w:after="0" w:line="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considering the above it was determined that all of Company’s PPAs are operating leases. ASC 840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Certain of these leases have no minimum lease payments and all of the rental income under these leases is recorded as contingent rent on an actual basis when the electricity is delivered. The contingent rental income recognized in the years ended December 31, 2015, 2014 and 2013 was $332 million, $212 million and $88 million,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The Company accounts for derivative financial instruments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either:</w:t>
      </w:r>
    </w:p>
    <w:p>
      <w:pPr>
        <w:spacing w:after="0" w:line="11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Recognized in earnings as an offset to the changes in the fair value of the related hedged assets, liabilities and firm commitments;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Deferred and recorded as a component of accumulated OCI until the hedged transactions occur and are recognized in earnings.</w:t>
      </w:r>
    </w:p>
    <w:p>
      <w:pPr>
        <w:spacing w:after="0" w:line="17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Company's primary derivative instruments are power sales contracts used to mitigate variability in earnings due to fluctuations in market prices, fuels purchase contracts used to control customer reimbursable fuel cost, and interest rate instruments used to mitigate variability in earnings due to fluctuations in interest rates. On an ongoing basis, the Company assesses the effectiveness of all derivatives that are designated as hedges for accounting purposes in order to determine that each derivative continues to be highly effective in offsetting changes in fair values or cash flows of hedged items. Internal analyses that measure the statistical correlation between the derivative and the associated hedged item determine the effectiveness of such a contract designated as a hedge. If it is determined that the derivative instrument is not highly effective as a hedge, hedge accounting will be discontinued prospectively. In this case, the gain or loss previously deferred in accumulated OCI would be frozen until the underlying hedged item is delivered unless the transaction being hedged is no longer probable of occurring in which case the amount in OCI would be immediately reclassified into earnings. If the derivative instrument is terminated, the effective portion of this derivative deferred in accumulated OCI will be frozen until the underlying hedged item is delivered.</w:t>
      </w:r>
    </w:p>
    <w:p>
      <w:pPr>
        <w:spacing w:after="0" w:line="1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882"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Financial instruments which potentially subject the Company to concentrations of credit risk consist primarily of accounts receivable, notes receivable and derivative instruments, which are concentrated within entities engaged in the energy and financial industry. These industry concentrations may impact the overall exposure to credit risk, either positively or negatively, in that the customers may be similarly affected by changes in economic, industry or other conditions. In addition, many of the Company's projects have only one customer. However, the Company believes that the credit risk posed by industry concentration is offset by the diversification and creditworthiness of its customer base. See Note 6,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for a further discussion of derivative concentrations and Note 11,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for concentration of counterparties.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carrying amount of cash and cash equivalents, restricted cash, accounts receivable, accounts payable, intercompany accounts payable and receivable, and accrued expenses and other liabilities approximate fair value because of the short-term maturity of these instruments. See Note 6,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Financial Instruments, </w:t>
      </w:r>
      <w:r>
        <w:rPr>
          <w:rFonts w:ascii="Arial" w:cs="Arial" w:eastAsia="Arial" w:hAnsi="Arial"/>
          <w:sz w:val="18"/>
          <w:szCs w:val="18"/>
          <w:color w:val="auto"/>
        </w:rPr>
        <w:t>for a further discussion of fair value of financial instruments.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Asset retirement obligations, or AROs, are accounted for in accordance with ASC 410-20, </w:t>
      </w:r>
      <w:r>
        <w:rPr>
          <w:rFonts w:ascii="Arial" w:cs="Arial" w:eastAsia="Arial" w:hAnsi="Arial"/>
          <w:sz w:val="18"/>
          <w:szCs w:val="18"/>
          <w:i w:val="1"/>
          <w:iCs w:val="1"/>
          <w:color w:val="auto"/>
        </w:rPr>
        <w:t>Asset Retirement Obligations,</w:t>
      </w:r>
      <w:r>
        <w:rPr>
          <w:rFonts w:ascii="Arial" w:cs="Arial" w:eastAsia="Arial" w:hAnsi="Arial"/>
          <w:sz w:val="18"/>
          <w:szCs w:val="18"/>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Upon initial recognition of a liability for an ARO,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asset retirement obligations were $39 million and $29 million as of December 31, 2015, and 2014, respectively. The Company records AROs as part of other non-current liabilities on its balance sheet.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enters into various contracts that include indemnification and guarantee provisions as a routine part of its business activities. Examples of these contracts include EPC agreements,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it may not be able to estimate what the liability would be, until a claim is made for payment or performance, due to the contingent nature of these contracts.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88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Investments Accounted for by the Equity Method</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has investments in nine energy projects accounted for by the equity method, three of which are VIEs, where the Company is not a primary beneficiary, and two of which are owned by a subsidiary that is consolidated as a VIE, as described in Note 5, </w:t>
      </w:r>
      <w:r>
        <w:rPr>
          <w:rFonts w:ascii="Arial" w:cs="Arial" w:eastAsia="Arial" w:hAnsi="Arial"/>
          <w:sz w:val="18"/>
          <w:szCs w:val="18"/>
          <w:i w:val="1"/>
          <w:iCs w:val="1"/>
          <w:color w:val="auto"/>
        </w:rPr>
        <w:t>Investments Accounted for by the</w:t>
      </w:r>
      <w:r>
        <w:rPr>
          <w:rFonts w:ascii="Arial" w:cs="Arial" w:eastAsia="Arial" w:hAnsi="Arial"/>
          <w:sz w:val="18"/>
          <w:szCs w:val="18"/>
          <w:color w:val="auto"/>
        </w:rPr>
        <w:t xml:space="preserve"> </w:t>
      </w:r>
      <w:r>
        <w:rPr>
          <w:rFonts w:ascii="Arial" w:cs="Arial" w:eastAsia="Arial" w:hAnsi="Arial"/>
          <w:sz w:val="18"/>
          <w:szCs w:val="18"/>
          <w:i w:val="1"/>
          <w:iCs w:val="1"/>
          <w:color w:val="auto"/>
        </w:rPr>
        <w:t>Equity Method and Variable Interest Entities</w:t>
      </w:r>
      <w:r>
        <w:rPr>
          <w:rFonts w:ascii="Arial" w:cs="Arial" w:eastAsia="Arial" w:hAnsi="Arial"/>
          <w:sz w:val="18"/>
          <w:szCs w:val="18"/>
          <w:color w:val="auto"/>
        </w:rPr>
        <w:t>. The equity method of accounting is applied to these investments in affiliates because the ownership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prevents the Company from exercising a controlling influence over the operating and financial policies of the projects. Under this method, equity in pre-tax income or losses of the investments is reflected as equity in earnings of unconsolidated affiliates.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Leaseback Arrangements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The Company is party to sale-leaseback arrangements that provide for the sale of certain assets to a third party and simultaneous leaseback to the Company. In accordance with ASC 840-40, </w:t>
      </w:r>
      <w:r>
        <w:rPr>
          <w:rFonts w:ascii="Arial" w:cs="Arial" w:eastAsia="Arial" w:hAnsi="Arial"/>
          <w:sz w:val="16"/>
          <w:szCs w:val="16"/>
          <w:i w:val="1"/>
          <w:iCs w:val="1"/>
          <w:color w:val="auto"/>
        </w:rPr>
        <w:t>Sale-Leaseback Transactions</w:t>
      </w:r>
      <w:r>
        <w:rPr>
          <w:rFonts w:ascii="Arial" w:cs="Arial" w:eastAsia="Arial" w:hAnsi="Arial"/>
          <w:sz w:val="16"/>
          <w:szCs w:val="16"/>
          <w:color w:val="auto"/>
        </w:rPr>
        <w:t>, if the seller-lessee retains, through the leaseback, substantially all of the benefits and risks incident to the ownership of the property sold, the sale-leaseback transaction 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10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accounts for its business combinations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or ASC 805. ASC 805 requires an acquirer to recognize and measure in its financial statements the identifiable assets acquired, the liabilities assumed, and any noncontrolling interest in the acquiree at fair value at the acquisition date. It also recognizes and measures the goodwill acquired or a gain from a bargain purchase in the business combination and determines what information to disclose to enable users of an entity's financial statements to evaluate the nature and financial effects of the business combination. In addition, transaction costs are expensed as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and assumptions. These estimates and assumptions impact the reported amount of assets and liabilities and disclosures of contingent assets and liabilities as of the date of the consolidated financial statements. They also impact the reported amount of net earnings during the reporting period. Actual results could be different from these estimates.</w:t>
      </w:r>
    </w:p>
    <w:p>
      <w:pPr>
        <w:spacing w:after="0" w:line="13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recording transactions and balances resulting from business operations, the Company uses estimates based on the best information available. Estimates are used for such items as plant depreciable lives, uncollectible accounts, environmental liabilities, acquisition accounting and legal costs incurred in connection with recorded loss contingencies, among others. As better information becomes available or actual amounts are determinable, the recorded estimates are revised. Consequently, operating results can be affected by revisions to prior accounting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Equity Arrangements</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Certain portions of the Company’s noncontrolling interests in subsidiaries represent third-party interests in the net assets under certain tax equity arrangements, which are consolidated by the Company, that have been entered into to finance the cost of wind facilities eligible for certain tax credits. Additionally, certain portions of the Company’s investments in unconsolidated affiliates reflect the Company’s interests in tax equity arrangements, that are not consolidated by the Company, that have been entered into to finance the cost of distributed solar energy systems under operating leases or PPAs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hypothetical liquidation at book value, or HLBV, method. Under the HLBV method, the amounts reported as noncontrolling interests and investment in unconsolidated affiliates represent the amounts the investors to the tax equity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881" w:right="239" w:bottom="1440" w:gutter="0" w:footer="0" w:header="0"/>
        </w:sectPr>
      </w:pPr>
    </w:p>
    <w:bookmarkStart w:id="74" w:name="page75"/>
    <w:bookmarkEnd w:id="74"/>
    <w:p>
      <w:pPr>
        <w:jc w:val="both"/>
        <w:spacing w:after="0" w:line="276" w:lineRule="auto"/>
        <w:rPr>
          <w:sz w:val="20"/>
          <w:szCs w:val="20"/>
          <w:color w:val="auto"/>
        </w:rPr>
      </w:pPr>
      <w:r>
        <w:rPr>
          <w:rFonts w:ascii="Arial" w:cs="Arial" w:eastAsia="Arial" w:hAnsi="Arial"/>
          <w:sz w:val="17"/>
          <w:szCs w:val="17"/>
          <w:color w:val="auto"/>
        </w:rPr>
        <w:t>arrangements would hypothetically receive at each balance sheet date under the liquidation provisions of the contractual agreements, assuming the net assets of the funding structures were liquidated at their recorded amounts determined in accordance with U.S. GAAP. The investors’ interests in the results of operations of the funding structures are determined as the difference in noncontrolling interests and investment in unconsolidated affiliates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prior year amounts have been reclassified for comparative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ASU 2016-01 </w:t>
      </w:r>
      <w:r>
        <w:rPr>
          <w:rFonts w:ascii="Arial" w:cs="Arial" w:eastAsia="Arial" w:hAnsi="Arial"/>
          <w:sz w:val="18"/>
          <w:szCs w:val="18"/>
          <w:color w:val="auto"/>
        </w:rPr>
        <w:t>— In January 2016, the FASB issued ASU No. 2016-01,</w:t>
      </w:r>
      <w:r>
        <w:rPr>
          <w:rFonts w:ascii="Arial" w:cs="Arial" w:eastAsia="Arial" w:hAnsi="Arial"/>
          <w:sz w:val="18"/>
          <w:szCs w:val="18"/>
          <w:i w:val="1"/>
          <w:iCs w:val="1"/>
          <w:color w:val="auto"/>
        </w:rPr>
        <w:t xml:space="preserve"> Financial Instruments - Overall (Subtopic 825-10): Recognition and Measurement of Financial Assets and Financial Liabilities</w:t>
      </w:r>
      <w:r>
        <w:rPr>
          <w:rFonts w:ascii="Arial" w:cs="Arial" w:eastAsia="Arial" w:hAnsi="Arial"/>
          <w:sz w:val="18"/>
          <w:szCs w:val="18"/>
          <w:color w:val="auto"/>
        </w:rPr>
        <w:t>, or ASU No. 2016-01. The amendments of ASU No. 2016-01 eliminate available-for-sale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equity investments and require that equity investments (except those accounted for under the equity method of accounting, or those that result in consolidation of the investee) to be generally measured at fair value with changes in fair value recognized in net income. Further, the amendments require that financial assets and financial liabilities to be presented separately in the notes to the financial statements, grouped by measurement category and form of financial asset. The guidance in ASU No. 2016-01 is effective for financial statements issued for fiscal years beginning after December 15, 2017, and interim periods within those annual periods. The Company is currently evaluating the impact of the standard on the Company's results of operations, cash flows and financial position.</w:t>
      </w:r>
    </w:p>
    <w:p>
      <w:pPr>
        <w:spacing w:after="0" w:line="13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i w:val="1"/>
          <w:iCs w:val="1"/>
          <w:color w:val="auto"/>
        </w:rPr>
        <w:t xml:space="preserve">ASU 2015-16 </w:t>
      </w:r>
      <w:r>
        <w:rPr>
          <w:rFonts w:ascii="Arial" w:cs="Arial" w:eastAsia="Arial" w:hAnsi="Arial"/>
          <w:sz w:val="16"/>
          <w:szCs w:val="16"/>
          <w:color w:val="auto"/>
        </w:rPr>
        <w:t>— In September 2015, the FASB issued ASU No. 2015-16,</w:t>
      </w:r>
      <w:r>
        <w:rPr>
          <w:rFonts w:ascii="Arial" w:cs="Arial" w:eastAsia="Arial" w:hAnsi="Arial"/>
          <w:sz w:val="16"/>
          <w:szCs w:val="16"/>
          <w:i w:val="1"/>
          <w:iCs w:val="1"/>
          <w:color w:val="auto"/>
        </w:rPr>
        <w:t xml:space="preserve"> Business Combinations (Topic 805): Simplifying the Accounting for Measurement-Period Adjustments</w:t>
      </w:r>
      <w:r>
        <w:rPr>
          <w:rFonts w:ascii="Arial" w:cs="Arial" w:eastAsia="Arial" w:hAnsi="Arial"/>
          <w:sz w:val="16"/>
          <w:szCs w:val="16"/>
          <w:color w:val="auto"/>
        </w:rPr>
        <w:t>, or ASU No. 2015-16. The amendments of ASU No. 2015-16 require that an acquirer recognize measurement period</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the provisional amounts recognized in a business combination in the reporting period during which the adjustments are determined. Additionally, the amendments of ASU No. 2015-16 require the acquirer to record in the same period's financial statements the effect on earnings of changes in depreciation, amortization or other income effects, if any, as a result of the measurement period adjustment, calculated as if the accounting had been completed at the acquisition date as well as disclosing on either the face of the income statement or in the notes the portion of the amount recorded in current period earnings that would have been recorded in previous reporting periods. The guidance in ASU No. 2015-16 is effective for financial statements issued for fiscal years beginning after December 15, 2015, and interim periods within those fiscal years. The amendments should be applied prospectively. The adoption of this standard is not expected to have a material impact on the Company's results of operations, cash flows or financial position.</w:t>
      </w:r>
    </w:p>
    <w:p>
      <w:pPr>
        <w:spacing w:after="0" w:line="11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i w:val="1"/>
          <w:iCs w:val="1"/>
          <w:color w:val="auto"/>
        </w:rPr>
        <w:t xml:space="preserve">ASU 2015-03 and ASU 2015-15 </w:t>
      </w:r>
      <w:r>
        <w:rPr>
          <w:rFonts w:ascii="Arial" w:cs="Arial" w:eastAsia="Arial" w:hAnsi="Arial"/>
          <w:sz w:val="17"/>
          <w:szCs w:val="17"/>
          <w:color w:val="auto"/>
        </w:rPr>
        <w:t>— In April 2015, the FASB issued ASU No. 2015-03,</w:t>
      </w:r>
      <w:r>
        <w:rPr>
          <w:rFonts w:ascii="Arial" w:cs="Arial" w:eastAsia="Arial" w:hAnsi="Arial"/>
          <w:sz w:val="17"/>
          <w:szCs w:val="17"/>
          <w:i w:val="1"/>
          <w:iCs w:val="1"/>
          <w:color w:val="auto"/>
        </w:rPr>
        <w:t xml:space="preserve"> Interest - Imputation of Interest (Subtopic 835-30): Simplifying the Presentation of Debt Issuance Costs</w:t>
      </w:r>
      <w:r>
        <w:rPr>
          <w:rFonts w:ascii="Arial" w:cs="Arial" w:eastAsia="Arial" w:hAnsi="Arial"/>
          <w:sz w:val="17"/>
          <w:szCs w:val="17"/>
          <w:color w:val="auto"/>
        </w:rPr>
        <w:t>, or ASU No. 2015-03. The amendments of ASU No. 2015-03 were issued to reduce complexity in the balance sheet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presentation of debt issuance costs. ASU No. 2015-03 requires that debt issuance costs be presented in the balance sheet as a direct deduction from the carrying amount of debt liability, consistent with debt discounts or premiums. The recognition and measurement guidance for debt issuance costs are not affected by the amendments in this standard. Additionally, in August 2015, the FASB issued ASU No. 2015-15, </w:t>
      </w:r>
      <w:r>
        <w:rPr>
          <w:rFonts w:ascii="Arial" w:cs="Arial" w:eastAsia="Arial" w:hAnsi="Arial"/>
          <w:sz w:val="17"/>
          <w:szCs w:val="17"/>
          <w:i w:val="1"/>
          <w:iCs w:val="1"/>
          <w:color w:val="auto"/>
        </w:rPr>
        <w:t>Interest - Imputation of Interest (Subtopic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835-30): Presentation and Subsequent Measurement of Debt Issuance Costs Associated with Line-of-Credit Arrangements, </w:t>
      </w:r>
      <w:r>
        <w:rPr>
          <w:rFonts w:ascii="Arial" w:cs="Arial" w:eastAsia="Arial" w:hAnsi="Arial"/>
          <w:sz w:val="17"/>
          <w:szCs w:val="17"/>
          <w:color w:val="auto"/>
        </w:rPr>
        <w:t>or ASU No. 2015-15, as ASU No.</w:t>
      </w:r>
      <w:r>
        <w:rPr>
          <w:rFonts w:ascii="Arial" w:cs="Arial" w:eastAsia="Arial" w:hAnsi="Arial"/>
          <w:sz w:val="17"/>
          <w:szCs w:val="17"/>
          <w:i w:val="1"/>
          <w:iCs w:val="1"/>
          <w:color w:val="auto"/>
        </w:rPr>
        <w:t xml:space="preserve"> </w:t>
      </w:r>
      <w:r>
        <w:rPr>
          <w:rFonts w:ascii="Arial" w:cs="Arial" w:eastAsia="Arial" w:hAnsi="Arial"/>
          <w:sz w:val="17"/>
          <w:szCs w:val="17"/>
          <w:color w:val="auto"/>
        </w:rPr>
        <w:t>2015-03 did not specifically address presentation or subsequent measurement of debt issuance costs related to line-of-credit arrangements. ASU No. 2015-15 allows an entity to continue to defer and present debt issuance costs ratably over the term of the line-of-credit arrangement, regardless of whether there are any outstanding borrowings on the line-of-credit arrangement. The guidance in ASU No. 2015-03 and ASU No. 2015-15 is effective for financial statements issued for fiscal years beginning after December 15, 2015, and interim periods within those fiscal years. Early adoption is permitted for financial statements that have not been previously issued. The Company adopted ASU No. 2015-03 for the year ended December 31, 2015, which resulted in decreases to other assets and debt of $50 million and $58 million as of December 31, 2015, and December 31, 2014, respectively. The adoption of this standard had no impact on the Company's results of operations, cash flows or net assets.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882" w:right="239" w:bottom="1440" w:gutter="0" w:footer="0" w:header="0"/>
        </w:sectPr>
      </w:pPr>
    </w:p>
    <w:bookmarkStart w:id="75" w:name="page76"/>
    <w:bookmarkEnd w:id="75"/>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ASU 2015-02 </w:t>
      </w:r>
      <w:r>
        <w:rPr>
          <w:rFonts w:ascii="Arial" w:cs="Arial" w:eastAsia="Arial" w:hAnsi="Arial"/>
          <w:sz w:val="18"/>
          <w:szCs w:val="18"/>
          <w:color w:val="auto"/>
        </w:rPr>
        <w:t>— In February 2015, the FASB issued ASU No. 2015-02,</w:t>
      </w:r>
      <w:r>
        <w:rPr>
          <w:rFonts w:ascii="Arial" w:cs="Arial" w:eastAsia="Arial" w:hAnsi="Arial"/>
          <w:sz w:val="18"/>
          <w:szCs w:val="18"/>
          <w:i w:val="1"/>
          <w:iCs w:val="1"/>
          <w:color w:val="auto"/>
        </w:rPr>
        <w:t xml:space="preserve"> Consolidation (Topic 810): Amendments to the Consolidation Analysis</w:t>
      </w:r>
      <w:r>
        <w:rPr>
          <w:rFonts w:ascii="Arial" w:cs="Arial" w:eastAsia="Arial" w:hAnsi="Arial"/>
          <w:sz w:val="18"/>
          <w:szCs w:val="18"/>
          <w:color w:val="auto"/>
        </w:rPr>
        <w:t>, or ASU</w:t>
      </w:r>
      <w:r>
        <w:rPr>
          <w:rFonts w:ascii="Arial" w:cs="Arial" w:eastAsia="Arial" w:hAnsi="Arial"/>
          <w:sz w:val="18"/>
          <w:szCs w:val="18"/>
          <w:i w:val="1"/>
          <w:iCs w:val="1"/>
          <w:color w:val="auto"/>
        </w:rPr>
        <w:t xml:space="preserve"> </w:t>
      </w:r>
      <w:r>
        <w:rPr>
          <w:rFonts w:ascii="Arial" w:cs="Arial" w:eastAsia="Arial" w:hAnsi="Arial"/>
          <w:sz w:val="18"/>
          <w:szCs w:val="18"/>
          <w:color w:val="auto"/>
        </w:rPr>
        <w:t>No. 2015-02. The amendments of ASU No. 2015-02 were issued in an effort to minimize situations under previously existing guidance in which a reporting entity was required to consolidate another legal entity in which that reporting entity did not have: (1) the ability through contractual rights to act primarily on its own behalf; (2) ownership of the majority of the legal entity's voting rights; or (3) the exposure to a majority of the legal entity's economic benefits. ASU No. 2015-02 affects reporting entities that are required to evaluate whether they should consolidate certain legal entities. All legal entities are subject to reevaluation under the revised consolidation model. The guidance in ASU No. 2015-02 is effective for periods beginning after December 15, 2015. Early adoption is permitted. The Company adopted the standard effective January 1, 2015 and the adoption of this standard did not impact the Company's results of operations, cash flows or financial position.</w:t>
      </w:r>
    </w:p>
    <w:p>
      <w:pPr>
        <w:spacing w:after="0" w:line="13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ASU 2014-16 </w:t>
      </w:r>
      <w:r>
        <w:rPr>
          <w:rFonts w:ascii="Arial" w:cs="Arial" w:eastAsia="Arial" w:hAnsi="Arial"/>
          <w:sz w:val="16"/>
          <w:szCs w:val="16"/>
          <w:color w:val="auto"/>
        </w:rPr>
        <w:t>- In November 2014, the FASB issued ASU No. 2014-16,</w:t>
      </w:r>
      <w:r>
        <w:rPr>
          <w:rFonts w:ascii="Arial" w:cs="Arial" w:eastAsia="Arial" w:hAnsi="Arial"/>
          <w:sz w:val="16"/>
          <w:szCs w:val="16"/>
          <w:i w:val="1"/>
          <w:iCs w:val="1"/>
          <w:color w:val="auto"/>
        </w:rPr>
        <w:t xml:space="preserve"> Derivatives and Hedging (Topic 815): Determining Whether the Host Contract in a Hybrid Financial Instrument Issued in the Form of a Share Is More Akin to Debt or to Equity</w:t>
      </w:r>
      <w:r>
        <w:rPr>
          <w:rFonts w:ascii="Arial" w:cs="Arial" w:eastAsia="Arial" w:hAnsi="Arial"/>
          <w:sz w:val="16"/>
          <w:szCs w:val="16"/>
          <w:color w:val="auto"/>
        </w:rPr>
        <w:t>, or ASU No. 2014-16. The amendments of ASU No. 2014-16 clarify how U.S. GAAP should be applied in determining whether the nature of a host contract is more akin to debt or equity and in evaluating whether the economic characteristics and risks of an embedded feature are "clearly and closely related" to its host contract. The guidance in ASU No. 2014-16 is effective for fiscal years, and interim periods within those fiscal years, beginning after December 15, 2015. Early adoption is permitted. The Company adopted the standard effective January 1, 2015 and the adoption of this standard did not impact the Company's results of operations, cash flows or financial position.</w:t>
      </w:r>
    </w:p>
    <w:p>
      <w:pPr>
        <w:spacing w:after="0" w:line="11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i w:val="1"/>
          <w:iCs w:val="1"/>
          <w:color w:val="auto"/>
        </w:rPr>
        <w:t xml:space="preserve">ASU 2014-09 </w:t>
      </w:r>
      <w:r>
        <w:rPr>
          <w:rFonts w:ascii="Arial" w:cs="Arial" w:eastAsia="Arial" w:hAnsi="Arial"/>
          <w:sz w:val="17"/>
          <w:szCs w:val="17"/>
          <w:color w:val="auto"/>
        </w:rPr>
        <w:t>- In May 2014, the FASB issued ASU No. 2014-09, Revenue from Contracts with Customers (Topic 606), or ASU No. 2014-09.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of ASU No. 2014-09 complete the joint effort between the FASB and the International Accounting Standards Board, or IASB, to develop a common revenue standard for U.S. GAAP and International Financial Reporting Standards, or IFRS, and to improve financial reporting. The guidance in ASU No. 2014-09 provides that an entity should recognize revenue to depict the transfer of goods or services to customers in an amount that reflects the consideration to which the entity expects to be entitled to in exchange for the goods or services provided and establishes the following steps to be applied by an entity: (1) identify the contract with a customer; (2) identify the performance obligations in the contract; (3) determine the transaction price; (4) allocate the transaction price to the performance obligations in the contract; and (5) recognize revenue when (or as) the entity satisfies the performance obligation. In August 2015, the FASB issued ASU 2015-14, which formally deferred the effective date by one year to make the guidance of ASU No. 2014-09 effective for annual reporting periods beginning after December 15, 2017, including interim reports therein. Early adoption is permitted, but not prior to the original effective date, which was for annual reporting periods beginning after December 15, 2016. The Company is currently evaluating the impact of the standard on the Company's results of operations, cash flows and financial position.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November 2015 Drop Down Assets from NRG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November 3, 2015, the Company acquired 75% of the Class B interests of NRG Wind TE Holdco, or the November 2015 Drop Down Assets, which owns a portfolio of 12 wind facilities totaling 814 net MW, from NRG for cash consideration of $209 million, subject to working capital adjustments. In February 2016, NRG made a final working capital payment of $2 million, reducing total cash consideration to $207 million. The Company is responsible for its pro-rata share of non-recourse project debt of $193 million and noncontrolling interest associated with a tax equity structure of $159 million (as of the acquisition date).</w:t>
      </w:r>
    </w:p>
    <w:p>
      <w:pPr>
        <w:spacing w:after="0" w:line="9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The Company funded the acquisition with borrowings from its revolving credit facility. The assets and liabilities transferred to the Company relate to interests under common control by NRG and were recorded at historical cost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difference between the cash paid and historical value of the entities' equity was recorded as a distribution from NRG with the offset to contributed capital. Because the transaction constituted a transfer of net assets under common control, the guidance requires retrospective combination of the entities for all periods presented as if the combination has been in effect since the inception of common control.</w:t>
      </w:r>
    </w:p>
    <w:p>
      <w:pPr>
        <w:spacing w:after="0" w:line="7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Class A interests of NRG Wind TE Holdco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8.53%. The Company generally receives 75% of CAFD until the flip point, at which time the allocations to the Company of CAFD change to 68.60%. If the flip point has not occurred by a specified date, 100% of CAFD is allocated to the TE Investor until the flip point occurs. NRG Wind TE Holdco is a VIE and the Company is the primary beneficiary, through its position as managing member, and consolidates NRG Wind TE Holdco.</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882" w:right="239" w:bottom="1440" w:gutter="0" w:footer="0" w:header="0"/>
        </w:sectPr>
      </w:pPr>
    </w:p>
    <w:bookmarkStart w:id="76" w:name="page77"/>
    <w:bookmarkEnd w:id="76"/>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November 3, 2015:</w:t>
      </w:r>
    </w:p>
    <w:p>
      <w:pPr>
        <w:spacing w:after="0" w:line="352" w:lineRule="exact"/>
        <w:rPr>
          <w:sz w:val="20"/>
          <w:szCs w:val="20"/>
          <w:color w:val="auto"/>
        </w:rPr>
      </w:pPr>
    </w:p>
    <w:tbl>
      <w:tblPr>
        <w:tblLayout w:type="fixed"/>
        <w:tblInd w:w="134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NRG Wind TE Holdco</w:t>
            </w:r>
          </w:p>
        </w:tc>
      </w:tr>
      <w:tr>
        <w:trPr>
          <w:trHeight w:val="250"/>
        </w:trPr>
        <w:tc>
          <w:tcPr>
            <w:tcW w:w="6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57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21"/>
                <w:szCs w:val="21"/>
                <w:color w:val="auto"/>
              </w:rPr>
            </w:pP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669</w:t>
            </w:r>
          </w:p>
        </w:tc>
      </w:tr>
      <w:tr>
        <w:trPr>
          <w:trHeight w:val="27"/>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r>
      <w:tr>
        <w:trPr>
          <w:trHeight w:val="237"/>
        </w:trPr>
        <w:tc>
          <w:tcPr>
            <w:tcW w:w="67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876</w:t>
            </w:r>
          </w:p>
        </w:tc>
      </w:tr>
      <w:tr>
        <w:trPr>
          <w:trHeight w:val="27"/>
        </w:trPr>
        <w:tc>
          <w:tcPr>
            <w:tcW w:w="6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399"/>
        </w:trPr>
        <w:tc>
          <w:tcPr>
            <w:tcW w:w="6720" w:type="dxa"/>
            <w:vAlign w:val="bottom"/>
          </w:tcPr>
          <w:p>
            <w:pPr>
              <w:ind w:left="2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24"/>
                <w:szCs w:val="24"/>
                <w:color w:val="auto"/>
              </w:rPr>
            </w:pP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193</w:t>
            </w:r>
          </w:p>
        </w:tc>
      </w:tr>
      <w:tr>
        <w:trPr>
          <w:trHeight w:val="27"/>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r>
      <w:tr>
        <w:trPr>
          <w:trHeight w:val="237"/>
        </w:trPr>
        <w:tc>
          <w:tcPr>
            <w:tcW w:w="67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225</w:t>
            </w:r>
          </w:p>
        </w:tc>
      </w:tr>
      <w:tr>
        <w:trPr>
          <w:trHeight w:val="27"/>
        </w:trPr>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noncontrolling interest</w:t>
            </w:r>
          </w:p>
        </w:tc>
        <w:tc>
          <w:tcPr>
            <w:tcW w:w="2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r>
      <w:tr>
        <w:trPr>
          <w:trHeight w:val="257"/>
        </w:trPr>
        <w:tc>
          <w:tcPr>
            <w:tcW w:w="6720" w:type="dxa"/>
            <w:vAlign w:val="bottom"/>
          </w:tcPr>
          <w:p>
            <w:pPr>
              <w:ind w:left="380"/>
              <w:spacing w:after="0"/>
              <w:rPr>
                <w:sz w:val="20"/>
                <w:szCs w:val="20"/>
                <w:color w:val="auto"/>
              </w:rPr>
            </w:pPr>
            <w:r>
              <w:rPr>
                <w:rFonts w:ascii="Arial" w:cs="Arial" w:eastAsia="Arial" w:hAnsi="Arial"/>
                <w:sz w:val="18"/>
                <w:szCs w:val="18"/>
                <w:color w:val="auto"/>
              </w:rPr>
              <w:t>Net assets acquired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369</w:t>
            </w:r>
          </w:p>
        </w:tc>
      </w:tr>
      <w:tr>
        <w:trPr>
          <w:trHeight w:val="20"/>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presents the historical information summary combining the financial information for the November 2015 Drop Down Assets transferred in connection with the acquisition:</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Arial" w:cs="Arial" w:eastAsia="Arial" w:hAnsi="Arial"/>
                <w:sz w:val="16"/>
                <w:szCs w:val="16"/>
                <w:b w:val="1"/>
                <w:bCs w:val="1"/>
                <w:color w:val="auto"/>
                <w:w w:val="98"/>
              </w:rPr>
              <w:t>December 31, 2014</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5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31"/>
        </w:trPr>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As Previously Reported</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NRG Wind TE Holdco</w:t>
            </w:r>
          </w:p>
        </w:tc>
        <w:tc>
          <w:tcPr>
            <w:tcW w:w="340" w:type="dxa"/>
            <w:vAlign w:val="bottom"/>
          </w:tcPr>
          <w:p>
            <w:pPr>
              <w:spacing w:after="0"/>
              <w:rPr>
                <w:sz w:val="20"/>
                <w:szCs w:val="20"/>
                <w:color w:val="auto"/>
              </w:rPr>
            </w:pPr>
          </w:p>
        </w:tc>
        <w:tc>
          <w:tcPr>
            <w:tcW w:w="18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8"/>
              </w:rPr>
              <w:t>As Currently Reported</w:t>
            </w:r>
          </w:p>
        </w:tc>
      </w:tr>
      <w:tr>
        <w:trPr>
          <w:trHeight w:val="33"/>
        </w:trPr>
        <w:tc>
          <w:tcPr>
            <w:tcW w:w="5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5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w:t>
            </w:r>
          </w:p>
        </w:tc>
      </w:tr>
      <w:tr>
        <w:trPr>
          <w:trHeight w:val="237"/>
        </w:trPr>
        <w:tc>
          <w:tcPr>
            <w:tcW w:w="524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4,466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709</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5,175</w:t>
            </w:r>
          </w:p>
        </w:tc>
      </w:tr>
      <w:tr>
        <w:trPr>
          <w:trHeight w:val="3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1,712</w:t>
            </w:r>
          </w:p>
        </w:tc>
        <w:tc>
          <w:tcPr>
            <w:tcW w:w="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1"/>
                <w:szCs w:val="11"/>
                <w:color w:val="auto"/>
                <w:w w:val="88"/>
              </w:rPr>
              <w:t>(a)</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1,896</w:t>
            </w:r>
          </w:p>
        </w:tc>
      </w:tr>
      <w:tr>
        <w:trPr>
          <w:trHeight w:val="217"/>
        </w:trPr>
        <w:tc>
          <w:tcPr>
            <w:tcW w:w="524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1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6,768</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959</w:t>
            </w:r>
          </w:p>
        </w:tc>
        <w:tc>
          <w:tcPr>
            <w:tcW w:w="3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7,727</w:t>
            </w:r>
          </w:p>
        </w:tc>
      </w:tr>
      <w:tr>
        <w:trPr>
          <w:trHeight w:val="33"/>
        </w:trPr>
        <w:tc>
          <w:tcPr>
            <w:tcW w:w="5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15"/>
        </w:trPr>
        <w:tc>
          <w:tcPr>
            <w:tcW w:w="5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43"/>
        </w:trPr>
        <w:tc>
          <w:tcPr>
            <w:tcW w:w="5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6"/>
                <w:szCs w:val="16"/>
                <w:color w:val="auto"/>
              </w:rPr>
              <w:t>Debt</w:t>
            </w:r>
          </w:p>
        </w:tc>
        <w:tc>
          <w:tcPr>
            <w:tcW w:w="1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4,740</w:t>
            </w:r>
          </w:p>
        </w:tc>
        <w:tc>
          <w:tcPr>
            <w:tcW w:w="440" w:type="dxa"/>
            <w:vAlign w:val="bottom"/>
            <w:gridSpan w:val="2"/>
          </w:tcPr>
          <w:p>
            <w:pPr>
              <w:jc w:val="right"/>
              <w:ind w:right="300"/>
              <w:spacing w:after="0"/>
              <w:rPr>
                <w:sz w:val="20"/>
                <w:szCs w:val="20"/>
                <w:color w:val="auto"/>
              </w:rPr>
            </w:pPr>
            <w:r>
              <w:rPr>
                <w:rFonts w:ascii="Arial" w:cs="Arial" w:eastAsia="Arial" w:hAnsi="Arial"/>
                <w:sz w:val="11"/>
                <w:szCs w:val="11"/>
                <w:color w:val="auto"/>
                <w:w w:val="88"/>
              </w:rPr>
              <w:t>(a)</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4,938</w:t>
            </w:r>
          </w:p>
        </w:tc>
      </w:tr>
      <w:tr>
        <w:trPr>
          <w:trHeight w:val="3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and non-current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r>
      <w:tr>
        <w:trPr>
          <w:trHeight w:val="217"/>
        </w:trPr>
        <w:tc>
          <w:tcPr>
            <w:tcW w:w="52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5,032</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219</w:t>
            </w:r>
          </w:p>
        </w:tc>
        <w:tc>
          <w:tcPr>
            <w:tcW w:w="3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5,251</w:t>
            </w:r>
          </w:p>
        </w:tc>
      </w:tr>
      <w:tr>
        <w:trPr>
          <w:trHeight w:val="33"/>
        </w:trPr>
        <w:tc>
          <w:tcPr>
            <w:tcW w:w="5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740</w:t>
            </w:r>
          </w:p>
        </w:tc>
        <w:tc>
          <w:tcPr>
            <w:tcW w:w="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4" w:lineRule="exact"/>
        <w:rPr>
          <w:sz w:val="20"/>
          <w:szCs w:val="20"/>
          <w:color w:val="auto"/>
        </w:rPr>
      </w:pPr>
    </w:p>
    <w:p>
      <w:pPr>
        <w:ind w:left="160" w:hanging="152"/>
        <w:spacing w:after="0"/>
        <w:tabs>
          <w:tab w:leader="none" w:pos="1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to reclassify deferred financing costs in accordance with ASU 2015-03 as further discussed in Note 2, </w:t>
      </w:r>
      <w:r>
        <w:rPr>
          <w:rFonts w:ascii="Arial" w:cs="Arial" w:eastAsia="Arial" w:hAnsi="Arial"/>
          <w:sz w:val="14"/>
          <w:szCs w:val="14"/>
          <w:i w:val="1"/>
          <w:iCs w:val="1"/>
          <w:color w:val="auto"/>
        </w:rPr>
        <w:t>Summary of Significant Accounting Policies.</w:t>
      </w:r>
    </w:p>
    <w:p>
      <w:pPr>
        <w:spacing w:after="0" w:line="10" w:lineRule="exact"/>
        <w:rPr>
          <w:rFonts w:ascii="Arial" w:cs="Arial" w:eastAsia="Arial" w:hAnsi="Arial"/>
          <w:sz w:val="18"/>
          <w:szCs w:val="18"/>
          <w:color w:val="auto"/>
          <w:vertAlign w:val="superscript"/>
        </w:rPr>
      </w:pPr>
    </w:p>
    <w:p>
      <w:pPr>
        <w:ind w:right="40" w:firstLine="8"/>
        <w:spacing w:after="0"/>
        <w:tabs>
          <w:tab w:leader="none" w:pos="153" w:val="left"/>
        </w:tabs>
        <w:numPr>
          <w:ilvl w:val="0"/>
          <w:numId w:val="40"/>
        </w:numPr>
        <w:rPr>
          <w:rFonts w:ascii="Arial" w:cs="Arial" w:eastAsia="Arial" w:hAnsi="Arial"/>
          <w:sz w:val="17"/>
          <w:szCs w:val="17"/>
          <w:color w:val="auto"/>
          <w:vertAlign w:val="superscript"/>
        </w:rPr>
      </w:pPr>
      <w:r>
        <w:rPr>
          <w:rFonts w:ascii="Arial" w:cs="Arial" w:eastAsia="Arial" w:hAnsi="Arial"/>
          <w:sz w:val="13"/>
          <w:szCs w:val="13"/>
          <w:color w:val="auto"/>
        </w:rPr>
        <w:t>Net Assets for NRG Wind TE Holdco as of December 31, 2014, includes noncontrolling interest of $199 million attributable to the TE Investor and $135 million attributable to NRG.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881" w:right="239" w:bottom="1440" w:gutter="0" w:footer="0" w:header="0"/>
        </w:sectPr>
      </w:pPr>
    </w:p>
    <w:bookmarkStart w:id="77" w:name="page78"/>
    <w:bookmarkEnd w:id="77"/>
    <w:tbl>
      <w:tblPr>
        <w:tblLayout w:type="fixed"/>
        <w:tblInd w:w="26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gridSpan w:val="6"/>
          </w:tcPr>
          <w:p>
            <w:pPr>
              <w:jc w:val="center"/>
              <w:ind w:left="179"/>
              <w:spacing w:after="0"/>
              <w:rPr>
                <w:sz w:val="20"/>
                <w:szCs w:val="20"/>
                <w:color w:val="auto"/>
              </w:rPr>
            </w:pPr>
            <w:r>
              <w:rPr>
                <w:rFonts w:ascii="Arial" w:cs="Arial" w:eastAsia="Arial" w:hAnsi="Arial"/>
                <w:sz w:val="16"/>
                <w:szCs w:val="16"/>
                <w:b w:val="1"/>
                <w:bCs w:val="1"/>
                <w:color w:val="auto"/>
                <w:w w:val="90"/>
              </w:rPr>
              <w:t>Year ended December 31, 2014</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1"/>
        </w:trPr>
        <w:tc>
          <w:tcPr>
            <w:tcW w:w="5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As Previously Reported</w:t>
            </w:r>
          </w:p>
        </w:tc>
        <w:tc>
          <w:tcPr>
            <w:tcW w:w="20" w:type="dxa"/>
            <w:vAlign w:val="bottom"/>
          </w:tcPr>
          <w:p>
            <w:pPr>
              <w:spacing w:after="0"/>
              <w:rPr>
                <w:sz w:val="20"/>
                <w:szCs w:val="20"/>
                <w:color w:val="auto"/>
              </w:rPr>
            </w:pP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NRG Wind TE Holdco</w:t>
            </w:r>
          </w:p>
        </w:tc>
        <w:tc>
          <w:tcPr>
            <w:tcW w:w="1820" w:type="dxa"/>
            <w:vAlign w:val="bottom"/>
            <w:gridSpan w:val="3"/>
          </w:tcPr>
          <w:p>
            <w:pPr>
              <w:ind w:left="140"/>
              <w:spacing w:after="0"/>
              <w:rPr>
                <w:sz w:val="20"/>
                <w:szCs w:val="20"/>
                <w:color w:val="auto"/>
              </w:rPr>
            </w:pPr>
            <w:r>
              <w:rPr>
                <w:rFonts w:ascii="Arial" w:cs="Arial" w:eastAsia="Arial" w:hAnsi="Arial"/>
                <w:sz w:val="16"/>
                <w:szCs w:val="16"/>
                <w:b w:val="1"/>
                <w:bCs w:val="1"/>
                <w:color w:val="auto"/>
                <w:w w:val="97"/>
              </w:rPr>
              <w:t>As Currently Reported</w:t>
            </w:r>
          </w:p>
        </w:tc>
      </w:tr>
      <w:tr>
        <w:trPr>
          <w:trHeight w:val="33"/>
        </w:trPr>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operating revenues</w:t>
            </w:r>
          </w:p>
        </w:tc>
        <w:tc>
          <w:tcPr>
            <w:tcW w:w="740" w:type="dxa"/>
            <w:vAlign w:val="bottom"/>
            <w:tcBorders>
              <w:bottom w:val="single" w:sz="8" w:color="CCEEFF"/>
            </w:tcBorders>
            <w:shd w:val="clear" w:color="auto" w:fill="CCEEFF"/>
          </w:tcPr>
          <w:p>
            <w:pPr>
              <w:jc w:val="right"/>
              <w:ind w:right="56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82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548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7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8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20" w:type="dxa"/>
            <w:vAlign w:val="bottom"/>
          </w:tcPr>
          <w:p>
            <w:pPr>
              <w:spacing w:after="0"/>
              <w:rPr>
                <w:sz w:val="20"/>
                <w:szCs w:val="20"/>
                <w:color w:val="auto"/>
              </w:rPr>
            </w:pPr>
          </w:p>
        </w:tc>
      </w:tr>
      <w:tr>
        <w:trPr>
          <w:trHeight w:val="33"/>
        </w:trPr>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494"/>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gridSpan w:val="6"/>
          </w:tcPr>
          <w:p>
            <w:pPr>
              <w:jc w:val="center"/>
              <w:ind w:left="179"/>
              <w:spacing w:after="0"/>
              <w:rPr>
                <w:sz w:val="20"/>
                <w:szCs w:val="20"/>
                <w:color w:val="auto"/>
              </w:rPr>
            </w:pPr>
            <w:r>
              <w:rPr>
                <w:rFonts w:ascii="Arial" w:cs="Arial" w:eastAsia="Arial" w:hAnsi="Arial"/>
                <w:sz w:val="16"/>
                <w:szCs w:val="16"/>
                <w:b w:val="1"/>
                <w:bCs w:val="1"/>
                <w:color w:val="auto"/>
                <w:w w:val="90"/>
              </w:rPr>
              <w:t>Year ended December 31, 2013</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5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5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As Previously Reported</w:t>
            </w:r>
          </w:p>
        </w:tc>
        <w:tc>
          <w:tcPr>
            <w:tcW w:w="20" w:type="dxa"/>
            <w:vAlign w:val="bottom"/>
          </w:tcPr>
          <w:p>
            <w:pPr>
              <w:spacing w:after="0"/>
              <w:rPr>
                <w:sz w:val="20"/>
                <w:szCs w:val="20"/>
                <w:color w:val="auto"/>
              </w:rPr>
            </w:pP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NRG Wind TE Holdco</w:t>
            </w:r>
          </w:p>
        </w:tc>
        <w:tc>
          <w:tcPr>
            <w:tcW w:w="1820" w:type="dxa"/>
            <w:vAlign w:val="bottom"/>
            <w:gridSpan w:val="3"/>
          </w:tcPr>
          <w:p>
            <w:pPr>
              <w:ind w:left="140"/>
              <w:spacing w:after="0"/>
              <w:rPr>
                <w:sz w:val="20"/>
                <w:szCs w:val="20"/>
                <w:color w:val="auto"/>
              </w:rPr>
            </w:pPr>
            <w:r>
              <w:rPr>
                <w:rFonts w:ascii="Arial" w:cs="Arial" w:eastAsia="Arial" w:hAnsi="Arial"/>
                <w:sz w:val="16"/>
                <w:szCs w:val="16"/>
                <w:b w:val="1"/>
                <w:bCs w:val="1"/>
                <w:color w:val="auto"/>
                <w:w w:val="97"/>
              </w:rPr>
              <w:t>As Currently Reported</w:t>
            </w:r>
          </w:p>
        </w:tc>
      </w:tr>
      <w:tr>
        <w:trPr>
          <w:trHeight w:val="33"/>
        </w:trPr>
        <w:tc>
          <w:tcPr>
            <w:tcW w:w="5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revenues</w:t>
            </w:r>
          </w:p>
        </w:tc>
        <w:tc>
          <w:tcPr>
            <w:tcW w:w="740" w:type="dxa"/>
            <w:vAlign w:val="bottom"/>
            <w:tcBorders>
              <w:bottom w:val="single" w:sz="8" w:color="CCEEFF"/>
            </w:tcBorders>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82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w:t>
            </w:r>
          </w:p>
        </w:tc>
        <w:tc>
          <w:tcPr>
            <w:tcW w:w="20" w:type="dxa"/>
            <w:vAlign w:val="bottom"/>
          </w:tcPr>
          <w:p>
            <w:pPr>
              <w:spacing w:after="0"/>
              <w:rPr>
                <w:sz w:val="21"/>
                <w:szCs w:val="21"/>
                <w:color w:val="auto"/>
              </w:rPr>
            </w:pPr>
          </w:p>
        </w:tc>
      </w:tr>
      <w:tr>
        <w:trPr>
          <w:trHeight w:val="237"/>
        </w:trPr>
        <w:tc>
          <w:tcPr>
            <w:tcW w:w="548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7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8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20" w:type="dxa"/>
            <w:vAlign w:val="bottom"/>
          </w:tcPr>
          <w:p>
            <w:pPr>
              <w:spacing w:after="0"/>
              <w:rPr>
                <w:sz w:val="20"/>
                <w:szCs w:val="20"/>
                <w:color w:val="auto"/>
              </w:rPr>
            </w:pPr>
          </w:p>
        </w:tc>
      </w:tr>
      <w:tr>
        <w:trPr>
          <w:trHeight w:val="33"/>
        </w:trPr>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7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20" w:type="dxa"/>
            <w:vAlign w:val="bottom"/>
          </w:tcPr>
          <w:p>
            <w:pPr>
              <w:spacing w:after="0"/>
              <w:rPr>
                <w:sz w:val="20"/>
                <w:szCs w:val="20"/>
                <w:color w:val="auto"/>
              </w:rPr>
            </w:pPr>
          </w:p>
        </w:tc>
      </w:tr>
      <w:tr>
        <w:trPr>
          <w:trHeight w:val="33"/>
        </w:trPr>
        <w:tc>
          <w:tcPr>
            <w:tcW w:w="5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Supplemental Pro Forma Information</w:t>
      </w:r>
    </w:p>
    <w:p>
      <w:pPr>
        <w:spacing w:after="0" w:line="1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described above, the Company's acquisition of the November 2015 Drop Down Assets was accounted for as a transfer of entities under common control. The following unaudited supplemental pro forma information represents the results of operations as if the Company had acquired the November 2015 Drop Down Assets on January 1, 2014, including the impact of acquisition accounting with respect to NRG's acquisition of the projects, all of which were acquired by NRG on April 1, 2014, except for Elbow Creek.</w:t>
      </w:r>
    </w:p>
    <w:p>
      <w:pPr>
        <w:spacing w:after="0" w:line="23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320" w:type="dxa"/>
            <w:vAlign w:val="bottom"/>
          </w:tcPr>
          <w:p>
            <w:pPr>
              <w:spacing w:after="0"/>
              <w:rPr>
                <w:sz w:val="14"/>
                <w:szCs w:val="14"/>
                <w:color w:val="auto"/>
              </w:rPr>
            </w:pPr>
          </w:p>
        </w:tc>
        <w:tc>
          <w:tcPr>
            <w:tcW w:w="1960" w:type="dxa"/>
            <w:vAlign w:val="bottom"/>
          </w:tcPr>
          <w:p>
            <w:pPr>
              <w:jc w:val="right"/>
              <w:ind w:right="59"/>
              <w:spacing w:after="0"/>
              <w:rPr>
                <w:sz w:val="20"/>
                <w:szCs w:val="20"/>
                <w:color w:val="auto"/>
              </w:rPr>
            </w:pPr>
            <w:r>
              <w:rPr>
                <w:rFonts w:ascii="Arial" w:cs="Arial" w:eastAsia="Arial" w:hAnsi="Arial"/>
                <w:sz w:val="14"/>
                <w:szCs w:val="14"/>
                <w:b w:val="1"/>
                <w:bCs w:val="1"/>
                <w:color w:val="auto"/>
                <w:w w:val="91"/>
              </w:rPr>
              <w:t>For the year ended December</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31, 2014</w:t>
            </w:r>
          </w:p>
        </w:tc>
        <w:tc>
          <w:tcPr>
            <w:tcW w:w="0" w:type="dxa"/>
            <w:vAlign w:val="bottom"/>
          </w:tcPr>
          <w:p>
            <w:pPr>
              <w:spacing w:after="0"/>
              <w:rPr>
                <w:sz w:val="1"/>
                <w:szCs w:val="1"/>
                <w:color w:val="auto"/>
              </w:rPr>
            </w:pPr>
          </w:p>
        </w:tc>
      </w:tr>
      <w:tr>
        <w:trPr>
          <w:trHeight w:val="378"/>
        </w:trPr>
        <w:tc>
          <w:tcPr>
            <w:tcW w:w="364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3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36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Since the acquisition date, the November 2015 Drop Down Assets contributed $14 million in operating revenues and $1 million in net income.</w:t>
      </w:r>
    </w:p>
    <w:p>
      <w:pPr>
        <w:spacing w:after="0" w:line="138"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i w:val="1"/>
          <w:iCs w:val="1"/>
          <w:color w:val="auto"/>
        </w:rPr>
        <w:t xml:space="preserve">Desert Sunlight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June 29, 2015, the Company acquired 25% of the membership interest in Desert Sunlight Investment Holdings, LLC,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owns two solar photovoltaic facilities that total 550 MW, located in Desert Center, California from EFS Desert Sun, LLC, an affiliate of GE Energy Financial Services for a purchase price of $285 million. Power generated by the facilities is sold to Southern California Edison and Pacific Gas and Electric under long-term PPAs with approximately 20 years and 25 years of remaining contract life, respectively. The Company accounts for its 25% investment as an equity method investment.</w:t>
      </w:r>
    </w:p>
    <w:p>
      <w:pPr>
        <w:spacing w:after="0" w:line="8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Spring Canyon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May 7, 2015, the Company acquired a 90.1% interest in Spring Canyon II, a 32 MW wind facility, and Spring Canyon III, a 28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MW wind facility, each located in Logan County, Colorado, from Invenergy Wind Global LLC. The purchase price was funded with cash on hand. Power generated by Spring Canyon II and Spring Canyon III is sold to Platte River Power Authority under long-term PPAs, each with approximately 24 years of remaining contract life.</w:t>
      </w:r>
    </w:p>
    <w:p>
      <w:pPr>
        <w:spacing w:after="0" w:line="86"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University of Bridgeport Fuel Cell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30, 2015, the Company completed the acquisition of the University of Bridgeport Fuel Cell project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Bridgeport, Connecticut from FuelCell Energy, Inc. The project added an additional 1.4 MW of thermal capacity to the Company's portfolio, with a 12-year contract, with the option for a 7-year extension. The acquisition is reflected in the Company's Thermal segment.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057" w:right="239" w:bottom="1440" w:gutter="0" w:footer="0" w:header="0"/>
        </w:sectPr>
      </w:pPr>
    </w:p>
    <w:bookmarkStart w:id="78" w:name="page79"/>
    <w:bookmarkEnd w:id="78"/>
    <w:p>
      <w:pPr>
        <w:jc w:val="both"/>
        <w:ind w:firstLine="405"/>
        <w:spacing w:after="0" w:line="289" w:lineRule="auto"/>
        <w:rPr>
          <w:sz w:val="20"/>
          <w:szCs w:val="20"/>
          <w:color w:val="auto"/>
        </w:rPr>
      </w:pPr>
      <w:r>
        <w:rPr>
          <w:rFonts w:ascii="Arial" w:cs="Arial" w:eastAsia="Arial" w:hAnsi="Arial"/>
          <w:sz w:val="16"/>
          <w:szCs w:val="16"/>
          <w:b w:val="1"/>
          <w:bCs w:val="1"/>
          <w:i w:val="1"/>
          <w:iCs w:val="1"/>
          <w:color w:val="auto"/>
        </w:rPr>
        <w:t xml:space="preserve">January 2015 Drop Down Assets from NRG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January 2, 2015, the Company acquired the following projects from NRG: (i) Laredo Ridge, an 80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MW wind facility located in Petersburg, Nebraska, (ii) Tapestry, which includes Buffalo Bear, a 19 MW wind facility in Buffalo, Oklahoma; Taloga, a 130 MW wind facility in Putnam, Oklahoma; and Pinnacle, a 55 MW wind facility in Keyser, West Virginia, and (iii) Walnut Creek, a 485 MW natural gas facility located in City of Industry, California, for total cash consideration of $489 million, including $9 million for working capital, plus assumed project-level debt of $737 million. The Company funded the acquisition with cash on hand and drawings under its revolving credit facility. 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 Related Issues</w:t>
      </w:r>
      <w:r>
        <w:rPr>
          <w:rFonts w:ascii="Arial" w:cs="Arial" w:eastAsia="Arial" w:hAnsi="Arial"/>
          <w:sz w:val="16"/>
          <w:szCs w:val="16"/>
          <w:color w:val="auto"/>
        </w:rPr>
        <w:t>. The difference between the cash paid and the historical value of the entities' equity of $61 million, as well as $23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AOCL, was recorded as a distribution to NRG and reduced the balance of its contributed capital. Since the transaction constituted a transfer of assets under common control, the guidance requires retrospective combination of the entities for all periods presented as if the combination has been in effect since the inception of common control. NRG acquired the majority of EME's assets, including Laredo Ridge, Tapestry and Walnut Creek, on April 1, 2014.</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Supplemental Pro Forma Information</w:t>
      </w:r>
    </w:p>
    <w:p>
      <w:pPr>
        <w:spacing w:after="0" w:line="13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described above, the Company's acquisition of the January 2015 Drop Down Assets was accounted for as a transfer of entities under common control and all periods were retrospectively adjusted to reflect the entities as if they were transferred on the date the entities were under common control, which was April 1, 2014, the date NRG acquired Walnut Creek, Laredo Ridge and Tapestry. The following unaudited supplemental pro forma information represents the results of operations as if the Company had acquired the January 2015 Drop Down Assets on January 1, 2014, including the impact of acquisition accounting with respect to NRG's acquisition of the projects.</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320" w:type="dxa"/>
            <w:vAlign w:val="bottom"/>
          </w:tcPr>
          <w:p>
            <w:pPr>
              <w:spacing w:after="0"/>
              <w:rPr>
                <w:sz w:val="14"/>
                <w:szCs w:val="14"/>
                <w:color w:val="auto"/>
              </w:rPr>
            </w:pPr>
          </w:p>
        </w:tc>
        <w:tc>
          <w:tcPr>
            <w:tcW w:w="1960" w:type="dxa"/>
            <w:vAlign w:val="bottom"/>
          </w:tcPr>
          <w:p>
            <w:pPr>
              <w:jc w:val="right"/>
              <w:ind w:right="59"/>
              <w:spacing w:after="0"/>
              <w:rPr>
                <w:sz w:val="20"/>
                <w:szCs w:val="20"/>
                <w:color w:val="auto"/>
              </w:rPr>
            </w:pPr>
            <w:r>
              <w:rPr>
                <w:rFonts w:ascii="Arial" w:cs="Arial" w:eastAsia="Arial" w:hAnsi="Arial"/>
                <w:sz w:val="14"/>
                <w:szCs w:val="14"/>
                <w:b w:val="1"/>
                <w:bCs w:val="1"/>
                <w:color w:val="auto"/>
                <w:w w:val="91"/>
              </w:rPr>
              <w:t>For the year ended December</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31, 2014</w:t>
            </w:r>
          </w:p>
        </w:tc>
        <w:tc>
          <w:tcPr>
            <w:tcW w:w="0" w:type="dxa"/>
            <w:vAlign w:val="bottom"/>
          </w:tcPr>
          <w:p>
            <w:pPr>
              <w:spacing w:after="0"/>
              <w:rPr>
                <w:sz w:val="1"/>
                <w:szCs w:val="1"/>
                <w:color w:val="auto"/>
              </w:rPr>
            </w:pPr>
          </w:p>
        </w:tc>
      </w:tr>
      <w:tr>
        <w:trPr>
          <w:trHeight w:val="378"/>
        </w:trPr>
        <w:tc>
          <w:tcPr>
            <w:tcW w:w="364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3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6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Since the acquisition date, the January 2015 Drop Down Assets contributed $144 million in operating revenues and $44 million in net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Acquisitions</w:t>
      </w:r>
    </w:p>
    <w:p>
      <w:pPr>
        <w:spacing w:after="0" w:line="12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Alta Wind Portfolio Acquisition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12, 2014, the Company acquired 100% of the membership interests of Alta Wind Asset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Holdings, LLC, Alta Wind Company, LLC, Alta Wind X Holding Company, LLC and Alta Wind XI Holding Company, LLC, which collectively own seven wind facilities that total 947 MW located in Tehachapi, California and a portfolio of associated land leases, or the Alta Wind Portfolio. Power generated by the Alta Wind Portfolio is sold to Southern California Edison under long-term PPAs with 21 years of remaining contract life for Alta I-V. The Alta Wind X and XI PPAs began in 2016 with a term of 22 years and sold energy and renewable energy credits on a merchant basis during the years ending December 31, 2014, and 2015.</w:t>
      </w:r>
    </w:p>
    <w:p>
      <w:pPr>
        <w:spacing w:after="0" w:line="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purchase price for the Alta Wind Portfolio was $923 million, which consisted of a base purchase price of $870 million, as well as a payment for working capital of $53 million, plus the assumption of $1.6 billion of non-recourse project-level debt. In order to fund the purchase price, the Company completed an equity offering of 12,075,000 shares of its Class A common stock at an offering price of $54.00 per share on July 29, 2014, which resulted in net proceeds of $630 million, after underwriting discounts and expenses. In addition, on August 5, 2014, NRG Yield Operating LLC issued $500 million of Senior Notes, which bear interest at a rate of 5.375% and mature in August 2024.</w:t>
      </w:r>
    </w:p>
    <w:p>
      <w:pPr>
        <w:spacing w:after="0" w:line="9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acquisition was recorded as a business combination under ASC 805-50, with identifiable assets acquired and liabilities assumed provisionally recorded at their estimated fair values on the acquisition date. The accounting for the business combination was completed as of August 11, 2015, at which point the fair values became final. The following table summarizes the provisional amounts recognized for assets acquired and liabilities assumed as of December 31, 2014, as well as adjustments made through August 11, 2015, when the allocation became final.</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877" w:right="239" w:bottom="1440" w:gutter="0" w:footer="0" w:header="0"/>
        </w:sectPr>
      </w:pPr>
    </w:p>
    <w:bookmarkStart w:id="79" w:name="page80"/>
    <w:bookmarkEnd w:id="79"/>
    <w:p>
      <w:pPr>
        <w:ind w:left="420"/>
        <w:spacing w:after="0"/>
        <w:rPr>
          <w:sz w:val="20"/>
          <w:szCs w:val="20"/>
          <w:color w:val="auto"/>
        </w:rPr>
      </w:pPr>
      <w:r>
        <w:rPr>
          <w:rFonts w:ascii="Arial" w:cs="Arial" w:eastAsia="Arial" w:hAnsi="Arial"/>
          <w:sz w:val="18"/>
          <w:szCs w:val="18"/>
          <w:color w:val="auto"/>
        </w:rPr>
        <w:t>The purchase price of $923 million was allocated as follows:</w:t>
      </w:r>
    </w:p>
    <w:p>
      <w:pPr>
        <w:spacing w:after="0" w:line="272"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Acquisition Date Fair</w:t>
            </w:r>
          </w:p>
        </w:tc>
        <w:tc>
          <w:tcPr>
            <w:tcW w:w="15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Measurement period</w:t>
            </w:r>
          </w:p>
        </w:tc>
        <w:tc>
          <w:tcPr>
            <w:tcW w:w="142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7"/>
              </w:rPr>
              <w:t>Revised Acquisition</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Value at December 31,</w:t>
            </w:r>
          </w:p>
        </w:tc>
        <w:tc>
          <w:tcPr>
            <w:tcW w:w="1520" w:type="dxa"/>
            <w:vAlign w:val="bottom"/>
            <w:gridSpan w:val="3"/>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adjustments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6"/>
        </w:trPr>
        <w:tc>
          <w:tcPr>
            <w:tcW w:w="4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(In millions)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Current and non-current assets</w:t>
            </w: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acquired</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324"/>
        </w:trPr>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and non-current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Total liabilities assumed</w:t>
            </w: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assets acquired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incurred and expensed acquisition-related transaction costs related to the acquisition of the Alta Wind Portfolio of $2 million for the year ended December 31, 2014.</w:t>
      </w:r>
    </w:p>
    <w:p>
      <w:pPr>
        <w:spacing w:after="0" w:line="7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i w:val="1"/>
          <w:iCs w:val="1"/>
          <w:color w:val="auto"/>
        </w:rPr>
        <w:t xml:space="preserve">June 2014 Drop Down Assets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June 30, 2014, the Company acquired from NRG: (i) El Segundo, a 550 MW fast-start, gas-fired facility located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Los Angeles County, California; (ii) TA High Desert, a 20 MW solar facility located in Los Angeles County, California; and (iii) Kansas South, a 20 MW solar facility located in Kings County, California. The Company paid total cash consideration of $357 million, which represents a base purchase price of $349 million and $8 million of working capital adjustments. In addition, the acquisition included the assumption of $612 million of project- level debt. The assets and liabilities transferred to the Company relate to interests under common control by NRG and were recorded at historical cost in accordance with </w:t>
      </w:r>
      <w:r>
        <w:rPr>
          <w:rFonts w:ascii="Arial" w:cs="Arial" w:eastAsia="Arial" w:hAnsi="Arial"/>
          <w:sz w:val="17"/>
          <w:szCs w:val="17"/>
          <w:i w:val="1"/>
          <w:iCs w:val="1"/>
          <w:color w:val="auto"/>
        </w:rPr>
        <w:t>ASC 805-50</w:t>
      </w:r>
      <w:r>
        <w:rPr>
          <w:rFonts w:ascii="Arial" w:cs="Arial" w:eastAsia="Arial" w:hAnsi="Arial"/>
          <w:sz w:val="17"/>
          <w:szCs w:val="17"/>
          <w:color w:val="auto"/>
        </w:rPr>
        <w:t>. The difference between the cash proceeds and the historical value of the net assets was recorded as a distribution to NRG and reduced the balance of its</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contributed capital. Since the transaction constituted a transfer of entities under common control, the guidance requires retrospective combination of the entities for all periods presented as if the combination has been in effect since the beginning of the financial statements period or the inception of common control (if later than the beginning of the financial statements period). Accordingly, the Company prepared its consolidated financial statements to reflect the transfer as if it had taken place from the beginning of the financial statements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Acquisitions</w:t>
      </w:r>
    </w:p>
    <w:p>
      <w:pPr>
        <w:spacing w:after="0" w:line="12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Energy Systems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December 31, 2013, NRG Energy Center Omaha Holdings, LLC, an indirect wholly owned subsidiary of NRG Yield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acquired Energy Systems Company, or Energy Systems, for approximately $120 million. The acquisition was financed using cash on hand. Energy Systems is an operator of steam and chilled water thermal facilities that provides heating and cooling services to nonresidential customers in Omaha, Nebraska. The acquisition was recorded as a business combination under ASC 805, with identifiable assets acquired and liabilities assumed recorded at their fair values. The purchase price was primarily allocated to property, plant and equipment of $60 million, customer relationships of $59 million, and $1 million of working capital.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881"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4 — Property, Plant and Equipment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major classes of property, plant, and equipment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31, 2014</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Depreciable Lives</w:t>
            </w:r>
          </w:p>
        </w:tc>
      </w:tr>
      <w:tr>
        <w:trPr>
          <w:trHeight w:val="264"/>
        </w:trPr>
        <w:tc>
          <w:tcPr>
            <w:tcW w:w="6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140" w:type="dxa"/>
            <w:vAlign w:val="bottom"/>
            <w:gridSpan w:val="4"/>
          </w:tcPr>
          <w:p>
            <w:pPr>
              <w:jc w:val="right"/>
              <w:ind w:right="1173"/>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and equipment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2 - 40 Years</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5,757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r>
      <w:tr>
        <w:trPr>
          <w:trHeight w:val="257"/>
        </w:trPr>
        <w:tc>
          <w:tcPr>
            <w:tcW w:w="6400" w:type="dxa"/>
            <w:vAlign w:val="bottom"/>
          </w:tcPr>
          <w:p>
            <w:pPr>
              <w:ind w:left="28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Investments Accounted for by the Equity Method and Variable Interest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equity method investments as of December 31, 2015:</w:t>
      </w:r>
    </w:p>
    <w:p>
      <w:pPr>
        <w:spacing w:after="0" w:line="239"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6040" w:type="dxa"/>
            <w:vAlign w:val="bottom"/>
            <w:gridSpan w:val="2"/>
          </w:tcPr>
          <w:p>
            <w:pPr>
              <w:ind w:left="2760"/>
              <w:spacing w:after="0"/>
              <w:rPr>
                <w:sz w:val="20"/>
                <w:szCs w:val="20"/>
                <w:color w:val="auto"/>
              </w:rPr>
            </w:pPr>
            <w:r>
              <w:rPr>
                <w:rFonts w:ascii="Arial" w:cs="Arial" w:eastAsia="Arial" w:hAnsi="Arial"/>
                <w:sz w:val="16"/>
                <w:szCs w:val="16"/>
                <w:b w:val="1"/>
                <w:bCs w:val="1"/>
                <w:color w:val="auto"/>
              </w:rPr>
              <w:t>Name</w:t>
            </w:r>
          </w:p>
        </w:tc>
        <w:tc>
          <w:tcPr>
            <w:tcW w:w="2520" w:type="dxa"/>
            <w:vAlign w:val="bottom"/>
            <w:gridSpan w:val="2"/>
          </w:tcPr>
          <w:p>
            <w:pPr>
              <w:ind w:left="580"/>
              <w:spacing w:after="0"/>
              <w:rPr>
                <w:sz w:val="20"/>
                <w:szCs w:val="20"/>
                <w:color w:val="auto"/>
              </w:rPr>
            </w:pPr>
            <w:r>
              <w:rPr>
                <w:rFonts w:ascii="Arial" w:cs="Arial" w:eastAsia="Arial" w:hAnsi="Arial"/>
                <w:sz w:val="16"/>
                <w:szCs w:val="16"/>
                <w:b w:val="1"/>
                <w:bCs w:val="1"/>
                <w:color w:val="auto"/>
              </w:rPr>
              <w:t>Economic Interest</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0"/>
              </w:rPr>
              <w:t>Investment Balance</w:t>
            </w:r>
          </w:p>
        </w:tc>
      </w:tr>
      <w:tr>
        <w:trPr>
          <w:trHeight w:val="33"/>
        </w:trPr>
        <w:tc>
          <w:tcPr>
            <w:tcW w:w="5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1"/>
        </w:trPr>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5"/>
              </w:rPr>
              <w:t>(In millions)</w:t>
            </w:r>
          </w:p>
        </w:tc>
      </w:tr>
      <w:tr>
        <w:trPr>
          <w:trHeight w:val="33"/>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Desert Sunlight</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291</w:t>
            </w:r>
          </w:p>
        </w:tc>
      </w:tr>
      <w:tr>
        <w:trPr>
          <w:trHeight w:val="270"/>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GenConn</w:t>
            </w:r>
            <w:r>
              <w:rPr>
                <w:rFonts w:ascii="Arial" w:cs="Arial" w:eastAsia="Arial" w:hAnsi="Arial"/>
                <w:sz w:val="21"/>
                <w:szCs w:val="21"/>
                <w:color w:val="auto"/>
                <w:vertAlign w:val="superscript"/>
              </w:rPr>
              <w:t>(a)(b)</w:t>
            </w: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50%</w:t>
            </w:r>
          </w:p>
        </w:tc>
        <w:tc>
          <w:tcPr>
            <w:tcW w:w="1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110</w:t>
            </w:r>
          </w:p>
        </w:tc>
      </w:tr>
      <w:tr>
        <w:trPr>
          <w:trHeight w:val="25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CVSR</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48.95%</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101</w:t>
            </w:r>
          </w:p>
        </w:tc>
      </w:tr>
      <w:tr>
        <w:trPr>
          <w:trHeight w:val="270"/>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Elkhorn Ridge</w:t>
            </w:r>
            <w:r>
              <w:rPr>
                <w:rFonts w:ascii="Arial" w:cs="Arial" w:eastAsia="Arial" w:hAnsi="Arial"/>
                <w:sz w:val="21"/>
                <w:szCs w:val="21"/>
                <w:color w:val="auto"/>
                <w:vertAlign w:val="superscript"/>
              </w:rPr>
              <w:t>(c)</w:t>
            </w:r>
          </w:p>
        </w:tc>
        <w:tc>
          <w:tcPr>
            <w:tcW w:w="2420" w:type="dxa"/>
            <w:vAlign w:val="bottom"/>
          </w:tcPr>
          <w:p>
            <w:pPr>
              <w:jc w:val="center"/>
              <w:spacing w:after="0"/>
              <w:rPr>
                <w:sz w:val="20"/>
                <w:szCs w:val="20"/>
                <w:color w:val="auto"/>
              </w:rPr>
            </w:pPr>
            <w:r>
              <w:rPr>
                <w:rFonts w:ascii="Arial" w:cs="Arial" w:eastAsia="Arial" w:hAnsi="Arial"/>
                <w:sz w:val="16"/>
                <w:szCs w:val="16"/>
                <w:color w:val="auto"/>
                <w:w w:val="92"/>
              </w:rPr>
              <w:t>50.3%</w:t>
            </w:r>
          </w:p>
        </w:tc>
        <w:tc>
          <w:tcPr>
            <w:tcW w:w="1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96</w:t>
            </w:r>
          </w:p>
        </w:tc>
      </w:tr>
      <w:tr>
        <w:trPr>
          <w:trHeight w:val="27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San Juan Mesa</w:t>
            </w:r>
            <w:r>
              <w:rPr>
                <w:rFonts w:ascii="Arial" w:cs="Arial" w:eastAsia="Arial" w:hAnsi="Arial"/>
                <w:sz w:val="21"/>
                <w:szCs w:val="21"/>
                <w:color w:val="auto"/>
                <w:vertAlign w:val="superscript"/>
              </w:rPr>
              <w:t>(c)</w:t>
            </w:r>
          </w:p>
        </w:tc>
        <w:tc>
          <w:tcPr>
            <w:tcW w:w="2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56.3%</w:t>
            </w: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80</w:t>
            </w:r>
          </w:p>
        </w:tc>
      </w:tr>
      <w:tr>
        <w:trPr>
          <w:trHeight w:val="270"/>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NRG DGPV Holdco 1 LLC</w:t>
            </w:r>
            <w:r>
              <w:rPr>
                <w:rFonts w:ascii="Arial" w:cs="Arial" w:eastAsia="Arial" w:hAnsi="Arial"/>
                <w:sz w:val="21"/>
                <w:szCs w:val="21"/>
                <w:color w:val="auto"/>
                <w:vertAlign w:val="superscript"/>
              </w:rPr>
              <w:t>(d)</w:t>
            </w: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95%</w:t>
            </w:r>
          </w:p>
        </w:tc>
        <w:tc>
          <w:tcPr>
            <w:tcW w:w="1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71</w:t>
            </w:r>
          </w:p>
        </w:tc>
      </w:tr>
      <w:tr>
        <w:trPr>
          <w:trHeight w:val="27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NRG RPV Holdco 1 LLC</w:t>
            </w:r>
            <w:r>
              <w:rPr>
                <w:rFonts w:ascii="Arial" w:cs="Arial" w:eastAsia="Arial" w:hAnsi="Arial"/>
                <w:sz w:val="21"/>
                <w:szCs w:val="21"/>
                <w:color w:val="auto"/>
                <w:vertAlign w:val="superscript"/>
              </w:rPr>
              <w:t>(e)</w:t>
            </w:r>
          </w:p>
        </w:tc>
        <w:tc>
          <w:tcPr>
            <w:tcW w:w="2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95%</w:t>
            </w: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w:t>
            </w:r>
          </w:p>
        </w:tc>
      </w:tr>
      <w:tr>
        <w:trPr>
          <w:trHeight w:val="311"/>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Avenal</w:t>
            </w:r>
            <w:r>
              <w:rPr>
                <w:rFonts w:ascii="Arial" w:cs="Arial" w:eastAsia="Arial" w:hAnsi="Arial"/>
                <w:sz w:val="21"/>
                <w:szCs w:val="21"/>
                <w:color w:val="auto"/>
                <w:vertAlign w:val="superscript"/>
              </w:rPr>
              <w:t>(b)</w:t>
            </w: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50%</w:t>
            </w:r>
          </w:p>
        </w:tc>
        <w:tc>
          <w:tcPr>
            <w:tcW w:w="1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91"/>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136525</wp:posOffset>
            </wp:positionV>
            <wp:extent cx="13893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39" w:lineRule="exact"/>
        <w:rPr>
          <w:sz w:val="20"/>
          <w:szCs w:val="20"/>
          <w:color w:val="auto"/>
        </w:rPr>
      </w:pPr>
    </w:p>
    <w:p>
      <w:pPr>
        <w:ind w:left="340" w:hanging="170"/>
        <w:spacing w:after="0"/>
        <w:tabs>
          <w:tab w:leader="none" w:pos="340" w:val="left"/>
        </w:tabs>
        <w:numPr>
          <w:ilvl w:val="0"/>
          <w:numId w:val="41"/>
        </w:numPr>
        <w:rPr>
          <w:rFonts w:ascii="Arial" w:cs="Arial" w:eastAsia="Arial" w:hAnsi="Arial"/>
          <w:sz w:val="11"/>
          <w:szCs w:val="11"/>
          <w:color w:val="auto"/>
        </w:rPr>
      </w:pPr>
      <w:r>
        <w:rPr>
          <w:rFonts w:ascii="Arial" w:cs="Arial" w:eastAsia="Arial" w:hAnsi="Arial"/>
          <w:sz w:val="16"/>
          <w:szCs w:val="16"/>
          <w:color w:val="auto"/>
        </w:rPr>
        <w:t>GenConn is a variable interest entity.</w:t>
      </w:r>
    </w:p>
    <w:p>
      <w:pPr>
        <w:spacing w:after="0" w:line="5" w:lineRule="exact"/>
        <w:rPr>
          <w:rFonts w:ascii="Arial" w:cs="Arial" w:eastAsia="Arial" w:hAnsi="Arial"/>
          <w:sz w:val="11"/>
          <w:szCs w:val="11"/>
          <w:color w:val="auto"/>
        </w:rPr>
      </w:pPr>
    </w:p>
    <w:p>
      <w:pPr>
        <w:ind w:left="320" w:hanging="150"/>
        <w:spacing w:after="0" w:line="229" w:lineRule="auto"/>
        <w:tabs>
          <w:tab w:leader="none" w:pos="320" w:val="left"/>
        </w:tabs>
        <w:numPr>
          <w:ilvl w:val="0"/>
          <w:numId w:val="41"/>
        </w:numPr>
        <w:rPr>
          <w:rFonts w:ascii="Arial" w:cs="Arial" w:eastAsia="Arial" w:hAnsi="Arial"/>
          <w:sz w:val="11"/>
          <w:szCs w:val="11"/>
          <w:color w:val="auto"/>
        </w:rPr>
      </w:pPr>
      <w:r>
        <w:rPr>
          <w:rFonts w:ascii="Arial" w:cs="Arial" w:eastAsia="Arial" w:hAnsi="Arial"/>
          <w:sz w:val="16"/>
          <w:szCs w:val="16"/>
          <w:color w:val="auto"/>
        </w:rPr>
        <w:t>The Company's interest in GenConn and Avenal increased from 49.95% to 50% on September 30, 2015.</w:t>
      </w:r>
    </w:p>
    <w:p>
      <w:pPr>
        <w:ind w:left="180" w:right="20" w:hanging="10"/>
        <w:spacing w:after="0" w:line="220" w:lineRule="auto"/>
        <w:tabs>
          <w:tab w:leader="none" w:pos="340" w:val="left"/>
        </w:tabs>
        <w:numPr>
          <w:ilvl w:val="0"/>
          <w:numId w:val="41"/>
        </w:numPr>
        <w:rPr>
          <w:rFonts w:ascii="Arial" w:cs="Arial" w:eastAsia="Arial" w:hAnsi="Arial"/>
          <w:sz w:val="11"/>
          <w:szCs w:val="11"/>
          <w:color w:val="auto"/>
        </w:rPr>
      </w:pPr>
      <w:r>
        <w:rPr>
          <w:rFonts w:ascii="Arial" w:cs="Arial" w:eastAsia="Arial" w:hAnsi="Arial"/>
          <w:sz w:val="16"/>
          <w:szCs w:val="16"/>
          <w:color w:val="auto"/>
        </w:rPr>
        <w:t>San Juan Mesa and Elkhorn Ridge are part of the TE Wind Holdco tax equity structure, as described below. San Juan Mesa and Elkhorn Ridge are owned 75% and 66.7%, respectively, by TE Wind Holdco. The Company owns 75% of the Class B interests in TE Wind Holdco.</w:t>
      </w:r>
    </w:p>
    <w:p>
      <w:pPr>
        <w:ind w:left="320" w:hanging="150"/>
        <w:spacing w:after="0" w:line="229" w:lineRule="auto"/>
        <w:tabs>
          <w:tab w:leader="none" w:pos="320" w:val="left"/>
        </w:tabs>
        <w:numPr>
          <w:ilvl w:val="0"/>
          <w:numId w:val="41"/>
        </w:numPr>
        <w:rPr>
          <w:rFonts w:ascii="Arial" w:cs="Arial" w:eastAsia="Arial" w:hAnsi="Arial"/>
          <w:sz w:val="11"/>
          <w:szCs w:val="11"/>
          <w:color w:val="auto"/>
        </w:rPr>
      </w:pPr>
      <w:r>
        <w:rPr>
          <w:rFonts w:ascii="Arial" w:cs="Arial" w:eastAsia="Arial" w:hAnsi="Arial"/>
          <w:sz w:val="16"/>
          <w:szCs w:val="16"/>
          <w:color w:val="auto"/>
        </w:rPr>
        <w:t>NRG DGPV Holdco 1 LLC is a tax equity structure and is a VIE. The related allocations are described below.</w:t>
      </w:r>
    </w:p>
    <w:p>
      <w:pPr>
        <w:ind w:left="340" w:hanging="170"/>
        <w:spacing w:after="0"/>
        <w:tabs>
          <w:tab w:leader="none" w:pos="340" w:val="left"/>
        </w:tabs>
        <w:numPr>
          <w:ilvl w:val="0"/>
          <w:numId w:val="41"/>
        </w:numPr>
        <w:rPr>
          <w:rFonts w:ascii="Arial" w:cs="Arial" w:eastAsia="Arial" w:hAnsi="Arial"/>
          <w:sz w:val="11"/>
          <w:szCs w:val="11"/>
          <w:color w:val="auto"/>
        </w:rPr>
      </w:pPr>
      <w:r>
        <w:rPr>
          <w:rFonts w:ascii="Arial" w:cs="Arial" w:eastAsia="Arial" w:hAnsi="Arial"/>
          <w:sz w:val="16"/>
          <w:szCs w:val="16"/>
          <w:color w:val="auto"/>
        </w:rPr>
        <w:t>NRG RPV Holdco 1 LLC is a tax equity structure and is a VIE. The related allocations are described below.</w:t>
      </w:r>
    </w:p>
    <w:p>
      <w:pPr>
        <w:spacing w:after="0" w:line="12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2015, the Company had no undistributed earnings from its equity method investments. As of December 31, 2014, the Company had $17 million of undistributed earnings from its equity method investments.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acquired its interest in Desert Sunlight on June 30, 2015, for $285 million, which resulted in a difference between the purchase price and the basis of the acquired assets and liabilities of $171 million. The difference is attributable to the fair value of the property, plant and equipment and power purchase agreements. The Company is amortizing the related basis difference to equity in earnings (losses) over the related useful life of the underlying assets acquired.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project-level debt of unconsolidated affiliates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pro-rata share of non-recourse debt held by unconsolidated affiliates was approximately $842 million as of December 31, 2015.</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877" w:right="239" w:bottom="1440" w:gutter="0" w:footer="0" w:header="0"/>
        </w:sectPr>
      </w:pPr>
    </w:p>
    <w:bookmarkStart w:id="81" w:name="page82"/>
    <w:bookmarkEnd w:id="81"/>
    <w:p>
      <w:pPr>
        <w:jc w:val="both"/>
        <w:ind w:firstLine="405"/>
        <w:spacing w:after="0" w:line="297" w:lineRule="auto"/>
        <w:rPr>
          <w:sz w:val="20"/>
          <w:szCs w:val="20"/>
          <w:color w:val="auto"/>
        </w:rPr>
      </w:pPr>
      <w:r>
        <w:rPr>
          <w:rFonts w:ascii="Arial" w:cs="Arial" w:eastAsia="Arial" w:hAnsi="Arial"/>
          <w:sz w:val="16"/>
          <w:szCs w:val="16"/>
          <w:b w:val="1"/>
          <w:bCs w:val="1"/>
          <w:i w:val="1"/>
          <w:iCs w:val="1"/>
          <w:color w:val="auto"/>
        </w:rPr>
        <w:t xml:space="preserve">Avenal </w:t>
      </w:r>
      <w:r>
        <w:rPr>
          <w:rFonts w:ascii="Arial" w:cs="Arial" w:eastAsia="Arial" w:hAnsi="Arial"/>
          <w:sz w:val="16"/>
          <w:szCs w:val="16"/>
          <w:color w:val="auto"/>
        </w:rPr>
        <w:t>— The Company owns a 50% equity interest in Avenal, which consists of three solar PV projects in Kings County, California totaling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45 MWs. Eurus Energy owns the remaining 50% of Avenal. Power generated by the projects is sold under a 20-year PPA. On September 22, 2010, Avenal entered into a $35 million promissory note facility with the Company. Amounts drawn under the promissory note facility accrue interest at 4.5% per annum. Also, on September 22, 2010, Avenal entered into a $209 million financing arrangement with a syndicate of banks, or the Avenal Facility. As of December 31, 2015, and 2014, Avenal had outstanding $143 million and $107 million, respectively, under the Avenal Facility.</w:t>
      </w:r>
    </w:p>
    <w:p>
      <w:pPr>
        <w:spacing w:after="0" w:line="10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b w:val="1"/>
          <w:bCs w:val="1"/>
          <w:i w:val="1"/>
          <w:iCs w:val="1"/>
          <w:color w:val="auto"/>
        </w:rPr>
        <w:t xml:space="preserve">CVSR </w:t>
      </w:r>
      <w:r>
        <w:rPr>
          <w:rFonts w:ascii="Arial" w:cs="Arial" w:eastAsia="Arial" w:hAnsi="Arial"/>
          <w:sz w:val="17"/>
          <w:szCs w:val="17"/>
          <w:color w:val="auto"/>
        </w:rPr>
        <w:t>— In 2011, High Plains Ranch II, LLC, the direct owner of CVSR, entered into the CVSR Financing Agreement with the FFB to borrow up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$1.2 billion to fund the costs of constructing the solar facility. The CVSR Financing Agreement matures in 2037 and the loans provided by the FFB are guaranteed by the U.S. DOE. Amounts borrowed under the CVSR Financing Agreement accrue interest at a fixed rate based on U.S. Treasury rates plus a spread of 0.375% and are secured by the assets of CVSR. As of December 31, 2015, and 2014, $793 million and $815 million, respectively, were outstanding under the loan. T</w:t>
      </w:r>
      <w:r>
        <w:rPr>
          <w:rFonts w:ascii="Arial" w:cs="Arial" w:eastAsia="Arial" w:hAnsi="Arial"/>
          <w:sz w:val="17"/>
          <w:szCs w:val="17"/>
          <w:color w:val="231F20"/>
        </w:rPr>
        <w:t>he U.S. Treasury Department awarded cash grants on the CVSR project of $307 million ($285 million net of sequestration), which is</w:t>
      </w:r>
      <w:r>
        <w:rPr>
          <w:rFonts w:ascii="Arial" w:cs="Arial" w:eastAsia="Arial" w:hAnsi="Arial"/>
          <w:sz w:val="17"/>
          <w:szCs w:val="17"/>
          <w:color w:val="auto"/>
        </w:rPr>
        <w:t xml:space="preserve"> </w:t>
      </w:r>
      <w:r>
        <w:rPr>
          <w:rFonts w:ascii="Arial" w:cs="Arial" w:eastAsia="Arial" w:hAnsi="Arial"/>
          <w:sz w:val="17"/>
          <w:szCs w:val="17"/>
          <w:color w:val="231F20"/>
        </w:rPr>
        <w:t>approximately 75% of the cash grant amount for which the Company had applied. The cash grant proceeds were used to pay the outstanding balance of the bridge loan due in February 2014 and the remaining amount was used to pay a portion of the outstanding balance on the bridge loan due in August 2014. The remaining balance of the bridge loan due in August 2014 was paid by SunPower.</w:t>
      </w:r>
    </w:p>
    <w:p>
      <w:pPr>
        <w:spacing w:after="0" w:line="121"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i w:val="1"/>
          <w:iCs w:val="1"/>
          <w:color w:val="auto"/>
        </w:rPr>
        <w:t xml:space="preserve">GenConn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GenConn has a $237 million project note with an interest rate of 4.73% and a maturity date of July 2041 and a 5-year, $35 million working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facility that matures in 2018 which can be used to issue letters of credit at an interest rate of 1.875% per annum. As of December 31, 2015, $220 million was outstanding under the note and $14 million was drawn on the working capital facility. The note is secured by all of the GenConn assets.</w:t>
      </w:r>
    </w:p>
    <w:p>
      <w:pPr>
        <w:spacing w:after="0" w:line="9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March 2015, GenConn entered into a settlement agreement relating to a lawsuit it filed against the electrical contractor responsible for the design and installation of the 5X and 6X circuits at the GenConn Middletown facility and one of its subcontractors. The results of the settlement agreement are not expected to have a material impact on the Company's results of operations, cash flows or financial position.</w:t>
      </w:r>
    </w:p>
    <w:p>
      <w:pPr>
        <w:spacing w:after="0" w:line="123"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i w:val="1"/>
          <w:iCs w:val="1"/>
          <w:color w:val="auto"/>
        </w:rPr>
        <w:t xml:space="preserve">Desert Sunlight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Desert Sunlight 250 and Desert Sunlight 300 each entered into three distinct tranches of debt. As of December 31, 2015, and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Desert Sunlight had total debt outstanding of $1.1 billion and $1.5 billion, respectively, under the three tranches.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881" w:right="239" w:bottom="1440" w:gutter="0" w:footer="0" w:header="0"/>
        </w:sectPr>
      </w:pPr>
    </w:p>
    <w:bookmarkStart w:id="82" w:name="page83"/>
    <w:bookmarkEnd w:id="82"/>
    <w:p>
      <w:pPr>
        <w:ind w:left="420"/>
        <w:spacing w:after="0"/>
        <w:rPr>
          <w:sz w:val="20"/>
          <w:szCs w:val="20"/>
          <w:color w:val="auto"/>
        </w:rPr>
      </w:pPr>
      <w:r>
        <w:rPr>
          <w:rFonts w:ascii="Arial" w:cs="Arial" w:eastAsia="Arial" w:hAnsi="Arial"/>
          <w:sz w:val="18"/>
          <w:szCs w:val="18"/>
          <w:color w:val="auto"/>
        </w:rPr>
        <w:t>The following tables present summarized financial information for the Company's significant equity method investments:</w:t>
      </w:r>
    </w:p>
    <w:p>
      <w:pPr>
        <w:spacing w:after="0" w:line="230"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3"/>
        </w:trPr>
        <w:tc>
          <w:tcPr>
            <w:tcW w:w="6100" w:type="dxa"/>
            <w:vAlign w:val="bottom"/>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2014</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96"/>
              </w:rPr>
              <w:t>2013</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Income Statement Data:</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center"/>
              <w:ind w:right="234"/>
              <w:spacing w:after="0"/>
              <w:rPr>
                <w:sz w:val="20"/>
                <w:szCs w:val="20"/>
                <w:color w:val="auto"/>
              </w:rPr>
            </w:pPr>
            <w:r>
              <w:rPr>
                <w:rFonts w:ascii="Arial" w:cs="Arial" w:eastAsia="Arial" w:hAnsi="Arial"/>
                <w:sz w:val="14"/>
                <w:szCs w:val="14"/>
                <w:b w:val="1"/>
                <w:bCs w:val="1"/>
                <w:color w:val="auto"/>
                <w:w w:val="96"/>
              </w:rPr>
              <w:t>(In millions)</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CVSR</w:t>
            </w:r>
          </w:p>
        </w:tc>
        <w:tc>
          <w:tcPr>
            <w:tcW w:w="10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82</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7"/>
        </w:trPr>
        <w:tc>
          <w:tcPr>
            <w:tcW w:w="6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40</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6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GenConn</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10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82</w:t>
            </w:r>
          </w:p>
        </w:tc>
        <w:tc>
          <w:tcPr>
            <w:tcW w:w="6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80</w:t>
            </w:r>
          </w:p>
        </w:tc>
      </w:tr>
      <w:tr>
        <w:trPr>
          <w:trHeight w:val="27"/>
        </w:trPr>
        <w:tc>
          <w:tcPr>
            <w:tcW w:w="6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40</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
        </w:trPr>
        <w:tc>
          <w:tcPr>
            <w:tcW w:w="6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Desert Sunlight</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10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6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960" w:type="dxa"/>
            <w:vAlign w:val="bottom"/>
            <w:gridSpan w:val="2"/>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6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22"/>
                <w:szCs w:val="22"/>
                <w:color w:val="auto"/>
              </w:rPr>
            </w:pPr>
          </w:p>
        </w:tc>
      </w:tr>
      <w:tr>
        <w:trPr>
          <w:trHeight w:val="263"/>
        </w:trPr>
        <w:tc>
          <w:tcPr>
            <w:tcW w:w="6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2015</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96"/>
              </w:rPr>
              <w:t>2014</w:t>
            </w:r>
          </w:p>
        </w:tc>
      </w:tr>
      <w:tr>
        <w:trPr>
          <w:trHeight w:val="251"/>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Balance Sheet Data:</w:t>
            </w: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1"/>
                <w:szCs w:val="21"/>
                <w:color w:val="auto"/>
              </w:rPr>
            </w:pPr>
          </w:p>
        </w:tc>
      </w:tr>
      <w:tr>
        <w:trPr>
          <w:trHeight w:val="256"/>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CVSR</w:t>
            </w:r>
          </w:p>
        </w:tc>
        <w:tc>
          <w:tcPr>
            <w:tcW w:w="10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98</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173</w:t>
            </w:r>
          </w:p>
        </w:tc>
      </w:tr>
      <w:tr>
        <w:trPr>
          <w:trHeight w:val="27"/>
        </w:trPr>
        <w:tc>
          <w:tcPr>
            <w:tcW w:w="6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917</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6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775</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b w:val="1"/>
                <w:bCs w:val="1"/>
                <w:color w:val="auto"/>
              </w:rPr>
              <w:t>GenConn</w:t>
            </w: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416</w:t>
            </w:r>
          </w:p>
        </w:tc>
        <w:tc>
          <w:tcPr>
            <w:tcW w:w="6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438</w:t>
            </w:r>
          </w:p>
        </w:tc>
      </w:tr>
      <w:tr>
        <w:trPr>
          <w:trHeight w:val="27"/>
        </w:trPr>
        <w:tc>
          <w:tcPr>
            <w:tcW w:w="6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215</w:t>
            </w:r>
          </w:p>
        </w:tc>
        <w:tc>
          <w:tcPr>
            <w:tcW w:w="6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223</w:t>
            </w:r>
          </w:p>
        </w:tc>
      </w:tr>
      <w:tr>
        <w:trPr>
          <w:trHeight w:val="27"/>
        </w:trPr>
        <w:tc>
          <w:tcPr>
            <w:tcW w:w="6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Desert Sunlight</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310</w:t>
            </w: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1,435</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82</w:t>
            </w: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0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1,086</w:t>
            </w:r>
          </w:p>
        </w:tc>
        <w:tc>
          <w:tcPr>
            <w:tcW w:w="6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7"/>
        </w:trPr>
        <w:tc>
          <w:tcPr>
            <w:tcW w:w="6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 or VIEs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Consolidated</w:t>
      </w:r>
    </w:p>
    <w:p>
      <w:pPr>
        <w:spacing w:after="0" w:line="16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i w:val="1"/>
          <w:iCs w:val="1"/>
          <w:color w:val="auto"/>
        </w:rPr>
        <w:t xml:space="preserve">NRG Wind TE Holdco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November 3, 2015, the Company acquired 75% of the Class B interests of NRG Wind TE Holdco, or the November 2015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Drop Down Assets, which owns a portfolio of 12 wind facilities totaling 814 net MW, from NRG for total cash consideration of $209 million, as described in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In February 2016, NRG made a final working capital payment of $2 million, reducing total cash consideration to $207 million. NRG retained a 25% ownership of the Class B interest. The Class A interests of NRG Wind TE Holdco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8.53%. The Company generally receives 75% of CAFD until the flip point, at which time the allocations to the Company of CAFD change to 68.60%. If the flip point has not occurred by a specified date, 100% of CAFD is allocated to the TE Investor until the flip point occurs. NRG Wind TE Holdco is a VIE and the Company is the primary beneficiary, through its position as managing member, and consolidates NRG Wind TE Holdco. The Company utilizes the HLBV method to determine the net income or loss allocated to the TE Investor noncontrolling interest. Net income or loss attributable to the Class B interests is allocated to NRG's noncontrolling interest based on its 25% ownership interest.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881" w:right="239" w:bottom="1440" w:gutter="0" w:footer="0" w:header="0"/>
        </w:sectPr>
      </w:pPr>
    </w:p>
    <w:bookmarkStart w:id="83" w:name="page84"/>
    <w:bookmarkEnd w:id="83"/>
    <w:p>
      <w:pPr>
        <w:jc w:val="both"/>
        <w:ind w:firstLine="405"/>
        <w:spacing w:after="0" w:line="271" w:lineRule="auto"/>
        <w:rPr>
          <w:sz w:val="20"/>
          <w:szCs w:val="20"/>
          <w:color w:val="auto"/>
        </w:rPr>
      </w:pPr>
      <w:r>
        <w:rPr>
          <w:rFonts w:ascii="Arial" w:cs="Arial" w:eastAsia="Arial" w:hAnsi="Arial"/>
          <w:sz w:val="17"/>
          <w:szCs w:val="17"/>
          <w:b w:val="1"/>
          <w:bCs w:val="1"/>
          <w:i w:val="1"/>
          <w:iCs w:val="1"/>
          <w:color w:val="auto"/>
        </w:rPr>
        <w:t xml:space="preserve">Alta TE Holdco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June 30, 2015, the Company sold an economic interest in Alta TE Holdco to a financial institution in order to monetize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and tax attributes, primarily PTCs. The financial institution, or Alta Investor, receives 99% of allocations of taxable income and other items until the flip point, which occurs when the Alta Investor obtains a specified return on its initial investment, at which time the allocations to the Alta Investor change to 5%. The Company received 100% of CAFD through December 31, 2015, and subsequently will receive 94.34% until the flip point, at which time the allocations to the Company of CAFD will change to 97.12%, unless the flip point will not have occurred by a specified date, which would result in 100% of CAFD allocated to the Alta Investor until the flip point occurs. Alta TE Holdco is a VIE and the Company is the primary beneficiary through its position as managing member, and therefore consolidates Alta TE Holdco, with the Alta Investor's interest shown as noncontrolling interest. The Company utilizes the HLBV method to determine the net income or loss allocated to the noncontrolling interest. The net proceeds of $119 million are reflected as noncontrolling interest in the Company's balance sheet.</w:t>
      </w:r>
    </w:p>
    <w:p>
      <w:pPr>
        <w:spacing w:after="0" w:line="12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b w:val="1"/>
          <w:bCs w:val="1"/>
          <w:i w:val="1"/>
          <w:iCs w:val="1"/>
          <w:color w:val="auto"/>
        </w:rPr>
        <w:t xml:space="preserve">Spring Canyon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May 7, 2015, the Company acquired a 90.1% of the Class B interests in Spring Canyon II, a 32 MW wind facility, and Spring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Canyon III, a 28 MW wind facility, each located in Logan County, Colorado, from Invenergy Wind Global LLC. Invenergy owns 9.9% of the Class B interests. Prior to the acquisition date, the projects were financed with a partnership flip tax-equity structure with a financial institution, who owns the Class A interests, to monetize certain cash and tax attributes, primarily PTCs. Until the flip point, the Class A member will receive 34.81% of the cash distributions based on the projects’ production level and the Company and Invenergy will receive 65.19%. After the flip point, cash distributions are allocated 5% to the Class A member and 95% to the Company and Invenergy. Spring Canyon is a VIE and the Company is the primary beneficiary through its position as managing member, and therefore consolidates Spring Canyon. The Class A member and Invenergy's interests are shown as noncontrolling interest. The Company utilizes the HLBV method to determine the net income or loss allocated to the Class A member. Net Income or loss attributable to the Class B interests is allocated to Invenergy's noncontrolling interest based on its 9.9% ownership interest.</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December 31, 2015:</w:t>
      </w:r>
    </w:p>
    <w:p>
      <w:pPr>
        <w:spacing w:after="0" w:line="27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NRG TE Wind</w:t>
            </w:r>
          </w:p>
        </w:tc>
        <w:tc>
          <w:tcPr>
            <w:tcW w:w="20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Alta Wind TE</w:t>
            </w:r>
          </w:p>
        </w:tc>
        <w:tc>
          <w:tcPr>
            <w:tcW w:w="180" w:type="dxa"/>
            <w:vAlign w:val="bottom"/>
          </w:tcPr>
          <w:p>
            <w:pPr>
              <w:spacing w:after="0"/>
              <w:rPr>
                <w:sz w:val="14"/>
                <w:szCs w:val="14"/>
                <w:color w:val="auto"/>
              </w:rPr>
            </w:pPr>
          </w:p>
        </w:tc>
        <w:tc>
          <w:tcPr>
            <w:tcW w:w="12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6"/>
              </w:rPr>
              <w:t>Spring Canyon</w:t>
            </w:r>
          </w:p>
        </w:tc>
        <w:tc>
          <w:tcPr>
            <w:tcW w:w="0" w:type="dxa"/>
            <w:vAlign w:val="bottom"/>
          </w:tcPr>
          <w:p>
            <w:pPr>
              <w:spacing w:after="0"/>
              <w:rPr>
                <w:sz w:val="1"/>
                <w:szCs w:val="1"/>
                <w:color w:val="auto"/>
              </w:rPr>
            </w:pPr>
          </w:p>
        </w:tc>
      </w:tr>
      <w:tr>
        <w:trPr>
          <w:trHeight w:val="192"/>
        </w:trPr>
        <w:tc>
          <w:tcPr>
            <w:tcW w:w="4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Holdco</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Holdco</w:t>
            </w: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and non-current assets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8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and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78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7"/>
        </w:trPr>
        <w:tc>
          <w:tcPr>
            <w:tcW w:w="4780" w:type="dxa"/>
            <w:vAlign w:val="bottom"/>
          </w:tcPr>
          <w:p>
            <w:pPr>
              <w:ind w:left="500"/>
              <w:spacing w:after="0"/>
              <w:rPr>
                <w:sz w:val="20"/>
                <w:szCs w:val="20"/>
                <w:color w:val="auto"/>
              </w:rPr>
            </w:pPr>
            <w:r>
              <w:rPr>
                <w:rFonts w:ascii="Arial" w:cs="Arial" w:eastAsia="Arial" w:hAnsi="Arial"/>
                <w:sz w:val="18"/>
                <w:szCs w:val="18"/>
                <w:color w:val="auto"/>
              </w:rPr>
              <w:t>Net assets less noncontrolling interests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 has interests in entities that are considered VIEs under ASC 810, </w:t>
      </w:r>
      <w:r>
        <w:rPr>
          <w:rFonts w:ascii="Arial" w:cs="Arial" w:eastAsia="Arial" w:hAnsi="Arial"/>
          <w:sz w:val="18"/>
          <w:szCs w:val="18"/>
          <w:i w:val="1"/>
          <w:iCs w:val="1"/>
          <w:color w:val="auto"/>
        </w:rPr>
        <w:t>Consolidation</w:t>
      </w:r>
      <w:r>
        <w:rPr>
          <w:rFonts w:ascii="Arial" w:cs="Arial" w:eastAsia="Arial" w:hAnsi="Arial"/>
          <w:sz w:val="18"/>
          <w:szCs w:val="18"/>
          <w:color w:val="auto"/>
        </w:rPr>
        <w:t>, but for which it is not considered the primary beneficiary. The Company accounts for its interests in these entities under the equity method of accounting.</w:t>
      </w:r>
    </w:p>
    <w:p>
      <w:pPr>
        <w:spacing w:after="0" w:line="11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b w:val="1"/>
          <w:bCs w:val="1"/>
          <w:i w:val="1"/>
          <w:iCs w:val="1"/>
          <w:color w:val="auto"/>
        </w:rPr>
        <w:t xml:space="preserve">NRG DGPV Holdco 1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May 8, 2015, NRG Yield DGPV Holding LLC, a subsidiary of the Company and NRG Renew DG Holdings LLC,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subsidiary of NRG, entered into a partnership by forming NRG DGPV Holdco 1 LLC, or DGPV Holdco 1, the purpose of which is to own or purchase solar power generation projects and other ancillary related assets from NRG Renew DG Holdings LLC, via intermediate funds, including: (i) a tax equity-financed portfolio of 10 recently completed community solar projects representing approximately 8 MW with a weighted average remaining PPA term of 20 years; and</w:t>
      </w:r>
    </w:p>
    <w:p>
      <w:pPr>
        <w:spacing w:after="0" w:line="3" w:lineRule="exact"/>
        <w:rPr>
          <w:sz w:val="20"/>
          <w:szCs w:val="20"/>
          <w:color w:val="auto"/>
        </w:rPr>
      </w:pPr>
    </w:p>
    <w:p>
      <w:pPr>
        <w:ind w:firstLine="8"/>
        <w:spacing w:after="0" w:line="261" w:lineRule="auto"/>
        <w:tabs>
          <w:tab w:leader="none" w:pos="29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tax equity-financed portfolio of approximately 12 commercial photovoltaic systems representing approximately 37 MW with a weighted average remaining PPA term of 19 years. The following illustrates the structure of DGPV Holdco: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877" w:right="23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2266950</wp:posOffset>
            </wp:positionH>
            <wp:positionV relativeFrom="page">
              <wp:posOffset>568960</wp:posOffset>
            </wp:positionV>
            <wp:extent cx="3293110" cy="24701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329311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December 31, 2015, the Company's investment in DGPV Holdco 1 related to the recently completed community solar projects was $17 million. Additionally, as of December 31, 2015, the Company's investment in DGPV Holdco 1 related to the commercial photovoltaic systems was $55 million, $44 million of which remained payable and is recorded in accounts payable — affiliate on the consolidated balance sheet at December 31, 2015. Both of these investments relate to the Company's $100 million commitment to distributed solar projects in partnership with NRG. The Company's maximum exposure to loss is limited to its equity investment.</w:t>
      </w:r>
    </w:p>
    <w:p>
      <w:pPr>
        <w:spacing w:after="0" w:line="130"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NRG DGPV Holdco 2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February 29, 2016, the Company and NRG entered into an additional partnership by forming NRG DGPV Holdco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or DGPV Holdco 2, to own or purchase solar power generation projects and other ancillary related assets from NRG Renew LLC or its subsidiaries, via intermediate funds. Under this partnership, the Company committed to fund up to $50 million of capital.</w:t>
      </w:r>
    </w:p>
    <w:p>
      <w:pPr>
        <w:spacing w:after="0" w:line="12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NRG RPV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9, 2015, NRG Yield RPV Holding LLC, a subsidiary of the Company and NRG Residential Solar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a subsidiary of NRG, entered into a partnership by forming NRG RPV Holdco 1 LLC, or RPV Holdco, that will invest in and hold operating portfolios of residential solar assets developed by NRG Home Solar, a subsidiary of NRG, including: (i) an existing, unlevered portfolio of over 2,200 leases across nine states representing approximately 17 MW with a weighted average remaining lease term of approximately 17 years; and (ii) a tax equity-financed portfolio of approximately 5,700 leases representing approximately 40 MW, with an average lease term for the existing and new leases of approximately 17 to 20 years. The following illustrates the structure of RPV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96520</wp:posOffset>
            </wp:positionV>
            <wp:extent cx="3293110" cy="2452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9311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440" w:right="239" w:bottom="1440" w:gutter="0" w:footer="0" w:header="0"/>
        </w:sectPr>
      </w:pPr>
    </w:p>
    <w:bookmarkStart w:id="85" w:name="page86"/>
    <w:bookmarkEnd w:id="85"/>
    <w:p>
      <w:pPr>
        <w:jc w:val="both"/>
        <w:ind w:right="20" w:firstLine="405"/>
        <w:spacing w:after="0" w:line="264" w:lineRule="auto"/>
        <w:rPr>
          <w:sz w:val="20"/>
          <w:szCs w:val="20"/>
          <w:color w:val="auto"/>
        </w:rPr>
      </w:pPr>
      <w:r>
        <w:rPr>
          <w:rFonts w:ascii="Arial" w:cs="Arial" w:eastAsia="Arial" w:hAnsi="Arial"/>
          <w:sz w:val="18"/>
          <w:szCs w:val="18"/>
          <w:color w:val="auto"/>
        </w:rPr>
        <w:t>The Company invested $26 million in RPV Holdco in April 2015 related to the existing, unlevered portfolio of leases. The Company also invested $36 million of its $150 million commitment in the tax equity-financed portfolio through December 31, 2015. The Company's maximum exposure to loss is limited to its equity investment.</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February 29, 2016, the Company and NRG amended the RPV Holdco partnership to reduce the aggregate commitment of $150 million to $100 million in connection with the formation of DGPV Holdco 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of Financial Instruments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cash and cash equivalents, restricted cash, accounts receivable — affiliate, accounts receivable accounts payable, accounts payable — affiliate, accrued expenses and other liabilities, the carrying amount approximates fair value because of the short-term maturity of those instruments and are classified as Level 1 within the fair value hierarchy.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6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4"/>
                <w:szCs w:val="14"/>
                <w:b w:val="1"/>
                <w:bCs w:val="1"/>
                <w:color w:val="auto"/>
              </w:rPr>
              <w:t>As of December 31, 2015</w:t>
            </w:r>
          </w:p>
        </w:tc>
        <w:tc>
          <w:tcPr>
            <w:tcW w:w="100" w:type="dxa"/>
            <w:vAlign w:val="bottom"/>
          </w:tcPr>
          <w:p>
            <w:pPr>
              <w:spacing w:after="0"/>
              <w:rPr>
                <w:sz w:val="16"/>
                <w:szCs w:val="16"/>
                <w:color w:val="auto"/>
              </w:rPr>
            </w:pPr>
          </w:p>
        </w:tc>
        <w:tc>
          <w:tcPr>
            <w:tcW w:w="2600" w:type="dxa"/>
            <w:vAlign w:val="bottom"/>
            <w:tcBorders>
              <w:bottom w:val="single" w:sz="8" w:color="auto"/>
            </w:tcBorders>
            <w:gridSpan w:val="2"/>
          </w:tcPr>
          <w:p>
            <w:pPr>
              <w:jc w:val="right"/>
              <w:ind w:right="434"/>
              <w:spacing w:after="0"/>
              <w:rPr>
                <w:sz w:val="20"/>
                <w:szCs w:val="20"/>
                <w:color w:val="auto"/>
              </w:rPr>
            </w:pPr>
            <w:r>
              <w:rPr>
                <w:rFonts w:ascii="Arial" w:cs="Arial" w:eastAsia="Arial" w:hAnsi="Arial"/>
                <w:sz w:val="14"/>
                <w:szCs w:val="14"/>
                <w:b w:val="1"/>
                <w:bCs w:val="1"/>
                <w:color w:val="auto"/>
              </w:rPr>
              <w:t>As of December 31, 2014</w:t>
            </w:r>
          </w:p>
        </w:tc>
      </w:tr>
      <w:tr>
        <w:trPr>
          <w:trHeight w:val="264"/>
        </w:trPr>
        <w:tc>
          <w:tcPr>
            <w:tcW w:w="6060" w:type="dxa"/>
            <w:vAlign w:val="bottom"/>
          </w:tcPr>
          <w:p>
            <w:pPr>
              <w:spacing w:after="0"/>
              <w:rPr>
                <w:sz w:val="22"/>
                <w:szCs w:val="22"/>
                <w:color w:val="auto"/>
              </w:rPr>
            </w:pPr>
          </w:p>
        </w:tc>
        <w:tc>
          <w:tcPr>
            <w:tcW w:w="14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Carrying Amount</w:t>
            </w:r>
          </w:p>
        </w:tc>
        <w:tc>
          <w:tcPr>
            <w:tcW w:w="13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Fair Value</w:t>
            </w:r>
          </w:p>
        </w:tc>
        <w:tc>
          <w:tcPr>
            <w:tcW w:w="14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Carrying Amount</w:t>
            </w:r>
          </w:p>
        </w:tc>
        <w:tc>
          <w:tcPr>
            <w:tcW w:w="11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0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740" w:type="dxa"/>
            <w:vAlign w:val="bottom"/>
            <w:gridSpan w:val="3"/>
          </w:tcPr>
          <w:p>
            <w:pPr>
              <w:jc w:val="right"/>
              <w:ind w:right="1017"/>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Notes receivable, including current portion</w:t>
            </w:r>
          </w:p>
        </w:tc>
        <w:tc>
          <w:tcPr>
            <w:tcW w:w="1440" w:type="dxa"/>
            <w:vAlign w:val="bottom"/>
          </w:tcPr>
          <w:p>
            <w:pPr>
              <w:jc w:val="right"/>
              <w:ind w:right="217"/>
              <w:spacing w:after="0"/>
              <w:rPr>
                <w:sz w:val="20"/>
                <w:szCs w:val="20"/>
                <w:color w:val="auto"/>
              </w:rPr>
            </w:pPr>
            <w:r>
              <w:rPr>
                <w:rFonts w:ascii="Arial" w:cs="Arial" w:eastAsia="Arial" w:hAnsi="Arial"/>
                <w:sz w:val="18"/>
                <w:szCs w:val="18"/>
                <w:color w:val="auto"/>
              </w:rPr>
              <w:t>17</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21</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w:t>
            </w:r>
          </w:p>
        </w:tc>
      </w:tr>
      <w:tr>
        <w:trPr>
          <w:trHeight w:val="27"/>
        </w:trPr>
        <w:tc>
          <w:tcPr>
            <w:tcW w:w="6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Long-term debt, including current portion — affiliate</w:t>
            </w:r>
          </w:p>
        </w:tc>
        <w:tc>
          <w:tcPr>
            <w:tcW w:w="1440" w:type="dxa"/>
            <w:vAlign w:val="bottom"/>
          </w:tcPr>
          <w:p>
            <w:pPr>
              <w:jc w:val="right"/>
              <w:ind w:right="217"/>
              <w:spacing w:after="0"/>
              <w:rPr>
                <w:sz w:val="20"/>
                <w:szCs w:val="20"/>
                <w:color w:val="auto"/>
              </w:rPr>
            </w:pPr>
            <w:r>
              <w:rPr>
                <w:rFonts w:ascii="Arial" w:cs="Arial" w:eastAsia="Arial" w:hAnsi="Arial"/>
                <w:sz w:val="18"/>
                <w:szCs w:val="18"/>
                <w:color w:val="auto"/>
              </w:rPr>
              <w:t>618</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337</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386</w:t>
            </w:r>
          </w:p>
        </w:tc>
      </w:tr>
      <w:tr>
        <w:trPr>
          <w:trHeight w:val="27"/>
        </w:trPr>
        <w:tc>
          <w:tcPr>
            <w:tcW w:w="6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 — external</w:t>
            </w:r>
          </w:p>
        </w:tc>
        <w:tc>
          <w:tcPr>
            <w:tcW w:w="14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4,267</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4,181</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4,659</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4,676</w:t>
            </w:r>
          </w:p>
        </w:tc>
      </w:tr>
      <w:tr>
        <w:trPr>
          <w:trHeight w:val="27"/>
        </w:trPr>
        <w:tc>
          <w:tcPr>
            <w:tcW w:w="60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fair value of notes receivable and long-term debt are based on expected future cash flows discounted at market interest rates, or current interest rates for similar instruments and are classified as Level 3 within the fair value hierarchy.</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records its derivative assets and liabilities at fair market value on its consolidated balance sheet. There were no asset positions as of December 31, 2015. The following table presents assets and liabilities measured and recorded at fair value on the Company's consolidated balance sheets on a recurring basis and their level within the fair value hierarchy: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As of December 31, 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As of December 31, 2014</w:t>
            </w: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0" w:type="dxa"/>
            <w:vAlign w:val="bottom"/>
          </w:tcPr>
          <w:p>
            <w:pPr>
              <w:spacing w:after="0"/>
              <w:rPr>
                <w:sz w:val="1"/>
                <w:szCs w:val="1"/>
                <w:color w:val="auto"/>
              </w:rPr>
            </w:pPr>
          </w:p>
        </w:tc>
      </w:tr>
      <w:tr>
        <w:trPr>
          <w:trHeight w:val="250"/>
        </w:trPr>
        <w:tc>
          <w:tcPr>
            <w:tcW w:w="37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1"/>
                <w:szCs w:val="21"/>
                <w:color w:val="auto"/>
              </w:rPr>
            </w:pPr>
          </w:p>
        </w:tc>
        <w:tc>
          <w:tcPr>
            <w:tcW w:w="186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Level 2</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34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jc w:val="center"/>
              <w:ind w:right="1372"/>
              <w:spacing w:after="0"/>
              <w:rPr>
                <w:sz w:val="20"/>
                <w:szCs w:val="20"/>
                <w:color w:val="auto"/>
              </w:rPr>
            </w:pPr>
            <w:r>
              <w:rPr>
                <w:rFonts w:ascii="Arial" w:cs="Arial" w:eastAsia="Arial" w:hAnsi="Arial"/>
                <w:sz w:val="18"/>
                <w:szCs w:val="18"/>
                <w:color w:val="auto"/>
                <w:w w:val="92"/>
              </w:rPr>
              <w:t>Commodity contracts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jc w:val="center"/>
              <w:ind w:right="1372"/>
              <w:spacing w:after="0"/>
              <w:rPr>
                <w:sz w:val="20"/>
                <w:szCs w:val="20"/>
                <w:color w:val="auto"/>
              </w:rPr>
            </w:pPr>
            <w:r>
              <w:rPr>
                <w:rFonts w:ascii="Arial" w:cs="Arial" w:eastAsia="Arial" w:hAnsi="Arial"/>
                <w:sz w:val="18"/>
                <w:szCs w:val="18"/>
                <w:color w:val="auto"/>
                <w:w w:val="89"/>
              </w:rPr>
              <w:t>Interest rate contracts</w:t>
            </w:r>
          </w:p>
        </w:tc>
        <w:tc>
          <w:tcPr>
            <w:tcW w:w="3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600"/>
              <w:spacing w:after="0"/>
              <w:rPr>
                <w:sz w:val="20"/>
                <w:szCs w:val="20"/>
                <w:color w:val="auto"/>
              </w:rPr>
            </w:pPr>
            <w:r>
              <w:rPr>
                <w:rFonts w:ascii="Arial" w:cs="Arial" w:eastAsia="Arial" w:hAnsi="Arial"/>
                <w:sz w:val="18"/>
                <w:szCs w:val="18"/>
                <w:b w:val="1"/>
                <w:bCs w:val="1"/>
                <w:color w:val="auto"/>
              </w:rPr>
              <w:t>Total assets</w:t>
            </w:r>
          </w:p>
        </w:tc>
        <w:tc>
          <w:tcPr>
            <w:tcW w:w="34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34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jc w:val="center"/>
              <w:ind w:right="1372"/>
              <w:spacing w:after="0"/>
              <w:rPr>
                <w:sz w:val="20"/>
                <w:szCs w:val="20"/>
                <w:color w:val="auto"/>
              </w:rPr>
            </w:pPr>
            <w:r>
              <w:rPr>
                <w:rFonts w:ascii="Arial" w:cs="Arial" w:eastAsia="Arial" w:hAnsi="Arial"/>
                <w:sz w:val="18"/>
                <w:szCs w:val="18"/>
                <w:color w:val="auto"/>
                <w:w w:val="92"/>
              </w:rPr>
              <w:t>Commodity contracts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jc w:val="center"/>
              <w:ind w:right="1372"/>
              <w:spacing w:after="0"/>
              <w:rPr>
                <w:sz w:val="20"/>
                <w:szCs w:val="20"/>
                <w:color w:val="auto"/>
              </w:rPr>
            </w:pPr>
            <w:r>
              <w:rPr>
                <w:rFonts w:ascii="Arial" w:cs="Arial" w:eastAsia="Arial" w:hAnsi="Arial"/>
                <w:sz w:val="18"/>
                <w:szCs w:val="18"/>
                <w:color w:val="auto"/>
                <w:w w:val="89"/>
              </w:rPr>
              <w:t>Interest rate contracts</w:t>
            </w:r>
          </w:p>
        </w:tc>
        <w:tc>
          <w:tcPr>
            <w:tcW w:w="3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57"/>
        </w:trPr>
        <w:tc>
          <w:tcPr>
            <w:tcW w:w="3780" w:type="dxa"/>
            <w:vAlign w:val="bottom"/>
          </w:tcPr>
          <w:p>
            <w:pPr>
              <w:jc w:val="center"/>
              <w:ind w:right="1352"/>
              <w:spacing w:after="0"/>
              <w:rPr>
                <w:sz w:val="20"/>
                <w:szCs w:val="20"/>
                <w:color w:val="auto"/>
              </w:rPr>
            </w:pPr>
            <w:r>
              <w:rPr>
                <w:rFonts w:ascii="Arial" w:cs="Arial" w:eastAsia="Arial" w:hAnsi="Arial"/>
                <w:sz w:val="18"/>
                <w:szCs w:val="18"/>
                <w:b w:val="1"/>
                <w:bCs w:val="1"/>
                <w:color w:val="auto"/>
                <w:w w:val="91"/>
              </w:rPr>
              <w:t>Total liabilities</w:t>
            </w:r>
          </w:p>
        </w:tc>
        <w:tc>
          <w:tcPr>
            <w:tcW w:w="34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420" w:type="dxa"/>
            <w:vAlign w:val="bottom"/>
            <w:vMerge w:val="restart"/>
          </w:tcPr>
          <w:p>
            <w:pPr>
              <w:jc w:val="right"/>
              <w:ind w:right="1310"/>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378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86" w:name="page87"/>
    <w:bookmarkEnd w:id="86"/>
    <w:p>
      <w:pPr>
        <w:ind w:left="160" w:hanging="152"/>
        <w:spacing w:after="0"/>
        <w:tabs>
          <w:tab w:leader="none" w:pos="16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14147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780" cy="8890"/>
                    </a:xfrm>
                    <a:prstGeom prst="rect">
                      <a:avLst/>
                    </a:prstGeom>
                    <a:noFill/>
                  </pic:spPr>
                </pic:pic>
              </a:graphicData>
            </a:graphic>
          </wp:anchor>
        </w:drawing>
        <w:t>There were no assets or liabilities classified as Level 1 or Level 3 as of December 31, 2015, and 2014.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fair value of each contract is discounted using a risk free interest rate. In addition, a credit reserve is applied to reflect credit risk, which for interest rate swaps, is calculated based on credit default swaps utilizing the bilateral method. For commodities, to the extent that NRG's net exposure under a specific master agreement is an asset, the Company uses the counterparty's default swap rate. If the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2015, the credit reserve resulted in a $1 million increase in fair value which is a gain in OCI. It is possible that future market prices could vary from those used in recording assets and liabilities and such variations could be material.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 xml:space="preserve">In addition to the credit risk discussion as disclosed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w:t>
      </w:r>
    </w:p>
    <w:p>
      <w:pPr>
        <w:jc w:val="both"/>
        <w:ind w:firstLine="8"/>
        <w:spacing w:after="0" w:line="253" w:lineRule="auto"/>
        <w:tabs>
          <w:tab w:leader="none" w:pos="2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established credit approval process; (ii) a 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3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December 31, 2015, credit risk exposure to these counterparties attributable to the Company's ownership interests was approximately $2.7 billion for the next five years. The majority of these power contracts are with utilities with strong credit quality and public utility commission or other regulatory support, as further described in Note 11, </w:t>
      </w:r>
      <w:r>
        <w:rPr>
          <w:rFonts w:ascii="Arial" w:cs="Arial" w:eastAsia="Arial" w:hAnsi="Arial"/>
          <w:sz w:val="17"/>
          <w:szCs w:val="17"/>
          <w:i w:val="1"/>
          <w:iCs w:val="1"/>
          <w:color w:val="auto"/>
        </w:rPr>
        <w:t>Segment Reporting</w:t>
      </w:r>
      <w:r>
        <w:rPr>
          <w:rFonts w:ascii="Arial" w:cs="Arial" w:eastAsia="Arial" w:hAnsi="Arial"/>
          <w:sz w:val="17"/>
          <w:szCs w:val="17"/>
          <w:color w:val="auto"/>
        </w:rPr>
        <w:t>. However, such regulated utility counterparties can be impacted by changes in government regulations, which the Company is unable to predict.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Accounting for Derivative Instruments and Hedging Activities</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effective portion of the change in fair value of the derivatives to accumulated OCI, until the hedged transactions occur and are recognized in earnings. The ineffective portion of a cash flow hedge is immediately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 related commodity contracts and interest rate swaps.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0"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To manage the commodity price risk associated with its competitive supply activities and the price risk associated with wholesale power sales, the Company may enter into derivative hedging instruments, namely, forward contracts that commit the Company to sell energy commodities or purchase fuels in the future. The objectives for entering into derivatives contracts designated as hedges include fixing the price for a portion of anticipated future electricity sales and fixing the price of a portion of anticipated fuel purchases for the operation of its subsidiaries. As of December 31, 2015, the Company had forward contracts for the purchase of fuel commodities relating to the forecasted usage of the Company’s district energy centers extending through 2018. At December 31, 2015, these contracts were not designated as cash flow or fair value hedges.</w:t>
      </w:r>
    </w:p>
    <w:p>
      <w:pPr>
        <w:spacing w:after="0" w:line="12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Also, as of December 31, 2015, the Company had other energy-related contracts that did not meet the definition of a derivative instrument or qualified for the NPNS exception and were therefore exempt from fair value accounting treatment as follows:</w:t>
      </w:r>
    </w:p>
    <w:p>
      <w:pPr>
        <w:spacing w:after="0" w:line="116"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Power tolling contracts through 2039,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Natural gas transportation contracts through 2028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 is exposed to changes in interest rates through the issuance of variable rate debt. In order to manage interest rate risk, it enters into interest rate swap agreements.</w:t>
      </w:r>
    </w:p>
    <w:p>
      <w:pPr>
        <w:spacing w:after="0" w:line="11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December 31, 2015, the Company had interest rate derivative instruments on non-recourse debt extending through 2031, most of which are designated as cash flow hedges.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Volumetric Underlying Derivative Transactions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net notional volume buy/(sell) of the Company's open derivative transactions broken out by commodity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3"/>
          </w:tcPr>
          <w:p>
            <w:pPr>
              <w:jc w:val="right"/>
              <w:ind w:right="1376"/>
              <w:spacing w:after="0"/>
              <w:rPr>
                <w:sz w:val="20"/>
                <w:szCs w:val="20"/>
                <w:color w:val="auto"/>
              </w:rPr>
            </w:pPr>
            <w:r>
              <w:rPr>
                <w:rFonts w:ascii="Arial" w:cs="Arial" w:eastAsia="Arial" w:hAnsi="Arial"/>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w w:val="99"/>
              </w:rPr>
              <w:t>December 31, 2015</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December 31, 2014</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8"/>
                <w:szCs w:val="18"/>
                <w:color w:val="auto"/>
              </w:rPr>
            </w:pPr>
          </w:p>
        </w:tc>
        <w:tc>
          <w:tcPr>
            <w:tcW w:w="3540" w:type="dxa"/>
            <w:vAlign w:val="bottom"/>
            <w:gridSpan w:val="3"/>
          </w:tcPr>
          <w:p>
            <w:pPr>
              <w:jc w:val="right"/>
              <w:ind w:right="1396"/>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624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41"/>
              <w:spacing w:after="0"/>
              <w:rPr>
                <w:sz w:val="20"/>
                <w:szCs w:val="20"/>
                <w:color w:val="auto"/>
              </w:rPr>
            </w:pPr>
            <w:r>
              <w:rPr>
                <w:rFonts w:ascii="Arial" w:cs="Arial" w:eastAsia="Arial" w:hAnsi="Arial"/>
                <w:sz w:val="18"/>
                <w:szCs w:val="18"/>
                <w:color w:val="auto"/>
              </w:rPr>
              <w:t>1,991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3,059</w:t>
            </w:r>
          </w:p>
        </w:tc>
      </w:tr>
    </w:tbl>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The decrease in the interest rate position is primarily the result of settling the Alta X and Alta XI interest rate swaps in connection with the repayment of the outstanding project-level debt during the second quarter of 2015, as further described in Note 9, </w:t>
      </w:r>
      <w:r>
        <w:rPr>
          <w:rFonts w:ascii="Arial" w:cs="Arial" w:eastAsia="Arial" w:hAnsi="Arial"/>
          <w:sz w:val="18"/>
          <w:szCs w:val="18"/>
          <w:i w:val="1"/>
          <w:iCs w:val="1"/>
          <w:color w:val="auto"/>
        </w:rPr>
        <w:t>Long-term Debt</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48"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There were no derivative asset positions on the balance sheet as of December 31, 2015. The following table summarizes the fair value within the derivative instrument valuation on the balance sheet: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Derivative Assets</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2014</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2015</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8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8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Commodity contracts current</w:t>
            </w:r>
          </w:p>
        </w:tc>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1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w:t>
            </w:r>
          </w:p>
        </w:tc>
        <w:tc>
          <w:tcPr>
            <w:tcW w:w="18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20" w:type="dxa"/>
            <w:vAlign w:val="bottom"/>
            <w:vMerge w:val="restart"/>
          </w:tcPr>
          <w:p>
            <w:pPr>
              <w:jc w:val="right"/>
              <w:ind w:right="850"/>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9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2" w:right="239" w:bottom="1440" w:gutter="0" w:footer="0" w:header="0"/>
        </w:sectPr>
      </w:pPr>
    </w:p>
    <w:bookmarkStart w:id="88" w:name="page89"/>
    <w:bookmarkEnd w:id="88"/>
    <w:p>
      <w:pPr>
        <w:jc w:val="both"/>
        <w:ind w:firstLine="405"/>
        <w:spacing w:after="0" w:line="259" w:lineRule="auto"/>
        <w:rPr>
          <w:sz w:val="20"/>
          <w:szCs w:val="20"/>
          <w:color w:val="auto"/>
        </w:rPr>
      </w:pPr>
      <w:r>
        <w:rPr>
          <w:rFonts w:ascii="Arial" w:cs="Arial" w:eastAsia="Arial" w:hAnsi="Arial"/>
          <w:sz w:val="18"/>
          <w:szCs w:val="18"/>
          <w:color w:val="auto"/>
        </w:rPr>
        <w:t>The Company has elected to present derivative assets and liabilities on the balance sheet on a trade-by-trade basis and does not offset amounts at the counterparty master agreement level. As of December 31, 2015, there were no offsetting amounts at the counterparty master agreement level or outstanding collateral paid or received. As of December 31, 2014, there was no outstanding collateral paid or received. The following table summarizes the offsetting of derivatives by counterparty master agreement level as of December 31, 2014: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0" w:type="dxa"/>
            <w:vAlign w:val="bottom"/>
          </w:tcPr>
          <w:p>
            <w:pPr>
              <w:spacing w:after="0"/>
              <w:rPr>
                <w:sz w:val="1"/>
                <w:szCs w:val="1"/>
                <w:color w:val="auto"/>
              </w:rPr>
            </w:pPr>
          </w:p>
        </w:tc>
      </w:tr>
      <w:tr>
        <w:trPr>
          <w:trHeight w:val="152"/>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40" w:type="dxa"/>
            <w:vAlign w:val="bottom"/>
          </w:tcPr>
          <w:p>
            <w:pPr>
              <w:spacing w:after="0"/>
              <w:rPr>
                <w:sz w:val="13"/>
                <w:szCs w:val="13"/>
                <w:color w:val="auto"/>
              </w:rPr>
            </w:pPr>
          </w:p>
        </w:tc>
        <w:tc>
          <w:tcPr>
            <w:tcW w:w="17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3"/>
                <w:szCs w:val="13"/>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3"/>
                <w:szCs w:val="13"/>
                <w:color w:val="auto"/>
              </w:rPr>
            </w:pPr>
          </w:p>
        </w:tc>
        <w:tc>
          <w:tcPr>
            <w:tcW w:w="15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50"/>
        </w:trPr>
        <w:tc>
          <w:tcPr>
            <w:tcW w:w="7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7080" w:type="dxa"/>
            <w:vAlign w:val="bottom"/>
          </w:tcPr>
          <w:p>
            <w:pPr>
              <w:ind w:left="200"/>
              <w:spacing w:after="0"/>
              <w:rPr>
                <w:sz w:val="20"/>
                <w:szCs w:val="20"/>
                <w:color w:val="auto"/>
              </w:rPr>
            </w:pPr>
            <w:r>
              <w:rPr>
                <w:rFonts w:ascii="Arial" w:cs="Arial" w:eastAsia="Arial" w:hAnsi="Arial"/>
                <w:sz w:val="18"/>
                <w:szCs w:val="18"/>
                <w:color w:val="auto"/>
                <w:w w:val="99"/>
              </w:rPr>
              <w:t>Reclassified from accumulated OCL to income due to realization of previously deferred</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360"/>
              <w:spacing w:after="0"/>
              <w:rPr>
                <w:sz w:val="20"/>
                <w:szCs w:val="20"/>
                <w:color w:val="auto"/>
              </w:rPr>
            </w:pPr>
            <w:r>
              <w:rPr>
                <w:rFonts w:ascii="Arial" w:cs="Arial" w:eastAsia="Arial" w:hAnsi="Arial"/>
                <w:sz w:val="18"/>
                <w:szCs w:val="18"/>
                <w:color w:val="auto"/>
              </w:rPr>
              <w:t>amounts</w:t>
            </w:r>
          </w:p>
        </w:tc>
        <w:tc>
          <w:tcPr>
            <w:tcW w:w="9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7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ending balance</w:t>
            </w:r>
          </w:p>
        </w:tc>
        <w:tc>
          <w:tcPr>
            <w:tcW w:w="9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attributable to NRG Yield LLC</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7"/>
        </w:trPr>
        <w:tc>
          <w:tcPr>
            <w:tcW w:w="70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Amounts reclassified from accumulated OCL into income and amounts recognized in income from the ineffective portion of cash flow hedges are recorded to interest expense. There was no ineffectiveness for the years ended December 31, 2015, 2014 and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Operations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years ended December 31, 2015, and 2014, the impact to the consolidated statements of operations was a gain of $16 million and a loss of $22 million, respectively.</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Commodity contracts also hedge the forecasted sale of power for the Elbow Creek wind facility. The effect of these commodity hedges is recorded to operating revenues. For the years ended December 31, 2015, and 2014, the impact to the consolidated statements of operations was an unrealized loss of $2 million and gain of $2 million, respectively.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discussion regarding concentration of credit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Intangible Assets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043" w:right="239" w:bottom="870" w:gutter="0" w:footer="0" w:header="0"/>
        </w:sectPr>
      </w:pPr>
    </w:p>
    <w:bookmarkStart w:id="89" w:name="page90"/>
    <w:bookmarkEnd w:id="89"/>
    <w:p>
      <w:pPr>
        <w:ind w:firstLine="405"/>
        <w:spacing w:after="0" w:line="277"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 The Company's intangible assets as of December 31, 2015 and 2014 primarily reflect intangible assets established from its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and are comprised of the following:</w:t>
      </w:r>
    </w:p>
    <w:p>
      <w:pPr>
        <w:spacing w:after="0" w:line="29" w:lineRule="exact"/>
        <w:rPr>
          <w:sz w:val="20"/>
          <w:szCs w:val="20"/>
          <w:color w:val="auto"/>
        </w:rPr>
      </w:pPr>
    </w:p>
    <w:p>
      <w:pPr>
        <w:jc w:val="both"/>
        <w:ind w:left="660" w:hanging="328"/>
        <w:spacing w:after="0" w:line="27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Emission Allowances </w:t>
      </w:r>
      <w:r>
        <w:rPr>
          <w:rFonts w:ascii="Arial" w:cs="Arial" w:eastAsia="Arial" w:hAnsi="Arial"/>
          <w:sz w:val="18"/>
          <w:szCs w:val="18"/>
          <w:color w:val="auto"/>
        </w:rPr>
        <w:t>— These intangibles primarily consist of SO</w:t>
      </w:r>
      <w:r>
        <w:rPr>
          <w:rFonts w:ascii="Arial" w:cs="Arial" w:eastAsia="Arial" w:hAnsi="Arial"/>
          <w:sz w:val="25"/>
          <w:szCs w:val="25"/>
          <w:color w:val="auto"/>
          <w:vertAlign w:val="subscript"/>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4"/>
          <w:szCs w:val="14"/>
          <w:color w:val="auto"/>
        </w:rPr>
        <w:t>x</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 allowances established with the El Segundo and Walnut</w:t>
      </w:r>
      <w:r>
        <w:rPr>
          <w:rFonts w:ascii="Arial" w:cs="Arial" w:eastAsia="Arial" w:hAnsi="Arial"/>
          <w:sz w:val="18"/>
          <w:szCs w:val="18"/>
          <w:i w:val="1"/>
          <w:iCs w:val="1"/>
          <w:color w:val="auto"/>
        </w:rPr>
        <w:t xml:space="preserve"> </w:t>
      </w:r>
      <w:r>
        <w:rPr>
          <w:rFonts w:ascii="Arial" w:cs="Arial" w:eastAsia="Arial" w:hAnsi="Arial"/>
          <w:sz w:val="18"/>
          <w:szCs w:val="18"/>
          <w:color w:val="auto"/>
        </w:rPr>
        <w:t>Creek acquisitions. These emission allowances are held-for-use and are amortized to cost of operations, with NO</w:t>
      </w:r>
      <w:r>
        <w:rPr>
          <w:rFonts w:ascii="Arial" w:cs="Arial" w:eastAsia="Arial" w:hAnsi="Arial"/>
          <w:sz w:val="14"/>
          <w:szCs w:val="14"/>
          <w:color w:val="auto"/>
        </w:rPr>
        <w:t>x</w:t>
      </w:r>
      <w:r>
        <w:rPr>
          <w:rFonts w:ascii="Arial" w:cs="Arial" w:eastAsia="Arial" w:hAnsi="Arial"/>
          <w:sz w:val="18"/>
          <w:szCs w:val="18"/>
          <w:color w:val="auto"/>
        </w:rPr>
        <w:t xml:space="preserve"> allowances amortized on a straight-line basis and SO</w:t>
      </w:r>
      <w:r>
        <w:rPr>
          <w:rFonts w:ascii="Arial" w:cs="Arial" w:eastAsia="Arial" w:hAnsi="Arial"/>
          <w:sz w:val="12"/>
          <w:szCs w:val="12"/>
          <w:color w:val="auto"/>
        </w:rPr>
        <w:t>2</w:t>
      </w:r>
      <w:r>
        <w:rPr>
          <w:rFonts w:ascii="Arial" w:cs="Arial" w:eastAsia="Arial" w:hAnsi="Arial"/>
          <w:sz w:val="18"/>
          <w:szCs w:val="18"/>
          <w:color w:val="auto"/>
        </w:rPr>
        <w:t xml:space="preserve"> allowances amortized based on units of production.</w:t>
      </w:r>
    </w:p>
    <w:p>
      <w:pPr>
        <w:spacing w:after="0" w:line="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Development rights </w:t>
      </w:r>
      <w:r>
        <w:rPr>
          <w:rFonts w:ascii="Arial" w:cs="Arial" w:eastAsia="Arial" w:hAnsi="Arial"/>
          <w:sz w:val="18"/>
          <w:szCs w:val="18"/>
          <w:color w:val="auto"/>
        </w:rPr>
        <w:t>— Arising primarily from the acquisition of solar businesses in 2010 and 2011, these intangibles are amortized to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expense on a straight-line basis over the estimated life of the related project portfolio.</w:t>
      </w:r>
    </w:p>
    <w:p>
      <w:pPr>
        <w:spacing w:after="0" w:line="8" w:lineRule="exact"/>
        <w:rPr>
          <w:rFonts w:ascii="Arial" w:cs="Arial" w:eastAsia="Arial" w:hAnsi="Arial"/>
          <w:sz w:val="18"/>
          <w:szCs w:val="18"/>
          <w:i w:val="1"/>
          <w:iCs w:val="1"/>
          <w:color w:val="auto"/>
        </w:rPr>
      </w:pPr>
    </w:p>
    <w:p>
      <w:pPr>
        <w:jc w:val="both"/>
        <w:ind w:left="660" w:right="2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Customer contracts </w:t>
      </w:r>
      <w:r>
        <w:rPr>
          <w:rFonts w:ascii="Arial" w:cs="Arial" w:eastAsia="Arial" w:hAnsi="Arial"/>
          <w:sz w:val="18"/>
          <w:szCs w:val="18"/>
          <w:color w:val="auto"/>
        </w:rPr>
        <w:t>— Established with the acquisition of NRG Energy Center Phoenix, these intangibles represent the fair value at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contracts that primarily provide chilled water, steam and electricity to its customers. These contracts are amortized to revenues based on expected volumes.</w:t>
      </w:r>
    </w:p>
    <w:p>
      <w:pPr>
        <w:spacing w:after="0" w:line="1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Customer relationships </w:t>
      </w:r>
      <w:r>
        <w:rPr>
          <w:rFonts w:ascii="Arial" w:cs="Arial" w:eastAsia="Arial" w:hAnsi="Arial"/>
          <w:sz w:val="18"/>
          <w:szCs w:val="18"/>
          <w:color w:val="auto"/>
        </w:rPr>
        <w:t>— Established with the acquisition of NRG Energy Center Phoenix and NRG Energy Systems, these intangibles represent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at the acquisition date of the businesses' customer base. The customer relationships are amortized to depreciation and amortization expense based on the expected discounted future net cash flows by year.</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PPAs </w:t>
      </w:r>
      <w:r>
        <w:rPr>
          <w:rFonts w:ascii="Arial" w:cs="Arial" w:eastAsia="Arial" w:hAnsi="Arial"/>
          <w:sz w:val="18"/>
          <w:szCs w:val="18"/>
          <w:color w:val="auto"/>
        </w:rPr>
        <w:t>— Established predominantly with the acquisitions of the Alta Wind Portfolio, Walnut Creek, Tapestry and Laredo Ridge, these represent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PPAs acquired. These will be amortized, generally on a straight-line basis, over the term of the PPA.</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Leasehold Rights </w:t>
      </w:r>
      <w:r>
        <w:rPr>
          <w:rFonts w:ascii="Arial" w:cs="Arial" w:eastAsia="Arial" w:hAnsi="Arial"/>
          <w:sz w:val="18"/>
          <w:szCs w:val="18"/>
          <w:color w:val="auto"/>
        </w:rPr>
        <w:t>— Established with the acquisition of the Alta Wind Portfolio, this represents the fair value of contractual rights to receive royalty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equal to a percentage of PPA revenue from certain projects. These will be amortized on a straight-line basis.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Consists of the acquisition date fair value of the contractual rights to a ground lease for South Trent and to utilize certain interconnection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for Blythe, as well as land rights acquired in connection with the acquisition of Elbow Creek.</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the components of intangible assets subject to amortization: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December 31, 2015</w:t>
            </w:r>
          </w:p>
        </w:tc>
        <w:tc>
          <w:tcPr>
            <w:tcW w:w="1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Emission</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Customer</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Customer</w:t>
            </w:r>
          </w:p>
        </w:tc>
        <w:tc>
          <w:tcPr>
            <w:tcW w:w="18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PPAs</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Leasehold</w:t>
            </w:r>
          </w:p>
        </w:tc>
        <w:tc>
          <w:tcPr>
            <w:tcW w:w="16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6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Allowances</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Rights</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Contracts</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Relationships</w:t>
            </w: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Rights</w:t>
            </w:r>
          </w:p>
        </w:tc>
        <w:tc>
          <w:tcPr>
            <w:tcW w:w="1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January 1, 2015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December 31, 2015</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7"/>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Net carrying amount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December 31, 2014</w:t>
            </w:r>
          </w:p>
        </w:tc>
        <w:tc>
          <w:tcPr>
            <w:tcW w:w="180" w:type="dxa"/>
            <w:vAlign w:val="bottom"/>
          </w:tcPr>
          <w:p>
            <w:pPr>
              <w:spacing w:after="0"/>
              <w:rPr>
                <w:sz w:val="23"/>
                <w:szCs w:val="23"/>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Emission</w:t>
            </w:r>
          </w:p>
        </w:tc>
        <w:tc>
          <w:tcPr>
            <w:tcW w:w="140" w:type="dxa"/>
            <w:vAlign w:val="bottom"/>
          </w:tcPr>
          <w:p>
            <w:pPr>
              <w:spacing w:after="0"/>
              <w:rPr>
                <w:sz w:val="23"/>
                <w:szCs w:val="2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23"/>
                <w:szCs w:val="2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Customer</w:t>
            </w:r>
          </w:p>
        </w:tc>
        <w:tc>
          <w:tcPr>
            <w:tcW w:w="160" w:type="dxa"/>
            <w:vAlign w:val="bottom"/>
          </w:tcPr>
          <w:p>
            <w:pPr>
              <w:spacing w:after="0"/>
              <w:rPr>
                <w:sz w:val="23"/>
                <w:szCs w:val="2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Customer</w:t>
            </w:r>
          </w:p>
        </w:tc>
        <w:tc>
          <w:tcPr>
            <w:tcW w:w="180" w:type="dxa"/>
            <w:vAlign w:val="bottom"/>
          </w:tcPr>
          <w:p>
            <w:pPr>
              <w:spacing w:after="0"/>
              <w:rPr>
                <w:sz w:val="23"/>
                <w:szCs w:val="2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PPAs</w:t>
            </w:r>
          </w:p>
        </w:tc>
        <w:tc>
          <w:tcPr>
            <w:tcW w:w="160" w:type="dxa"/>
            <w:vAlign w:val="bottom"/>
          </w:tcPr>
          <w:p>
            <w:pPr>
              <w:spacing w:after="0"/>
              <w:rPr>
                <w:sz w:val="23"/>
                <w:szCs w:val="2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Leasehold</w:t>
            </w:r>
          </w:p>
        </w:tc>
        <w:tc>
          <w:tcPr>
            <w:tcW w:w="160" w:type="dxa"/>
            <w:vAlign w:val="bottom"/>
          </w:tcPr>
          <w:p>
            <w:pPr>
              <w:spacing w:after="0"/>
              <w:rPr>
                <w:sz w:val="23"/>
                <w:szCs w:val="2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23"/>
                <w:szCs w:val="23"/>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6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Allowances</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Rights</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Contracts</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Relationships</w:t>
            </w: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Rights</w:t>
            </w:r>
          </w:p>
        </w:tc>
        <w:tc>
          <w:tcPr>
            <w:tcW w:w="1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January 1, 2014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Acquisition of Alta Wind Portfolio</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29"/>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Transfer of January 2015 Drop</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Down Assets</w:t>
            </w:r>
          </w:p>
        </w:tc>
        <w:tc>
          <w:tcPr>
            <w:tcW w:w="18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December 31, 2014</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Net carrying amount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right="34"/>
              <w:spacing w:after="0"/>
              <w:rPr>
                <w:sz w:val="20"/>
                <w:szCs w:val="20"/>
                <w:color w:val="auto"/>
              </w:rPr>
            </w:pPr>
            <w:r>
              <w:rPr>
                <w:rFonts w:ascii="Arial" w:cs="Arial" w:eastAsia="Arial" w:hAnsi="Arial"/>
                <w:sz w:val="18"/>
                <w:szCs w:val="18"/>
                <w:color w:val="auto"/>
                <w:w w:val="89"/>
              </w:rPr>
              <w:t>90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90" w:name="page91"/>
    <w:bookmarkEnd w:id="90"/>
    <w:p>
      <w:pPr>
        <w:jc w:val="both"/>
        <w:ind w:firstLine="405"/>
        <w:spacing w:after="0" w:line="264" w:lineRule="auto"/>
        <w:rPr>
          <w:sz w:val="20"/>
          <w:szCs w:val="20"/>
          <w:color w:val="auto"/>
        </w:rPr>
      </w:pPr>
      <w:r>
        <w:rPr>
          <w:rFonts w:ascii="Arial" w:cs="Arial" w:eastAsia="Arial" w:hAnsi="Arial"/>
          <w:sz w:val="18"/>
          <w:szCs w:val="18"/>
          <w:color w:val="auto"/>
        </w:rPr>
        <w:t>The Company recorded amortization of $55 million, $30 million and $4 million during the years ended December 31, 2015, 2014 and 2013. Of these amounts, $54 million and $29 million for the years ended December 31, 2015, and 2014, respectively, were recorded as contra-revenue. The following table presents estimated amortization of the Company's intangible assets for each of the next five years: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1160" w:type="dxa"/>
            <w:vAlign w:val="bottom"/>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1"/>
        </w:trPr>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15"/>
              <w:spacing w:after="0"/>
              <w:rPr>
                <w:sz w:val="20"/>
                <w:szCs w:val="20"/>
                <w:color w:val="auto"/>
              </w:rPr>
            </w:pPr>
            <w:r>
              <w:rPr>
                <w:rFonts w:ascii="Arial" w:cs="Arial" w:eastAsia="Arial" w:hAnsi="Arial"/>
                <w:sz w:val="14"/>
                <w:szCs w:val="14"/>
                <w:b w:val="1"/>
                <w:bCs w:val="1"/>
                <w:color w:val="auto"/>
              </w:rPr>
              <w:t>(In millions)</w:t>
            </w:r>
          </w:p>
        </w:tc>
      </w:tr>
      <w:tr>
        <w:trPr>
          <w:trHeight w:val="282"/>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84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70</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8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8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71</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71</w:t>
            </w:r>
          </w:p>
        </w:tc>
      </w:tr>
    </w:tbl>
    <w:p>
      <w:pPr>
        <w:spacing w:after="0" w:line="28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weighted average amortization period related to the intangibles acquired in the year ended December 31, 2015, was 18 years for other intangible assets.</w:t>
      </w:r>
    </w:p>
    <w:p>
      <w:pPr>
        <w:spacing w:after="0" w:line="11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Out-of-market contracts </w:t>
      </w:r>
      <w:r>
        <w:rPr>
          <w:rFonts w:ascii="Arial" w:cs="Arial" w:eastAsia="Arial" w:hAnsi="Arial"/>
          <w:sz w:val="17"/>
          <w:szCs w:val="17"/>
          <w:color w:val="auto"/>
        </w:rPr>
        <w:t>— The out-of-market contract liability represents the out-of-market value of the PPA for the Blythe solar project and Spring</w:t>
      </w:r>
      <w:r>
        <w:rPr>
          <w:rFonts w:ascii="Arial" w:cs="Arial" w:eastAsia="Arial" w:hAnsi="Arial"/>
          <w:sz w:val="17"/>
          <w:szCs w:val="17"/>
          <w:i w:val="1"/>
          <w:iCs w:val="1"/>
          <w:color w:val="auto"/>
        </w:rPr>
        <w:t xml:space="preserve"> </w:t>
      </w:r>
      <w:r>
        <w:rPr>
          <w:rFonts w:ascii="Arial" w:cs="Arial" w:eastAsia="Arial" w:hAnsi="Arial"/>
          <w:sz w:val="17"/>
          <w:szCs w:val="17"/>
          <w:color w:val="auto"/>
        </w:rPr>
        <w:t>Canyon wind projects and the out-of-market value of the land lease for Alta Wind XI Holding Company, LLC, as of their respective acquisition dates. The Blythe solar project's liability of $5 million is recorded to other non-current liabilities and is amortized to revenue on a units-of-production basis over the twenty-year term of the agreement. Spring Canyon's liability of $3 million is recorded to other non-current liabilities and is amortized to revenue on a straight-line basis over the twenty-five year term of the agreement. The Alta Wind XI Holding Company, LLC's liability of $5 million is recorded to other non-current liabilities and is amortized to cost of operations on a straight-line basis over the term of the land lease. At December 31, 2015, accumulated amortization of out-of-market contracts was $3 million and amortization expense was $1 million for the year ended December 31, 2015.</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989"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9 — Long-term Debt</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borrowings, including short term and long term portions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December 31,</w:t>
            </w: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Letters of Credit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 xml:space="preserve">Interest rate % </w:t>
            </w:r>
            <w:r>
              <w:rPr>
                <w:rFonts w:ascii="Arial" w:cs="Arial" w:eastAsia="Arial" w:hAnsi="Arial"/>
                <w:sz w:val="8"/>
                <w:szCs w:val="8"/>
                <w:b w:val="1"/>
                <w:bCs w:val="1"/>
                <w:color w:val="auto"/>
              </w:rPr>
              <w:t>(a)</w:t>
            </w:r>
          </w:p>
        </w:tc>
        <w:tc>
          <w:tcPr>
            <w:tcW w:w="120" w:type="dxa"/>
            <w:vAlign w:val="bottom"/>
            <w:vMerge w:val="restart"/>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Outstanding at</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1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40" w:type="dxa"/>
            <w:vAlign w:val="bottom"/>
            <w:gridSpan w:val="4"/>
          </w:tcPr>
          <w:p>
            <w:pPr>
              <w:ind w:left="60"/>
              <w:spacing w:after="0"/>
              <w:rPr>
                <w:sz w:val="20"/>
                <w:szCs w:val="20"/>
                <w:color w:val="auto"/>
              </w:rPr>
            </w:pPr>
            <w:r>
              <w:rPr>
                <w:rFonts w:ascii="Arial" w:cs="Arial" w:eastAsia="Arial" w:hAnsi="Arial"/>
                <w:sz w:val="14"/>
                <w:szCs w:val="14"/>
                <w:b w:val="1"/>
                <w:bCs w:val="1"/>
                <w:color w:val="auto"/>
              </w:rPr>
              <w:t>(In millions, except rates)</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Notes, due 2024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5.375</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Long-term debt - affiliate, due 2020</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3.325</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 affiliate, due 2019</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3.580</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 xml:space="preserve">NRG Yield LLC and NRG Yield Operating LLC Revolving Credit Facility, due 2019 </w:t>
            </w:r>
            <w:r>
              <w:rPr>
                <w:rFonts w:ascii="Arial" w:cs="Arial" w:eastAsia="Arial" w:hAnsi="Arial"/>
                <w:sz w:val="8"/>
                <w:szCs w:val="8"/>
                <w:color w:val="auto"/>
              </w:rPr>
              <w:t>(b)</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920" w:type="dxa"/>
            <w:vAlign w:val="bottom"/>
            <w:gridSpan w:val="2"/>
          </w:tcPr>
          <w:p>
            <w:pPr>
              <w:jc w:val="right"/>
              <w:ind w:right="140"/>
              <w:spacing w:after="0"/>
              <w:rPr>
                <w:sz w:val="20"/>
                <w:szCs w:val="20"/>
                <w:color w:val="auto"/>
              </w:rPr>
            </w:pPr>
            <w:r>
              <w:rPr>
                <w:rFonts w:ascii="Arial" w:cs="Arial" w:eastAsia="Arial" w:hAnsi="Arial"/>
                <w:sz w:val="14"/>
                <w:szCs w:val="14"/>
                <w:color w:val="auto"/>
              </w:rPr>
              <w:t>L+2.75</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Project-level debt: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Alpine, due 2022</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920" w:type="dxa"/>
            <w:vAlign w:val="bottom"/>
            <w:gridSpan w:val="2"/>
          </w:tcPr>
          <w:p>
            <w:pPr>
              <w:jc w:val="right"/>
              <w:ind w:right="140"/>
              <w:spacing w:after="0"/>
              <w:rPr>
                <w:sz w:val="20"/>
                <w:szCs w:val="20"/>
                <w:color w:val="auto"/>
              </w:rPr>
            </w:pPr>
            <w:r>
              <w:rPr>
                <w:rFonts w:ascii="Arial" w:cs="Arial" w:eastAsia="Arial" w:hAnsi="Arial"/>
                <w:sz w:val="14"/>
                <w:szCs w:val="14"/>
                <w:color w:val="auto"/>
              </w:rPr>
              <w:t>L+1.75</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Alta Wind I, lease financing arrangement, due 2034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7.015</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Alta Wind II, lease financing arrangement, due 2034</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800" w:type="dxa"/>
            <w:vAlign w:val="bottom"/>
          </w:tcPr>
          <w:p>
            <w:pPr>
              <w:jc w:val="right"/>
              <w:spacing w:after="0"/>
              <w:rPr>
                <w:sz w:val="20"/>
                <w:szCs w:val="20"/>
                <w:color w:val="auto"/>
              </w:rPr>
            </w:pPr>
            <w:r>
              <w:rPr>
                <w:rFonts w:ascii="Arial" w:cs="Arial" w:eastAsia="Arial" w:hAnsi="Arial"/>
                <w:sz w:val="14"/>
                <w:szCs w:val="14"/>
                <w:color w:val="auto"/>
              </w:rPr>
              <w:t>5.696</w:t>
            </w: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Alta Wind III, lease financing arrangement, due 2034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6.067</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Alta Wind IV, lease financing arrangement, due 2034</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1800" w:type="dxa"/>
            <w:vAlign w:val="bottom"/>
          </w:tcPr>
          <w:p>
            <w:pPr>
              <w:jc w:val="right"/>
              <w:spacing w:after="0"/>
              <w:rPr>
                <w:sz w:val="20"/>
                <w:szCs w:val="20"/>
                <w:color w:val="auto"/>
              </w:rPr>
            </w:pPr>
            <w:r>
              <w:rPr>
                <w:rFonts w:ascii="Arial" w:cs="Arial" w:eastAsia="Arial" w:hAnsi="Arial"/>
                <w:sz w:val="14"/>
                <w:szCs w:val="14"/>
                <w:color w:val="auto"/>
              </w:rPr>
              <w:t>5.938</w:t>
            </w: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Alta Wind V, lease financing arrangement, due 2035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6.071</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Alta Wind X, due 2021</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1920" w:type="dxa"/>
            <w:vAlign w:val="bottom"/>
            <w:gridSpan w:val="2"/>
          </w:tcPr>
          <w:p>
            <w:pPr>
              <w:jc w:val="right"/>
              <w:ind w:right="140"/>
              <w:spacing w:after="0"/>
              <w:rPr>
                <w:sz w:val="20"/>
                <w:szCs w:val="20"/>
                <w:color w:val="auto"/>
              </w:rPr>
            </w:pPr>
            <w:r>
              <w:rPr>
                <w:rFonts w:ascii="Arial" w:cs="Arial" w:eastAsia="Arial" w:hAnsi="Arial"/>
                <w:sz w:val="14"/>
                <w:szCs w:val="14"/>
                <w:color w:val="auto"/>
              </w:rPr>
              <w:t>L+2.00</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Alta Wind XI, due 2021</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L+2.00</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Alta Realty Investments, due 2031</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800" w:type="dxa"/>
            <w:vAlign w:val="bottom"/>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Alta Wind Asset Management, due 2031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L+2.375</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Avra Valley, due 2031</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920" w:type="dxa"/>
            <w:vAlign w:val="bottom"/>
            <w:gridSpan w:val="2"/>
          </w:tcPr>
          <w:p>
            <w:pPr>
              <w:jc w:val="right"/>
              <w:ind w:right="140"/>
              <w:spacing w:after="0"/>
              <w:rPr>
                <w:sz w:val="20"/>
                <w:szCs w:val="20"/>
                <w:color w:val="auto"/>
              </w:rPr>
            </w:pPr>
            <w:r>
              <w:rPr>
                <w:rFonts w:ascii="Arial" w:cs="Arial" w:eastAsia="Arial" w:hAnsi="Arial"/>
                <w:sz w:val="14"/>
                <w:szCs w:val="14"/>
                <w:color w:val="auto"/>
              </w:rPr>
              <w:t>L+1.75</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Blythe, due 2028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L+1.625</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Borrego, due 2025 and 2038</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920" w:type="dxa"/>
            <w:vAlign w:val="bottom"/>
            <w:gridSpan w:val="2"/>
          </w:tcPr>
          <w:p>
            <w:pPr>
              <w:jc w:val="right"/>
              <w:ind w:right="140"/>
              <w:spacing w:after="0"/>
              <w:rPr>
                <w:sz w:val="20"/>
                <w:szCs w:val="20"/>
                <w:color w:val="auto"/>
              </w:rPr>
            </w:pPr>
            <w:r>
              <w:rPr>
                <w:rFonts w:ascii="Arial" w:cs="Arial" w:eastAsia="Arial" w:hAnsi="Arial"/>
                <w:sz w:val="14"/>
                <w:szCs w:val="14"/>
                <w:color w:val="auto"/>
              </w:rPr>
              <w:t>L+ 2.50/5.65</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El Segundo Energy Center, due 2023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506</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L+1.625 - L+2.25</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Energy Center Minneapolis, due 2017 and 2025</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800" w:type="dxa"/>
            <w:vAlign w:val="bottom"/>
          </w:tcPr>
          <w:p>
            <w:pPr>
              <w:jc w:val="right"/>
              <w:spacing w:after="0"/>
              <w:rPr>
                <w:sz w:val="20"/>
                <w:szCs w:val="20"/>
                <w:color w:val="auto"/>
              </w:rPr>
            </w:pPr>
            <w:r>
              <w:rPr>
                <w:rFonts w:ascii="Arial" w:cs="Arial" w:eastAsia="Arial" w:hAnsi="Arial"/>
                <w:sz w:val="14"/>
                <w:szCs w:val="14"/>
                <w:color w:val="auto"/>
              </w:rPr>
              <w:t>5.95 -7.25</w:t>
            </w: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Kansas South, due 2031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L+2.00</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Laredo Ridge, due 2028</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1920" w:type="dxa"/>
            <w:vAlign w:val="bottom"/>
            <w:gridSpan w:val="2"/>
          </w:tcPr>
          <w:p>
            <w:pPr>
              <w:jc w:val="right"/>
              <w:ind w:right="140"/>
              <w:spacing w:after="0"/>
              <w:rPr>
                <w:sz w:val="20"/>
                <w:szCs w:val="20"/>
                <w:color w:val="auto"/>
              </w:rPr>
            </w:pPr>
            <w:r>
              <w:rPr>
                <w:rFonts w:ascii="Arial" w:cs="Arial" w:eastAsia="Arial" w:hAnsi="Arial"/>
                <w:sz w:val="14"/>
                <w:szCs w:val="14"/>
                <w:color w:val="auto"/>
              </w:rPr>
              <w:t>L+1.875</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Marsh Landing, due 2017 and 2023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464</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L+1.75 - L+1.875</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PFMG and related subsidiaries financing agreement, due 2030</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800" w:type="dxa"/>
            <w:vAlign w:val="bottom"/>
          </w:tcPr>
          <w:p>
            <w:pPr>
              <w:jc w:val="right"/>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Roadrunner, due 2031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L+1.625</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South Trent Wind, due 2020</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920" w:type="dxa"/>
            <w:vAlign w:val="bottom"/>
            <w:gridSpan w:val="2"/>
          </w:tcPr>
          <w:p>
            <w:pPr>
              <w:jc w:val="right"/>
              <w:ind w:right="140"/>
              <w:spacing w:after="0"/>
              <w:rPr>
                <w:sz w:val="20"/>
                <w:szCs w:val="20"/>
                <w:color w:val="auto"/>
              </w:rPr>
            </w:pPr>
            <w:r>
              <w:rPr>
                <w:rFonts w:ascii="Arial" w:cs="Arial" w:eastAsia="Arial" w:hAnsi="Arial"/>
                <w:sz w:val="14"/>
                <w:szCs w:val="14"/>
                <w:color w:val="auto"/>
              </w:rPr>
              <w:t>L+1.625</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 High Desert, due 2020 and 2032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L+2.50/5.15</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Tapestry Wind, due 2021</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192</w:t>
            </w:r>
          </w:p>
        </w:tc>
        <w:tc>
          <w:tcPr>
            <w:tcW w:w="1920" w:type="dxa"/>
            <w:vAlign w:val="bottom"/>
            <w:gridSpan w:val="2"/>
          </w:tcPr>
          <w:p>
            <w:pPr>
              <w:jc w:val="right"/>
              <w:ind w:right="140"/>
              <w:spacing w:after="0"/>
              <w:rPr>
                <w:sz w:val="20"/>
                <w:szCs w:val="20"/>
                <w:color w:val="auto"/>
              </w:rPr>
            </w:pPr>
            <w:r>
              <w:rPr>
                <w:rFonts w:ascii="Arial" w:cs="Arial" w:eastAsia="Arial" w:hAnsi="Arial"/>
                <w:sz w:val="14"/>
                <w:szCs w:val="14"/>
                <w:color w:val="auto"/>
              </w:rPr>
              <w:t>L+1.625</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Viento, due 2023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L+2.75</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Walnut Creek, due 2023</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391</w:t>
            </w:r>
          </w:p>
        </w:tc>
        <w:tc>
          <w:tcPr>
            <w:tcW w:w="1920" w:type="dxa"/>
            <w:vAlign w:val="bottom"/>
            <w:gridSpan w:val="2"/>
          </w:tcPr>
          <w:p>
            <w:pPr>
              <w:jc w:val="right"/>
              <w:ind w:right="140"/>
              <w:spacing w:after="0"/>
              <w:rPr>
                <w:sz w:val="20"/>
                <w:szCs w:val="20"/>
                <w:color w:val="auto"/>
              </w:rPr>
            </w:pPr>
            <w:r>
              <w:rPr>
                <w:rFonts w:ascii="Arial" w:cs="Arial" w:eastAsia="Arial" w:hAnsi="Arial"/>
                <w:sz w:val="14"/>
                <w:szCs w:val="14"/>
                <w:color w:val="auto"/>
              </w:rPr>
              <w:t>L+1.625</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WCEP Holdings, due 2023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L+3.00</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9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various</w:t>
            </w:r>
          </w:p>
        </w:tc>
        <w:tc>
          <w:tcPr>
            <w:tcW w:w="14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Subtotal project-level debt:</w:t>
            </w: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3,461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4,159</w:t>
            </w:r>
          </w:p>
        </w:tc>
        <w:tc>
          <w:tcPr>
            <w:tcW w:w="1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380"/>
              <w:spacing w:after="0"/>
              <w:rPr>
                <w:sz w:val="20"/>
                <w:szCs w:val="20"/>
                <w:color w:val="auto"/>
              </w:rPr>
            </w:pPr>
            <w:r>
              <w:rPr>
                <w:rFonts w:ascii="Arial" w:cs="Arial" w:eastAsia="Arial" w:hAnsi="Arial"/>
                <w:sz w:val="14"/>
                <w:szCs w:val="14"/>
                <w:color w:val="auto"/>
              </w:rPr>
              <w:t>Total debt</w:t>
            </w:r>
          </w:p>
        </w:tc>
        <w:tc>
          <w:tcPr>
            <w:tcW w:w="1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4,885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4,996</w:t>
            </w: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current maturities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deferred financing costs </w:t>
            </w:r>
            <w:r>
              <w:rPr>
                <w:rFonts w:ascii="Arial" w:cs="Arial" w:eastAsia="Arial" w:hAnsi="Arial"/>
                <w:sz w:val="8"/>
                <w:szCs w:val="8"/>
                <w:color w:val="auto"/>
              </w:rPr>
              <w:t>(c)</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w:t>
            </w:r>
          </w:p>
        </w:tc>
        <w:tc>
          <w:tcPr>
            <w:tcW w:w="1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4,714</w:t>
            </w: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976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72" w:lineRule="exact"/>
        <w:rPr>
          <w:sz w:val="20"/>
          <w:szCs w:val="20"/>
          <w:color w:val="auto"/>
        </w:rPr>
      </w:pPr>
    </w:p>
    <w:p>
      <w:pPr>
        <w:ind w:left="260" w:right="2360" w:hanging="252"/>
        <w:spacing w:after="0" w:line="230" w:lineRule="auto"/>
        <w:tabs>
          <w:tab w:leader="none" w:pos="152" w:val="left"/>
        </w:tabs>
        <w:numPr>
          <w:ilvl w:val="0"/>
          <w:numId w:val="48"/>
        </w:numPr>
        <w:rPr>
          <w:rFonts w:ascii="Arial" w:cs="Arial" w:eastAsia="Arial" w:hAnsi="Arial"/>
          <w:sz w:val="9"/>
          <w:szCs w:val="9"/>
          <w:color w:val="auto"/>
        </w:rPr>
      </w:pPr>
      <w:r>
        <w:rPr>
          <w:rFonts w:ascii="Arial" w:cs="Arial" w:eastAsia="Arial" w:hAnsi="Arial"/>
          <w:sz w:val="14"/>
          <w:szCs w:val="14"/>
          <w:color w:val="auto"/>
        </w:rPr>
        <w:t>As of December 31, 2015, L+ equals 3 month LIBOR plus x%, except for the NRG Marsh Landing term loan, Walnut Creek term loan, and the Revolving Credit Facility where L+ equals 1 month LIBOR plus x% and Kansas South where L+ equals 6 month LIBOR plus x%.</w:t>
      </w:r>
    </w:p>
    <w:p>
      <w:pPr>
        <w:ind w:left="140" w:hanging="132"/>
        <w:spacing w:after="0" w:line="221" w:lineRule="auto"/>
        <w:tabs>
          <w:tab w:leader="none" w:pos="140" w:val="left"/>
        </w:tabs>
        <w:numPr>
          <w:ilvl w:val="0"/>
          <w:numId w:val="48"/>
        </w:numPr>
        <w:rPr>
          <w:rFonts w:ascii="Arial" w:cs="Arial" w:eastAsia="Arial" w:hAnsi="Arial"/>
          <w:sz w:val="9"/>
          <w:szCs w:val="9"/>
          <w:color w:val="auto"/>
        </w:rPr>
      </w:pPr>
      <w:r>
        <w:rPr>
          <w:rFonts w:ascii="Arial" w:cs="Arial" w:eastAsia="Arial" w:hAnsi="Arial"/>
          <w:sz w:val="14"/>
          <w:szCs w:val="14"/>
          <w:color w:val="auto"/>
        </w:rPr>
        <w:t>Applicable rate is determined by the Borrower Leverage Ratio, as defined in the credit agreement.</w:t>
      </w:r>
    </w:p>
    <w:p>
      <w:pPr>
        <w:ind w:left="140" w:hanging="132"/>
        <w:spacing w:after="0"/>
        <w:tabs>
          <w:tab w:leader="none" w:pos="140" w:val="left"/>
        </w:tabs>
        <w:numPr>
          <w:ilvl w:val="0"/>
          <w:numId w:val="48"/>
        </w:numPr>
        <w:rPr>
          <w:rFonts w:ascii="Arial" w:cs="Arial" w:eastAsia="Arial" w:hAnsi="Arial"/>
          <w:sz w:val="9"/>
          <w:szCs w:val="9"/>
          <w:color w:val="auto"/>
        </w:rPr>
      </w:pPr>
      <w:r>
        <w:rPr>
          <w:rFonts w:ascii="Arial" w:cs="Arial" w:eastAsia="Arial" w:hAnsi="Arial"/>
          <w:sz w:val="14"/>
          <w:szCs w:val="14"/>
          <w:color w:val="auto"/>
        </w:rPr>
        <w:t xml:space="preserve">Total net debt reflects the reclassification of deferred financing costs to reduce long-term debt as further described in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877" w:right="259" w:bottom="1440" w:gutter="0" w:footer="0" w:header="0"/>
        </w:sectPr>
      </w:pPr>
    </w:p>
    <w:bookmarkStart w:id="92" w:name="page93"/>
    <w:bookmarkEnd w:id="92"/>
    <w:p>
      <w:pPr>
        <w:jc w:val="both"/>
        <w:ind w:firstLine="405"/>
        <w:spacing w:after="0" w:line="308" w:lineRule="auto"/>
        <w:rPr>
          <w:sz w:val="20"/>
          <w:szCs w:val="20"/>
          <w:color w:val="auto"/>
        </w:rPr>
      </w:pPr>
      <w:r>
        <w:rPr>
          <w:rFonts w:ascii="Arial" w:cs="Arial" w:eastAsia="Arial" w:hAnsi="Arial"/>
          <w:sz w:val="17"/>
          <w:szCs w:val="17"/>
          <w:color w:val="auto"/>
        </w:rPr>
        <w:t>The financing arrangements listed above contain certain covenants, including financial covenants, that the Company is required to be in compliance with during the term of the arrangement. As of December 31, 2015, the Company was in compliance with all of the required covenants.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pro-rata share of non-recourse debt held by unconsolidated affiliates was approximately $842 million as of December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Yield, Inc. 2020 Convertible Senior Notes and Related Intercompany Note</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June 29, 2015, Yield, Inc. closed on its offering of $287.5 million aggregate principal amount of 3.25% Convertible Senior Notes due 2020, or the 2020 Convertible Notes. The 2020 Convertible Notes are convertible, under certain circumstances, into Yield, Inc.'s Class C common stock, cash or a combination thereof at an initial conversion price of $27.50 per Class C common share, which is equivalent to an initial conversion rate of approximately 36.3636 shares of Class C common stock per $1,000 principal amount of 2020 Convertible Notes. The Company and Yield Operating LLC provided a guarantee to Yield, Inc. with respect to the 2020 Convertible Notes. In addition, Yield Operating LLC and Yield, Inc. entered into an intercompany borrowing arrangement, under which Yield Operating LLC received $281 million of the proceeds of the 2020 Convertible Notes. The intercompany note bears interest at a rate of 3.325% and matures in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Yield, Inc. 2019 Convertible Senior Notes and Related Intercompany Note</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the first quarter of 2014, Yield, Inc. closed on its offering of $345 million aggregate principal amount of 3.50% Convertible Senior Notes due 2019, or the 2019 Convertible Notes. The 2019 Convertible Notes were convertible, under certain circumstances, into Yield, Inc.’s Class A common stock, cash or a combination thereof at an initial conversion price of $46.55 per Class A common share, which is equivalent to an initial conversion rate of approximately 21.4822 shares of Class A common stock per $1,000 principal amount of Convertible Notes. In connection with the Recapitalization, effective May 15, 2015, the conversion rate was adjusted to 42.9644 shares of Class A common stock per $1,000 principal amount of 2019 Convertible Notes in accordance with the terms of the related indenture. The Company and Yield Operating provided a guarantee to Yield, Inc. with respect to the Convertible Notes. In addition, Yield Operating and Yield, Inc. entered into an intercompany borrowing arrangement, under which Yield Operating borrowed $337 million of the proceeds of the Convertible Notes. The intercompany note bears interest at a rate of 3.58% and matures in 2019.</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Yield Operating Senior Notes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August 5, 2014, NRG Yield Operating issued $500 million of senior unsecured notes, or the Senior Notes. The Senior Notes bear interest at 5.375% and mature in August 2024. Interest on the notes is payable semi-annually on February 15 and August 15 of each year, and commenced on February 15, 2015. The Senior Notes are senior unsecured obligations of Yield Operating and are guaranteed by the Company, and by certain of Yield Operating’s wholly owned current and future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NRG Yield LLC and NRG Yield Operating LLC Revolving Credit Facility</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In connection with the Yield, Inc. initial public offering in July 2013, as further described in Note 1, </w:t>
      </w:r>
      <w:r>
        <w:rPr>
          <w:rFonts w:ascii="Arial" w:cs="Arial" w:eastAsia="Arial" w:hAnsi="Arial"/>
          <w:sz w:val="17"/>
          <w:szCs w:val="17"/>
          <w:i w:val="1"/>
          <w:iCs w:val="1"/>
          <w:color w:val="auto"/>
        </w:rPr>
        <w:t>Nature of Business</w:t>
      </w:r>
      <w:r>
        <w:rPr>
          <w:rFonts w:ascii="Arial" w:cs="Arial" w:eastAsia="Arial" w:hAnsi="Arial"/>
          <w:sz w:val="17"/>
          <w:szCs w:val="17"/>
          <w:color w:val="auto"/>
        </w:rPr>
        <w:t xml:space="preserve">, the Company and Yield Operating entered into a senior secured revolving credit facility, or the Yield Credit Facility, which was amended </w:t>
      </w:r>
      <w:r>
        <w:rPr>
          <w:rFonts w:ascii="Arial" w:cs="Arial" w:eastAsia="Arial" w:hAnsi="Arial"/>
          <w:sz w:val="17"/>
          <w:szCs w:val="17"/>
          <w:color w:val="231F20"/>
        </w:rPr>
        <w:t>on June 26, 2015, to, among other things,</w:t>
      </w:r>
      <w:r>
        <w:rPr>
          <w:rFonts w:ascii="Arial" w:cs="Arial" w:eastAsia="Arial" w:hAnsi="Arial"/>
          <w:sz w:val="17"/>
          <w:szCs w:val="17"/>
          <w:color w:val="auto"/>
        </w:rPr>
        <w:t xml:space="preserve"> </w:t>
      </w:r>
      <w:r>
        <w:rPr>
          <w:rFonts w:ascii="Arial" w:cs="Arial" w:eastAsia="Arial" w:hAnsi="Arial"/>
          <w:sz w:val="17"/>
          <w:szCs w:val="17"/>
          <w:color w:val="231F20"/>
        </w:rPr>
        <w:t xml:space="preserve">increase the availability to $495 million. </w:t>
      </w:r>
      <w:r>
        <w:rPr>
          <w:rFonts w:ascii="Arial" w:cs="Arial" w:eastAsia="Arial" w:hAnsi="Arial"/>
          <w:sz w:val="17"/>
          <w:szCs w:val="17"/>
          <w:color w:val="000000"/>
        </w:rPr>
        <w:t>The Company's revolving credit facility can be used for cash or for the issuance of letters of credit.</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On November 3, 2015, the Company borrowed $209 million from the revolving credit facility to finance the acquisition of the November 2015 Drop Down Assets as discussed in </w:t>
      </w:r>
      <w:r>
        <w:rPr>
          <w:rFonts w:ascii="Arial" w:cs="Arial" w:eastAsia="Arial" w:hAnsi="Arial"/>
          <w:sz w:val="18"/>
          <w:szCs w:val="18"/>
          <w:color w:val="000000"/>
        </w:rPr>
        <w:t>Note 3</w:t>
      </w:r>
      <w:r>
        <w:rPr>
          <w:rFonts w:ascii="Arial" w:cs="Arial" w:eastAsia="Arial" w:hAnsi="Arial"/>
          <w:sz w:val="18"/>
          <w:szCs w:val="18"/>
          <w:color w:val="231F20"/>
        </w:rPr>
        <w:t xml:space="preserve">, </w:t>
      </w:r>
      <w:r>
        <w:rPr>
          <w:rFonts w:ascii="Arial" w:cs="Arial" w:eastAsia="Arial" w:hAnsi="Arial"/>
          <w:sz w:val="18"/>
          <w:szCs w:val="18"/>
          <w:i w:val="1"/>
          <w:iCs w:val="1"/>
          <w:color w:val="000000"/>
        </w:rPr>
        <w:t>Business Acquisitions</w:t>
      </w:r>
      <w:r>
        <w:rPr>
          <w:rFonts w:ascii="Arial" w:cs="Arial" w:eastAsia="Arial" w:hAnsi="Arial"/>
          <w:sz w:val="18"/>
          <w:szCs w:val="18"/>
          <w:color w:val="231F20"/>
        </w:rPr>
        <w:t>. On December 14, 2015, the Company borrowed $45 million from the revolving credit facility to fund dividend payments and tax equity contributions. As of December 31, 2015, $306 million of borrowings and $56 million of letters of credit were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Project - level Debt</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El Segundo Credit Agreement</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August 23, 2011, NRG West Holdings LLC, or West Holdings, entered into a credit agreement with a group of lenders in respect to the El Segundo project, or the El Segundo Credit Agreement. The El Segundo Credit Agreement is comprised of a $540 million two tranche construction loan facility with additional facilities for the issuance of letters of credit or working capital loans and is secured by the assets of West Holdings.</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two tranche construction loan facility consists of the $480 million Tranche A Construction Facility, or the Tranche A Facility, and the $60 million Tranche B Construction Facility, or the Tranche B Facility, both of which mature in August 2023 and convert to a term loan. On May 29, 2015, NRG West Holdings amended its financing agreement to increase borrowings under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044" w:right="239" w:bottom="1440" w:gutter="0" w:footer="0" w:header="0"/>
        </w:sectPr>
      </w:pPr>
    </w:p>
    <w:bookmarkStart w:id="93" w:name="page94"/>
    <w:bookmarkEnd w:id="93"/>
    <w:p>
      <w:pPr>
        <w:jc w:val="both"/>
        <w:spacing w:after="0" w:line="291" w:lineRule="auto"/>
        <w:rPr>
          <w:sz w:val="20"/>
          <w:szCs w:val="20"/>
          <w:color w:val="auto"/>
        </w:rPr>
      </w:pPr>
      <w:r>
        <w:rPr>
          <w:rFonts w:ascii="Arial" w:cs="Arial" w:eastAsia="Arial" w:hAnsi="Arial"/>
          <w:sz w:val="16"/>
          <w:szCs w:val="16"/>
          <w:color w:val="auto"/>
        </w:rPr>
        <w:t>Tranche A facility by $5 million and to reduce the related interest rate to LIBOR plus an applicable margin of 1.625% from May 29, 2015, to August 31, 2017, LIBOR plus an applicable margin of 1.75% from September 1, 2017, to August 31, 2020, and LIBOR plus 1.875% from September 1, 2020, through the maturity date; to reduce the Tranche B loan interest rate to LIBOR plus an applicable margin of 2.250% from May 29, 2015, to August 31, 2017, LIBOR plus 2.375% from September 1, 2017, to August 31, 2020, and LIBOR plus an applicable margin of 2.50% from September 1, 2020, through the maturity date and to reduce the working capital facility by $9 million. The proceeds of the increased borrowing were used to pay costs associated with the refinancing. Further, the amendment resulted in a $7 million loss on debt extinguishment. The Tranche A and Tranche B Facilities amortize based upon a predetermined schedule over the term of the loan with the balance payable at maturity. The construction loan converted to a term loan on January 28, 2014.</w:t>
      </w:r>
    </w:p>
    <w:p>
      <w:pPr>
        <w:spacing w:after="0" w:line="11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El Segundo Credit Agreement also provides for the issuance of letters of credit and working capital loans to support the El Segundo project's collateral needs. This includes letter of credit facilities on behalf of El Segundo of up to $90 million in support of the PPA, up to $48 million in support of the collateral agent, and a working capital facility which permits loans or the issuance of letters of credit of up to $10 million.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Alta Wind Financing Arrangements</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On June 30, 2015, Yield Operating LLC entered into a tax equity financing arrangement through which it received $119 million in net proceeds, as described in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These proceeds, as well as proceeds obtained from the June 29, 2015, Yield, Inc. common stock issuance, as described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 and the 2020 Convertible Notes issuance, as described above, were utilized to repay all of the project indebtedness associated with the Alta Wind X and Alta Wind XI wind facilities outstanding as of that date. The Company also settled interest rate swaps associated with the project level debt for the Alta Wind X and Alta Wind XI wind facilities at a value of $17 million.</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Avenal</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March 18, 2015, Avenal, one of the Company's equity method investments, amended its credit agreement to increase its borrowings by $43 million and to reduce the related interest rate from 6 month LIBOR plus an applicable margin of 2.25% to 6 month LIBOR plus 1.75% from March 18, 2015, through March 17, 2022, 6 month LIBOR plus 2.00% from March 18, 2022, through March 17, 2027, and 6 month LIBOR plus 2.25% from March 18, 2027, through the maturity date. As a result of the credit agreement amendment, the Company received net proceeds of $20 million after fees from its 49.95% ownership in Avenal. Effective September 30, 2015, the Company increased its ownership to 50% by acquiring an additional 0.05% membership interest in Avenal.</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Viento</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July 11, 2013, Viento entered into a credit agreement with lenders for a $200 million term loan with a maturity date of July 11, 2023 and a working capital facility in the amount of $9 million. The interest rate is 6 month LIBOR plus 2.75% until July 11, 2017 when it increases to LIBOR plus 3.00%. On July 11, 2021 it increases to LIBOR plus 3.25% through the maturity date. As of December 31, 2015, $189 million was outstanding under the term loan, nothing was outstanding under the working capital facility, and $27 million of letters of credit were issued.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financing arrangements</w:t>
      </w:r>
    </w:p>
    <w:p>
      <w:pPr>
        <w:spacing w:after="0" w:line="13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Alta Wind Holdings (Alta Wind II - V) and Alta I (operating entities) have finance lease obligations issued under lease transactions whereby the respective operating entities sold and leased back undivided interests in specific assets of the project. The sale and related lease transactions are accounted for as financing arrangements as the operating entities have continued involvement with the property. The terms and conditions of each facility lease are substantially similar. Each operating entity makes rental payments as stipulated in the facility lease agreements on a semiannual basis every June 30 and December 30 through the final maturity dates. In addition, the operating entities have a credit agreement with a group of lenders that provides for the issuance of letters of credit to support certain operating and debt service obligations. Certain O&amp;M and rent reserve requirements are satisfied by letters of credit issued under the Yield Operating agreement. As of December 31, 2015, $1,002 million was outstanding under the finance lease obligations, and $122 million of letters of credit were issued under the credit agreement and $19 million were issued under the Yield Credit Facility.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Rate Swaps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Project Financings</w:t>
      </w:r>
    </w:p>
    <w:p>
      <w:pPr>
        <w:spacing w:after="0" w:line="13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Many of the Company's project subsidiaries entered into interest rate swaps, intended to hedge the risks associated with interest rates on non-recourse project level debt. These swaps amortize in proportion to their respective loans and are floating for fixed where the project subsidiary pays its counterparty the equivalent of a fixed interest payment on a predetermined notional value and will receive quarterly the equivalent of a floating interest payment based on the same notional value. All interest rate swap payments by the project subsidiary and its counterparty are made quarterly and the LIBOR is determined in advance of each interest period. In connection with the acquisition of the Alta Wind Portfolio, as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the Company acquired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881" w:right="239" w:bottom="1440" w:gutter="0" w:footer="0" w:header="0"/>
        </w:sectPr>
      </w:pPr>
    </w:p>
    <w:bookmarkStart w:id="94" w:name="page95"/>
    <w:bookmarkEnd w:id="94"/>
    <w:p>
      <w:pPr>
        <w:spacing w:after="0" w:line="308" w:lineRule="auto"/>
        <w:rPr>
          <w:sz w:val="20"/>
          <w:szCs w:val="20"/>
          <w:color w:val="auto"/>
        </w:rPr>
      </w:pPr>
      <w:r>
        <w:rPr>
          <w:rFonts w:ascii="Arial" w:cs="Arial" w:eastAsia="Arial" w:hAnsi="Arial"/>
          <w:sz w:val="17"/>
          <w:szCs w:val="17"/>
          <w:color w:val="auto"/>
        </w:rPr>
        <w:t xml:space="preserve">thirty-one additional interest rate swaps, thirty of which were settled during 2015 as discussed above. During 2015, the Company acquired thirty-two additional interest rate swaps in connection with the January 2015 and November 2015 drop downs, as described in Note 3, </w:t>
      </w:r>
      <w:r>
        <w:rPr>
          <w:rFonts w:ascii="Arial" w:cs="Arial" w:eastAsia="Arial" w:hAnsi="Arial"/>
          <w:sz w:val="17"/>
          <w:szCs w:val="17"/>
          <w:i w:val="1"/>
          <w:iCs w:val="1"/>
          <w:color w:val="auto"/>
        </w:rPr>
        <w:t>Business Acquisitions.</w:t>
      </w:r>
    </w:p>
    <w:p>
      <w:pPr>
        <w:spacing w:after="0" w:line="14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the swaps, some of which are forward starting as indicated, related to the Company's project level debt as of December 31, 2015.</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Notional</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Fixed</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Amount at</w:t>
            </w: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 of</w:t>
            </w:r>
          </w:p>
        </w:tc>
        <w:tc>
          <w:tcPr>
            <w:tcW w:w="92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Interest</w:t>
            </w:r>
          </w:p>
        </w:tc>
        <w:tc>
          <w:tcPr>
            <w:tcW w:w="14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Floating Interest Rate</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15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Effective Date</w:t>
            </w:r>
          </w:p>
        </w:tc>
        <w:tc>
          <w:tcPr>
            <w:tcW w:w="120" w:type="dxa"/>
            <w:vAlign w:val="bottom"/>
            <w:vMerge w:val="restart"/>
          </w:tcPr>
          <w:p>
            <w:pPr>
              <w:spacing w:after="0"/>
              <w:rPr>
                <w:sz w:val="12"/>
                <w:szCs w:val="12"/>
                <w:color w:val="auto"/>
              </w:rPr>
            </w:pPr>
          </w:p>
        </w:tc>
        <w:tc>
          <w:tcPr>
            <w:tcW w:w="16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Alpine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2.744%</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2029</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Alpine</w:t>
            </w:r>
          </w:p>
        </w:tc>
        <w:tc>
          <w:tcPr>
            <w:tcW w:w="82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2.421%</w:t>
            </w:r>
          </w:p>
        </w:tc>
        <w:tc>
          <w:tcPr>
            <w:tcW w:w="10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June 24, 2014</w:t>
            </w:r>
          </w:p>
        </w:tc>
        <w:tc>
          <w:tcPr>
            <w:tcW w:w="1680" w:type="dxa"/>
            <w:vAlign w:val="bottom"/>
          </w:tcPr>
          <w:p>
            <w:pPr>
              <w:ind w:left="20"/>
              <w:spacing w:after="0"/>
              <w:rPr>
                <w:sz w:val="20"/>
                <w:szCs w:val="20"/>
                <w:color w:val="auto"/>
              </w:rPr>
            </w:pPr>
            <w:r>
              <w:rPr>
                <w:rFonts w:ascii="Arial" w:cs="Arial" w:eastAsia="Arial" w:hAnsi="Arial"/>
                <w:sz w:val="14"/>
                <w:szCs w:val="14"/>
                <w:color w:val="auto"/>
              </w:rPr>
              <w:t>June 30, 2025</w:t>
            </w:r>
          </w:p>
        </w:tc>
        <w:tc>
          <w:tcPr>
            <w:tcW w:w="0" w:type="dxa"/>
            <w:vAlign w:val="bottom"/>
          </w:tcPr>
          <w:p>
            <w:pPr>
              <w:spacing w:after="0"/>
              <w:rPr>
                <w:sz w:val="1"/>
                <w:szCs w:val="1"/>
                <w:color w:val="auto"/>
              </w:rPr>
            </w:pPr>
          </w:p>
        </w:tc>
      </w:tr>
      <w:tr>
        <w:trPr>
          <w:trHeight w:val="27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Avra Valley</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30, 2012</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November 30, 2030</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AWAM</w:t>
            </w:r>
          </w:p>
        </w:tc>
        <w:tc>
          <w:tcPr>
            <w:tcW w:w="82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May 22, 2013</w:t>
            </w:r>
          </w:p>
        </w:tc>
        <w:tc>
          <w:tcPr>
            <w:tcW w:w="1680" w:type="dxa"/>
            <w:vAlign w:val="bottom"/>
          </w:tcPr>
          <w:p>
            <w:pPr>
              <w:ind w:left="20"/>
              <w:spacing w:after="0"/>
              <w:rPr>
                <w:sz w:val="20"/>
                <w:szCs w:val="20"/>
                <w:color w:val="auto"/>
              </w:rPr>
            </w:pPr>
            <w:r>
              <w:rPr>
                <w:rFonts w:ascii="Arial" w:cs="Arial" w:eastAsia="Arial" w:hAnsi="Arial"/>
                <w:sz w:val="14"/>
                <w:szCs w:val="14"/>
                <w:color w:val="auto"/>
              </w:rPr>
              <w:t>May 15, 2031</w:t>
            </w:r>
          </w:p>
        </w:tc>
        <w:tc>
          <w:tcPr>
            <w:tcW w:w="0" w:type="dxa"/>
            <w:vAlign w:val="bottom"/>
          </w:tcPr>
          <w:p>
            <w:pPr>
              <w:spacing w:after="0"/>
              <w:rPr>
                <w:sz w:val="1"/>
                <w:szCs w:val="1"/>
                <w:color w:val="auto"/>
              </w:rPr>
            </w:pPr>
          </w:p>
        </w:tc>
      </w:tr>
      <w:tr>
        <w:trPr>
          <w:trHeight w:val="27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Blythe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3.563%</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25, 2010</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25, 2028</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Borrego</w:t>
            </w:r>
          </w:p>
        </w:tc>
        <w:tc>
          <w:tcPr>
            <w:tcW w:w="82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April 3, 2013</w:t>
            </w:r>
          </w:p>
        </w:tc>
        <w:tc>
          <w:tcPr>
            <w:tcW w:w="1680" w:type="dxa"/>
            <w:vAlign w:val="bottom"/>
          </w:tcPr>
          <w:p>
            <w:pPr>
              <w:ind w:left="20"/>
              <w:spacing w:after="0"/>
              <w:rPr>
                <w:sz w:val="20"/>
                <w:szCs w:val="20"/>
                <w:color w:val="auto"/>
              </w:rPr>
            </w:pPr>
            <w:r>
              <w:rPr>
                <w:rFonts w:ascii="Arial" w:cs="Arial" w:eastAsia="Arial" w:hAnsi="Arial"/>
                <w:sz w:val="14"/>
                <w:szCs w:val="14"/>
                <w:color w:val="auto"/>
              </w:rPr>
              <w:t>June 30, 2020</w:t>
            </w:r>
          </w:p>
        </w:tc>
        <w:tc>
          <w:tcPr>
            <w:tcW w:w="0" w:type="dxa"/>
            <w:vAlign w:val="bottom"/>
          </w:tcPr>
          <w:p>
            <w:pPr>
              <w:spacing w:after="0"/>
              <w:rPr>
                <w:sz w:val="1"/>
                <w:szCs w:val="1"/>
                <w:color w:val="auto"/>
              </w:rPr>
            </w:pPr>
          </w:p>
        </w:tc>
      </w:tr>
      <w:tr>
        <w:trPr>
          <w:trHeight w:val="27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 Segundo</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30, 2011</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August 31, 2023</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Kansas South</w:t>
            </w:r>
          </w:p>
        </w:tc>
        <w:tc>
          <w:tcPr>
            <w:tcW w:w="82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2.368%</w:t>
            </w:r>
          </w:p>
        </w:tc>
        <w:tc>
          <w:tcPr>
            <w:tcW w:w="10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6-Month LIBOR</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June 28, 2013</w:t>
            </w:r>
          </w:p>
        </w:tc>
        <w:tc>
          <w:tcPr>
            <w:tcW w:w="1680" w:type="dxa"/>
            <w:vAlign w:val="bottom"/>
          </w:tcPr>
          <w:p>
            <w:pPr>
              <w:ind w:left="20"/>
              <w:spacing w:after="0"/>
              <w:rPr>
                <w:sz w:val="20"/>
                <w:szCs w:val="20"/>
                <w:color w:val="auto"/>
              </w:rPr>
            </w:pPr>
            <w:r>
              <w:rPr>
                <w:rFonts w:ascii="Arial" w:cs="Arial" w:eastAsia="Arial" w:hAnsi="Arial"/>
                <w:sz w:val="14"/>
                <w:szCs w:val="14"/>
                <w:color w:val="auto"/>
              </w:rPr>
              <w:t>December 31, 2030</w:t>
            </w:r>
          </w:p>
        </w:tc>
        <w:tc>
          <w:tcPr>
            <w:tcW w:w="0" w:type="dxa"/>
            <w:vAlign w:val="bottom"/>
          </w:tcPr>
          <w:p>
            <w:pPr>
              <w:spacing w:after="0"/>
              <w:rPr>
                <w:sz w:val="1"/>
                <w:szCs w:val="1"/>
                <w:color w:val="auto"/>
              </w:rPr>
            </w:pPr>
          </w:p>
        </w:tc>
      </w:tr>
      <w:tr>
        <w:trPr>
          <w:trHeight w:val="27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Laredo Ridge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31, 2011</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2026</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Marsh Landing</w:t>
            </w:r>
          </w:p>
        </w:tc>
        <w:tc>
          <w:tcPr>
            <w:tcW w:w="82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3.244%</w:t>
            </w:r>
          </w:p>
        </w:tc>
        <w:tc>
          <w:tcPr>
            <w:tcW w:w="10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June 28, 2013</w:t>
            </w:r>
          </w:p>
        </w:tc>
        <w:tc>
          <w:tcPr>
            <w:tcW w:w="1680" w:type="dxa"/>
            <w:vAlign w:val="bottom"/>
          </w:tcPr>
          <w:p>
            <w:pPr>
              <w:ind w:left="20"/>
              <w:spacing w:after="0"/>
              <w:rPr>
                <w:sz w:val="20"/>
                <w:szCs w:val="20"/>
                <w:color w:val="auto"/>
              </w:rPr>
            </w:pPr>
            <w:r>
              <w:rPr>
                <w:rFonts w:ascii="Arial" w:cs="Arial" w:eastAsia="Arial" w:hAnsi="Arial"/>
                <w:sz w:val="14"/>
                <w:szCs w:val="14"/>
                <w:color w:val="auto"/>
              </w:rPr>
              <w:t>June 30, 2023</w:t>
            </w:r>
          </w:p>
        </w:tc>
        <w:tc>
          <w:tcPr>
            <w:tcW w:w="0" w:type="dxa"/>
            <w:vAlign w:val="bottom"/>
          </w:tcPr>
          <w:p>
            <w:pPr>
              <w:spacing w:after="0"/>
              <w:rPr>
                <w:sz w:val="1"/>
                <w:szCs w:val="1"/>
                <w:color w:val="auto"/>
              </w:rPr>
            </w:pPr>
          </w:p>
        </w:tc>
      </w:tr>
      <w:tr>
        <w:trPr>
          <w:trHeight w:val="27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Roadrunner</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4.313%</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30, 2011</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2029</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South Trent</w:t>
            </w:r>
          </w:p>
        </w:tc>
        <w:tc>
          <w:tcPr>
            <w:tcW w:w="82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3.265%</w:t>
            </w:r>
          </w:p>
        </w:tc>
        <w:tc>
          <w:tcPr>
            <w:tcW w:w="10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June 15, 2010</w:t>
            </w:r>
          </w:p>
        </w:tc>
        <w:tc>
          <w:tcPr>
            <w:tcW w:w="1680" w:type="dxa"/>
            <w:vAlign w:val="bottom"/>
          </w:tcPr>
          <w:p>
            <w:pPr>
              <w:ind w:left="20"/>
              <w:spacing w:after="0"/>
              <w:rPr>
                <w:sz w:val="20"/>
                <w:szCs w:val="20"/>
                <w:color w:val="auto"/>
              </w:rPr>
            </w:pPr>
            <w:r>
              <w:rPr>
                <w:rFonts w:ascii="Arial" w:cs="Arial" w:eastAsia="Arial" w:hAnsi="Arial"/>
                <w:sz w:val="14"/>
                <w:szCs w:val="14"/>
                <w:color w:val="auto"/>
              </w:rPr>
              <w:t>June 14, 2020</w:t>
            </w:r>
          </w:p>
        </w:tc>
        <w:tc>
          <w:tcPr>
            <w:tcW w:w="0" w:type="dxa"/>
            <w:vAlign w:val="bottom"/>
          </w:tcPr>
          <w:p>
            <w:pPr>
              <w:spacing w:after="0"/>
              <w:rPr>
                <w:sz w:val="1"/>
                <w:szCs w:val="1"/>
                <w:color w:val="auto"/>
              </w:rPr>
            </w:pPr>
          </w:p>
        </w:tc>
      </w:tr>
      <w:tr>
        <w:trPr>
          <w:trHeight w:val="27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 Trent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2020</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14, 2028</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Tapestry</w:t>
            </w:r>
          </w:p>
        </w:tc>
        <w:tc>
          <w:tcPr>
            <w:tcW w:w="82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December 30, 2011</w:t>
            </w:r>
          </w:p>
        </w:tc>
        <w:tc>
          <w:tcPr>
            <w:tcW w:w="1680" w:type="dxa"/>
            <w:vAlign w:val="bottom"/>
          </w:tcPr>
          <w:p>
            <w:pPr>
              <w:ind w:left="20"/>
              <w:spacing w:after="0"/>
              <w:rPr>
                <w:sz w:val="20"/>
                <w:szCs w:val="20"/>
                <w:color w:val="auto"/>
              </w:rPr>
            </w:pPr>
            <w:r>
              <w:rPr>
                <w:rFonts w:ascii="Arial" w:cs="Arial" w:eastAsia="Arial" w:hAnsi="Arial"/>
                <w:sz w:val="14"/>
                <w:szCs w:val="14"/>
                <w:color w:val="auto"/>
              </w:rPr>
              <w:t>December 21, 2021</w:t>
            </w:r>
          </w:p>
        </w:tc>
        <w:tc>
          <w:tcPr>
            <w:tcW w:w="0" w:type="dxa"/>
            <w:vAlign w:val="bottom"/>
          </w:tcPr>
          <w:p>
            <w:pPr>
              <w:spacing w:after="0"/>
              <w:rPr>
                <w:sz w:val="1"/>
                <w:szCs w:val="1"/>
                <w:color w:val="auto"/>
              </w:rPr>
            </w:pPr>
          </w:p>
        </w:tc>
      </w:tr>
      <w:tr>
        <w:trPr>
          <w:trHeight w:val="27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Tapestry</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21, 2021</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21, 2029</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Viento</w:t>
            </w:r>
          </w:p>
        </w:tc>
        <w:tc>
          <w:tcPr>
            <w:tcW w:w="82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920" w:type="dxa"/>
            <w:vAlign w:val="bottom"/>
            <w:gridSpan w:val="2"/>
          </w:tcPr>
          <w:p>
            <w:pPr>
              <w:ind w:left="240"/>
              <w:spacing w:after="0"/>
              <w:rPr>
                <w:sz w:val="20"/>
                <w:szCs w:val="20"/>
                <w:color w:val="auto"/>
              </w:rPr>
            </w:pPr>
            <w:r>
              <w:rPr>
                <w:rFonts w:ascii="Arial" w:cs="Arial" w:eastAsia="Arial" w:hAnsi="Arial"/>
                <w:sz w:val="14"/>
                <w:szCs w:val="14"/>
                <w:color w:val="auto"/>
              </w:rPr>
              <w:t>various</w:t>
            </w: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6-Month LIBOR</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680" w:type="dxa"/>
            <w:vAlign w:val="bottom"/>
          </w:tcPr>
          <w:p>
            <w:pPr>
              <w:ind w:left="20"/>
              <w:spacing w:after="0"/>
              <w:rPr>
                <w:sz w:val="20"/>
                <w:szCs w:val="20"/>
                <w:color w:val="auto"/>
              </w:rPr>
            </w:pPr>
            <w:r>
              <w:rPr>
                <w:rFonts w:ascii="Arial" w:cs="Arial" w:eastAsia="Arial" w:hAnsi="Arial"/>
                <w:sz w:val="14"/>
                <w:szCs w:val="14"/>
                <w:color w:val="auto"/>
              </w:rPr>
              <w:t>various</w:t>
            </w:r>
          </w:p>
        </w:tc>
        <w:tc>
          <w:tcPr>
            <w:tcW w:w="0" w:type="dxa"/>
            <w:vAlign w:val="bottom"/>
          </w:tcPr>
          <w:p>
            <w:pPr>
              <w:spacing w:after="0"/>
              <w:rPr>
                <w:sz w:val="1"/>
                <w:szCs w:val="1"/>
                <w:color w:val="auto"/>
              </w:rPr>
            </w:pPr>
          </w:p>
        </w:tc>
      </w:tr>
      <w:tr>
        <w:trPr>
          <w:trHeight w:val="27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Walnut Creek Energy</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various</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28, 2013</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May 31, 2023</w:t>
            </w: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WCEP Holdings</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4.003%</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June 28, 2013</w:t>
            </w:r>
          </w:p>
        </w:tc>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May 31, 2023</w:t>
            </w: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Maturities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ind w:left="440"/>
              <w:spacing w:after="0"/>
              <w:rPr>
                <w:sz w:val="20"/>
                <w:szCs w:val="20"/>
                <w:color w:val="auto"/>
              </w:rPr>
            </w:pPr>
            <w:r>
              <w:rPr>
                <w:rFonts w:ascii="Arial" w:cs="Arial" w:eastAsia="Arial" w:hAnsi="Arial"/>
                <w:sz w:val="18"/>
                <w:szCs w:val="18"/>
                <w:color w:val="auto"/>
                <w:w w:val="92"/>
              </w:rPr>
              <w:t>Annual payments based on the maturities of the Company's debt, for the years ending after December 31, 2015 are as follows: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21"/>
        </w:trPr>
        <w:tc>
          <w:tcPr>
            <w:tcW w:w="97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252</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919</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2,606</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4,885</w:t>
            </w:r>
          </w:p>
        </w:tc>
      </w:tr>
      <w:tr>
        <w:trPr>
          <w:trHeight w:val="20"/>
        </w:trPr>
        <w:tc>
          <w:tcPr>
            <w:tcW w:w="9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882"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Members' Equity</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all periods prior to the acquisition and Yield, Inc.'s initial public offering, members' equity reflects the combined capital contributed by NRG, as well as its retained earnings and accumulated comprehensive loss.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lists the distributions paid on the Company's Class A, Class B, Class C and Class D units during the year ended December 31, 2015: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 Quarter 2015</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Third Quarter 2015</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 Quarter 2015</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First Quarter 2015</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Distributions per Class A and Class B units</w:t>
            </w: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Distributions per Class C and Class D units</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0.215</w:t>
            </w:r>
          </w:p>
        </w:tc>
        <w:tc>
          <w:tcPr>
            <w:tcW w:w="120" w:type="dxa"/>
            <w:vAlign w:val="bottom"/>
          </w:tcPr>
          <w:p>
            <w:pPr>
              <w:spacing w:after="0"/>
              <w:rPr>
                <w:sz w:val="21"/>
                <w:szCs w:val="21"/>
                <w:color w:val="auto"/>
              </w:rPr>
            </w:pP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0.210</w:t>
            </w:r>
          </w:p>
        </w:tc>
        <w:tc>
          <w:tcPr>
            <w:tcW w:w="1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N/A</w:t>
            </w:r>
          </w:p>
        </w:tc>
      </w:tr>
    </w:tbl>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February 17, 2016, the Company declared a quarterly distribution on its Class A, Class B, Class C and Class D units of $0.225 per share payable on March 15, 2016.</w:t>
      </w:r>
    </w:p>
    <w:p>
      <w:pPr>
        <w:spacing w:after="0" w:line="116"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 xml:space="preserve">During 2015 and 2014, the Company acquired the Drop Down Assets from NRG, as described in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The difference between the cash paid and historical value of the January 2015 Drop Down Assets and November 2015 Drop Down Assets of $109 million, as well as $32 million of AOCL, was recorded as a contribution from NRG and increased the balance of its contributed capital in 2015. The difference between the cash paid and historical value of the June 2014 Drop Down Assets of $113 million was recorded as a distribution to NRG and reduced the balance of its contributed capital in 2014. Prior to the date of acquisition, certain of the projects made distributions to NRG and NRG made contributions into certain projects. These amounts are reflected within the Company’s statement of stockholders’ equity as changes in the contributed capital balance. In addition, NRG maintained a 25% ownership interest in the Class B interests of NRG TE Wind Holdco. This 25% interest is reflected within the Company’s noncontrolling interest balance.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Reporting</w:t>
      </w:r>
    </w:p>
    <w:p>
      <w:pPr>
        <w:spacing w:after="0" w:line="175"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primarily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24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generated more than 10% of its revenues from the following customers for the years ended December 31, 2015, 2014 and 2013:</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114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Customer</w:t>
            </w:r>
          </w:p>
        </w:tc>
        <w:tc>
          <w:tcPr>
            <w:tcW w:w="14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Conventional (%)</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Renewables (%)</w:t>
            </w:r>
          </w:p>
        </w:tc>
        <w:tc>
          <w:tcPr>
            <w:tcW w:w="14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Conventional (%)</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Renewables (%)</w:t>
            </w:r>
          </w:p>
        </w:tc>
        <w:tc>
          <w:tcPr>
            <w:tcW w:w="14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Conventional (%)</w:t>
            </w:r>
          </w:p>
        </w:tc>
        <w:tc>
          <w:tcPr>
            <w:tcW w:w="114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Renewables (%)</w:t>
            </w:r>
          </w:p>
        </w:tc>
      </w:tr>
      <w:tr>
        <w:trPr>
          <w:trHeight w:val="236"/>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SCE</w:t>
            </w: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ind w:right="402"/>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jc w:val="center"/>
              <w:ind w:right="22"/>
              <w:spacing w:after="0"/>
              <w:rPr>
                <w:sz w:val="20"/>
                <w:szCs w:val="20"/>
                <w:color w:val="auto"/>
              </w:rPr>
            </w:pPr>
            <w:r>
              <w:rPr>
                <w:rFonts w:ascii="Arial" w:cs="Arial" w:eastAsia="Arial" w:hAnsi="Arial"/>
                <w:sz w:val="16"/>
                <w:szCs w:val="16"/>
                <w:color w:val="auto"/>
                <w:w w:val="94"/>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center"/>
              <w:ind w:right="22"/>
              <w:spacing w:after="0"/>
              <w:rPr>
                <w:sz w:val="20"/>
                <w:szCs w:val="20"/>
                <w:color w:val="auto"/>
              </w:rPr>
            </w:pPr>
            <w:r>
              <w:rPr>
                <w:rFonts w:ascii="Arial" w:cs="Arial" w:eastAsia="Arial" w:hAnsi="Arial"/>
                <w:sz w:val="16"/>
                <w:szCs w:val="16"/>
                <w:color w:val="auto"/>
                <w:w w:val="86"/>
              </w:rPr>
              <w:t>4%</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PG&amp;E</w:t>
            </w: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4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22"/>
              <w:spacing w:after="0"/>
              <w:rPr>
                <w:sz w:val="20"/>
                <w:szCs w:val="20"/>
                <w:color w:val="auto"/>
              </w:rPr>
            </w:pPr>
            <w:r>
              <w:rPr>
                <w:rFonts w:ascii="Arial" w:cs="Arial" w:eastAsia="Arial" w:hAnsi="Arial"/>
                <w:sz w:val="16"/>
                <w:szCs w:val="16"/>
                <w:color w:val="auto"/>
                <w:w w:val="94"/>
              </w:rPr>
              <w:t>4%</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22"/>
              <w:spacing w:after="0"/>
              <w:rPr>
                <w:sz w:val="20"/>
                <w:szCs w:val="20"/>
                <w:color w:val="auto"/>
              </w:rPr>
            </w:pPr>
            <w:r>
              <w:rPr>
                <w:rFonts w:ascii="Arial" w:cs="Arial" w:eastAsia="Arial" w:hAnsi="Arial"/>
                <w:sz w:val="16"/>
                <w:szCs w:val="16"/>
                <w:color w:val="auto"/>
                <w:w w:val="86"/>
              </w:rPr>
              <w:t>7%</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877"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2015</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33"/>
        </w:trPr>
        <w:tc>
          <w:tcPr>
            <w:tcW w:w="220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Balance Sheet</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investment in affiliates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7,608</w:t>
            </w:r>
          </w:p>
        </w:tc>
        <w:tc>
          <w:tcPr>
            <w:tcW w:w="0" w:type="dxa"/>
            <w:vAlign w:val="bottom"/>
          </w:tcPr>
          <w:p>
            <w:pPr>
              <w:spacing w:after="0"/>
              <w:rPr>
                <w:sz w:val="1"/>
                <w:szCs w:val="1"/>
                <w:color w:val="auto"/>
              </w:rPr>
            </w:pPr>
          </w:p>
        </w:tc>
      </w:tr>
      <w:tr>
        <w:trPr>
          <w:trHeight w:val="257"/>
        </w:trPr>
        <w:tc>
          <w:tcPr>
            <w:tcW w:w="2200" w:type="dxa"/>
            <w:vAlign w:val="bottom"/>
            <w:tcBorders>
              <w:bottom w:val="single" w:sz="8" w:color="auto"/>
            </w:tcBorders>
          </w:tcPr>
          <w:p>
            <w:pPr>
              <w:spacing w:after="0"/>
              <w:rPr>
                <w:sz w:val="22"/>
                <w:szCs w:val="22"/>
                <w:color w:val="auto"/>
              </w:rPr>
            </w:pPr>
          </w:p>
        </w:tc>
        <w:tc>
          <w:tcPr>
            <w:tcW w:w="3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260" w:type="dxa"/>
            <w:vAlign w:val="bottom"/>
            <w:gridSpan w:val="2"/>
          </w:tcPr>
          <w:p>
            <w:pPr>
              <w:spacing w:after="0"/>
              <w:rPr>
                <w:sz w:val="20"/>
                <w:szCs w:val="20"/>
                <w:color w:val="auto"/>
              </w:rPr>
            </w:pPr>
            <w:r>
              <w:rPr>
                <w:rFonts w:ascii="Arial" w:cs="Arial" w:eastAsia="Arial" w:hAnsi="Arial"/>
                <w:sz w:val="9"/>
                <w:szCs w:val="9"/>
                <w:color w:val="auto"/>
              </w:rPr>
              <w:t xml:space="preserve">(a) </w:t>
            </w:r>
            <w:r>
              <w:rPr>
                <w:rFonts w:ascii="Arial" w:cs="Arial" w:eastAsia="Arial" w:hAnsi="Arial"/>
                <w:sz w:val="14"/>
                <w:szCs w:val="14"/>
                <w:color w:val="auto"/>
              </w:rPr>
              <w:t>Includes accruals.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22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2014</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84"/>
        </w:trPr>
        <w:tc>
          <w:tcPr>
            <w:tcW w:w="52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Equity investments in affiliates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2,169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4,790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7,727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3893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9" w:lineRule="exact"/>
        <w:rPr>
          <w:sz w:val="20"/>
          <w:szCs w:val="20"/>
          <w:color w:val="auto"/>
        </w:rPr>
      </w:pPr>
    </w:p>
    <w:p>
      <w:pPr>
        <w:ind w:left="140" w:hanging="132"/>
        <w:spacing w:after="0"/>
        <w:tabs>
          <w:tab w:leader="none" w:pos="140" w:val="left"/>
        </w:tabs>
        <w:numPr>
          <w:ilvl w:val="0"/>
          <w:numId w:val="49"/>
        </w:numPr>
        <w:rPr>
          <w:rFonts w:ascii="Arial" w:cs="Arial" w:eastAsia="Arial" w:hAnsi="Arial"/>
          <w:sz w:val="9"/>
          <w:szCs w:val="9"/>
          <w:color w:val="auto"/>
        </w:rPr>
      </w:pPr>
      <w:r>
        <w:rPr>
          <w:rFonts w:ascii="Arial" w:cs="Arial" w:eastAsia="Arial" w:hAnsi="Arial"/>
          <w:sz w:val="14"/>
          <w:szCs w:val="14"/>
          <w:color w:val="auto"/>
        </w:rPr>
        <w:t>Includes accruals. Capital expenditures for Renewables include a sales tax refund received by Alpine in the first quarter of 2014.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2013</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1103" w:right="259" w:bottom="572"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12 — 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provision consisted of the following amounts:</w:t>
      </w:r>
    </w:p>
    <w:p>
      <w:pPr>
        <w:spacing w:after="0" w:line="15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r>
      <w:tr>
        <w:trPr>
          <w:trHeight w:val="192"/>
        </w:trPr>
        <w:tc>
          <w:tcPr>
            <w:tcW w:w="5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2013</w:t>
            </w:r>
          </w:p>
        </w:tc>
      </w:tr>
      <w:tr>
        <w:trPr>
          <w:trHeight w:val="196"/>
        </w:trPr>
        <w:tc>
          <w:tcPr>
            <w:tcW w:w="52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2013</w:t>
            </w:r>
          </w:p>
        </w:tc>
      </w:tr>
      <w:tr>
        <w:trPr>
          <w:trHeight w:val="152"/>
        </w:trPr>
        <w:tc>
          <w:tcPr>
            <w:tcW w:w="5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1"/>
              </w:rPr>
              <w:t>(In millions, except</w:t>
            </w:r>
          </w:p>
        </w:tc>
      </w:tr>
      <w:tr>
        <w:trPr>
          <w:trHeight w:val="192"/>
        </w:trPr>
        <w:tc>
          <w:tcPr>
            <w:tcW w:w="5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center"/>
              <w:ind w:right="137"/>
              <w:spacing w:after="0"/>
              <w:rPr>
                <w:sz w:val="20"/>
                <w:szCs w:val="20"/>
                <w:color w:val="auto"/>
              </w:rPr>
            </w:pPr>
            <w:r>
              <w:rPr>
                <w:rFonts w:ascii="Arial" w:cs="Arial" w:eastAsia="Arial" w:hAnsi="Arial"/>
                <w:sz w:val="14"/>
                <w:szCs w:val="14"/>
                <w:b w:val="1"/>
                <w:bCs w:val="1"/>
                <w:color w:val="auto"/>
                <w:w w:val="87"/>
              </w:rPr>
              <w:t>percentages)</w:t>
            </w:r>
          </w:p>
        </w:tc>
      </w:tr>
      <w:tr>
        <w:trPr>
          <w:trHeight w:val="256"/>
        </w:trPr>
        <w:tc>
          <w:tcPr>
            <w:tcW w:w="520" w:type="dxa"/>
            <w:vAlign w:val="bottom"/>
          </w:tcPr>
          <w:p>
            <w:pPr>
              <w:spacing w:after="0"/>
              <w:rPr>
                <w:sz w:val="22"/>
                <w:szCs w:val="22"/>
                <w:color w:val="auto"/>
              </w:rPr>
            </w:pPr>
          </w:p>
        </w:tc>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43"/>
        </w:trPr>
        <w:tc>
          <w:tcPr>
            <w:tcW w:w="520" w:type="dxa"/>
            <w:vAlign w:val="bottom"/>
          </w:tcPr>
          <w:p>
            <w:pPr>
              <w:spacing w:after="0"/>
              <w:rPr>
                <w:sz w:val="21"/>
                <w:szCs w:val="21"/>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77"/>
              <w:spacing w:after="0"/>
              <w:rPr>
                <w:sz w:val="20"/>
                <w:szCs w:val="20"/>
                <w:color w:val="auto"/>
              </w:rPr>
            </w:pPr>
            <w:r>
              <w:rPr>
                <w:rFonts w:ascii="Arial" w:cs="Arial" w:eastAsia="Arial" w:hAnsi="Arial"/>
                <w:sz w:val="18"/>
                <w:szCs w:val="18"/>
                <w:color w:val="auto"/>
              </w:rPr>
              <w:t>—</w:t>
            </w:r>
          </w:p>
        </w:tc>
      </w:tr>
      <w:tr>
        <w:trPr>
          <w:trHeight w:val="27"/>
        </w:trPr>
        <w:tc>
          <w:tcPr>
            <w:tcW w:w="520" w:type="dxa"/>
            <w:vAlign w:val="bottom"/>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520" w:type="dxa"/>
            <w:vAlign w:val="bottom"/>
          </w:tcPr>
          <w:p>
            <w:pPr>
              <w:spacing w:after="0"/>
              <w:rPr>
                <w:sz w:val="22"/>
                <w:szCs w:val="22"/>
                <w:color w:val="auto"/>
              </w:rPr>
            </w:pPr>
          </w:p>
        </w:tc>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 current</w:t>
            </w: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r>
      <w:tr>
        <w:trPr>
          <w:trHeight w:val="237"/>
        </w:trPr>
        <w:tc>
          <w:tcPr>
            <w:tcW w:w="520" w:type="dxa"/>
            <w:vAlign w:val="bottom"/>
          </w:tcPr>
          <w:p>
            <w:pPr>
              <w:spacing w:after="0"/>
              <w:rPr>
                <w:sz w:val="20"/>
                <w:szCs w:val="20"/>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Deferred</w:t>
            </w: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r>
      <w:tr>
        <w:trPr>
          <w:trHeight w:val="27"/>
        </w:trPr>
        <w:tc>
          <w:tcPr>
            <w:tcW w:w="5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2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w:t>
            </w:r>
          </w:p>
        </w:tc>
      </w:tr>
      <w:tr>
        <w:trPr>
          <w:trHeight w:val="243"/>
        </w:trPr>
        <w:tc>
          <w:tcPr>
            <w:tcW w:w="520" w:type="dxa"/>
            <w:vAlign w:val="bottom"/>
          </w:tcPr>
          <w:p>
            <w:pPr>
              <w:spacing w:after="0"/>
              <w:rPr>
                <w:sz w:val="21"/>
                <w:szCs w:val="21"/>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State</w:t>
            </w:r>
          </w:p>
        </w:tc>
        <w:tc>
          <w:tcPr>
            <w:tcW w:w="200" w:type="dxa"/>
            <w:vAlign w:val="bottom"/>
          </w:tcPr>
          <w:p>
            <w:pPr>
              <w:spacing w:after="0"/>
              <w:rPr>
                <w:sz w:val="21"/>
                <w:szCs w:val="21"/>
                <w:color w:val="auto"/>
              </w:rPr>
            </w:pPr>
          </w:p>
        </w:tc>
        <w:tc>
          <w:tcPr>
            <w:tcW w:w="1580" w:type="dxa"/>
            <w:vAlign w:val="bottom"/>
          </w:tcPr>
          <w:p>
            <w:pPr>
              <w:jc w:val="right"/>
              <w:ind w:right="177"/>
              <w:spacing w:after="0"/>
              <w:rPr>
                <w:sz w:val="20"/>
                <w:szCs w:val="20"/>
                <w:color w:val="auto"/>
              </w:rPr>
            </w:pPr>
            <w:r>
              <w:rPr>
                <w:rFonts w:ascii="Arial" w:cs="Arial" w:eastAsia="Arial" w:hAnsi="Arial"/>
                <w:sz w:val="18"/>
                <w:szCs w:val="18"/>
                <w:color w:val="auto"/>
              </w:rPr>
              <w:t>—</w:t>
            </w:r>
          </w:p>
        </w:tc>
      </w:tr>
      <w:tr>
        <w:trPr>
          <w:trHeight w:val="27"/>
        </w:trPr>
        <w:tc>
          <w:tcPr>
            <w:tcW w:w="520" w:type="dxa"/>
            <w:vAlign w:val="bottom"/>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520" w:type="dxa"/>
            <w:vAlign w:val="bottom"/>
          </w:tcPr>
          <w:p>
            <w:pPr>
              <w:spacing w:after="0"/>
              <w:rPr>
                <w:sz w:val="22"/>
                <w:szCs w:val="22"/>
                <w:color w:val="auto"/>
              </w:rPr>
            </w:pPr>
          </w:p>
        </w:tc>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 deferred</w:t>
            </w: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w:t>
            </w:r>
          </w:p>
        </w:tc>
      </w:tr>
      <w:tr>
        <w:trPr>
          <w:trHeight w:val="297"/>
        </w:trPr>
        <w:tc>
          <w:tcPr>
            <w:tcW w:w="520" w:type="dxa"/>
            <w:vAlign w:val="bottom"/>
          </w:tcPr>
          <w:p>
            <w:pPr>
              <w:spacing w:after="0"/>
              <w:rPr>
                <w:sz w:val="24"/>
                <w:szCs w:val="24"/>
                <w:color w:val="auto"/>
              </w:rPr>
            </w:pPr>
          </w:p>
        </w:tc>
        <w:tc>
          <w:tcPr>
            <w:tcW w:w="7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income tax benefit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8"/>
                <w:szCs w:val="18"/>
                <w:color w:val="auto"/>
              </w:rPr>
              <w:t>(3)</w:t>
            </w:r>
          </w:p>
        </w:tc>
      </w:tr>
      <w:tr>
        <w:trPr>
          <w:trHeight w:val="237"/>
        </w:trPr>
        <w:tc>
          <w:tcPr>
            <w:tcW w:w="520" w:type="dxa"/>
            <w:vAlign w:val="bottom"/>
          </w:tcPr>
          <w:p>
            <w:pPr>
              <w:spacing w:after="0"/>
              <w:rPr>
                <w:sz w:val="20"/>
                <w:szCs w:val="20"/>
                <w:color w:val="auto"/>
              </w:rPr>
            </w:pPr>
          </w:p>
        </w:tc>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8260" w:type="dxa"/>
            <w:vAlign w:val="bottom"/>
            <w:gridSpan w:val="2"/>
          </w:tcPr>
          <w:p>
            <w:pPr>
              <w:spacing w:after="0"/>
              <w:rPr>
                <w:sz w:val="20"/>
                <w:szCs w:val="20"/>
                <w:color w:val="auto"/>
              </w:rPr>
            </w:pPr>
            <w:r>
              <w:rPr>
                <w:rFonts w:ascii="Arial" w:cs="Arial" w:eastAsia="Arial" w:hAnsi="Arial"/>
                <w:sz w:val="18"/>
                <w:szCs w:val="18"/>
                <w:color w:val="auto"/>
              </w:rPr>
              <w:t>A reconciliation of the U.S. federal statutory rate of 35% to the Company's effective rate is as follows:</w:t>
            </w: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342"/>
        </w:trPr>
        <w:tc>
          <w:tcPr>
            <w:tcW w:w="5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r>
      <w:tr>
        <w:trPr>
          <w:trHeight w:val="192"/>
        </w:trPr>
        <w:tc>
          <w:tcPr>
            <w:tcW w:w="5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2013</w:t>
            </w:r>
          </w:p>
        </w:tc>
      </w:tr>
      <w:tr>
        <w:trPr>
          <w:trHeight w:val="152"/>
        </w:trPr>
        <w:tc>
          <w:tcPr>
            <w:tcW w:w="5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1"/>
              </w:rPr>
              <w:t>(In millions, except</w:t>
            </w:r>
          </w:p>
        </w:tc>
      </w:tr>
      <w:tr>
        <w:trPr>
          <w:trHeight w:val="186"/>
        </w:trPr>
        <w:tc>
          <w:tcPr>
            <w:tcW w:w="5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center"/>
              <w:ind w:right="137"/>
              <w:spacing w:after="0"/>
              <w:rPr>
                <w:sz w:val="20"/>
                <w:szCs w:val="20"/>
                <w:color w:val="auto"/>
              </w:rPr>
            </w:pPr>
            <w:r>
              <w:rPr>
                <w:rFonts w:ascii="Arial" w:cs="Arial" w:eastAsia="Arial" w:hAnsi="Arial"/>
                <w:sz w:val="14"/>
                <w:szCs w:val="14"/>
                <w:b w:val="1"/>
                <w:bCs w:val="1"/>
                <w:color w:val="auto"/>
                <w:w w:val="87"/>
              </w:rPr>
              <w:t>percentages)</w:t>
            </w:r>
          </w:p>
        </w:tc>
      </w:tr>
      <w:tr>
        <w:trPr>
          <w:trHeight w:val="316"/>
        </w:trPr>
        <w:tc>
          <w:tcPr>
            <w:tcW w:w="520" w:type="dxa"/>
            <w:vAlign w:val="bottom"/>
          </w:tcPr>
          <w:p>
            <w:pPr>
              <w:spacing w:after="0"/>
              <w:rPr>
                <w:sz w:val="24"/>
                <w:szCs w:val="24"/>
                <w:color w:val="auto"/>
              </w:rPr>
            </w:pPr>
          </w:p>
        </w:tc>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131</w:t>
            </w:r>
          </w:p>
        </w:tc>
      </w:tr>
      <w:tr>
        <w:trPr>
          <w:trHeight w:val="237"/>
        </w:trPr>
        <w:tc>
          <w:tcPr>
            <w:tcW w:w="520" w:type="dxa"/>
            <w:vAlign w:val="bottom"/>
          </w:tcPr>
          <w:p>
            <w:pPr>
              <w:spacing w:after="0"/>
              <w:rPr>
                <w:sz w:val="20"/>
                <w:szCs w:val="20"/>
                <w:color w:val="auto"/>
              </w:rPr>
            </w:pPr>
          </w:p>
        </w:tc>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at 35%</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46</w:t>
            </w:r>
          </w:p>
        </w:tc>
      </w:tr>
      <w:tr>
        <w:trPr>
          <w:trHeight w:val="243"/>
        </w:trPr>
        <w:tc>
          <w:tcPr>
            <w:tcW w:w="520" w:type="dxa"/>
            <w:vAlign w:val="bottom"/>
          </w:tcPr>
          <w:p>
            <w:pPr>
              <w:spacing w:after="0"/>
              <w:rPr>
                <w:sz w:val="21"/>
                <w:szCs w:val="21"/>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Impact of change in tax status as of July 22, 2013</w:t>
            </w:r>
          </w:p>
        </w:tc>
        <w:tc>
          <w:tcPr>
            <w:tcW w:w="200" w:type="dxa"/>
            <w:vAlign w:val="bottom"/>
          </w:tcPr>
          <w:p>
            <w:pPr>
              <w:spacing w:after="0"/>
              <w:rPr>
                <w:sz w:val="21"/>
                <w:szCs w:val="21"/>
                <w:color w:val="auto"/>
              </w:rPr>
            </w:pPr>
          </w:p>
        </w:tc>
        <w:tc>
          <w:tcPr>
            <w:tcW w:w="1580" w:type="dxa"/>
            <w:vAlign w:val="bottom"/>
          </w:tcPr>
          <w:p>
            <w:pPr>
              <w:jc w:val="right"/>
              <w:ind w:right="117"/>
              <w:spacing w:after="0"/>
              <w:rPr>
                <w:sz w:val="20"/>
                <w:szCs w:val="20"/>
                <w:color w:val="auto"/>
              </w:rPr>
            </w:pPr>
            <w:r>
              <w:rPr>
                <w:rFonts w:ascii="Arial" w:cs="Arial" w:eastAsia="Arial" w:hAnsi="Arial"/>
                <w:sz w:val="18"/>
                <w:szCs w:val="18"/>
                <w:color w:val="auto"/>
              </w:rPr>
              <w:t>(49)</w:t>
            </w:r>
          </w:p>
        </w:tc>
      </w:tr>
      <w:tr>
        <w:trPr>
          <w:trHeight w:val="27"/>
        </w:trPr>
        <w:tc>
          <w:tcPr>
            <w:tcW w:w="520" w:type="dxa"/>
            <w:vAlign w:val="bottom"/>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520" w:type="dxa"/>
            <w:vAlign w:val="bottom"/>
          </w:tcPr>
          <w:p>
            <w:pPr>
              <w:spacing w:after="0"/>
              <w:rPr>
                <w:sz w:val="22"/>
                <w:szCs w:val="22"/>
                <w:color w:val="auto"/>
              </w:rPr>
            </w:pPr>
          </w:p>
        </w:tc>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0"/>
        </w:trPr>
        <w:tc>
          <w:tcPr>
            <w:tcW w:w="520" w:type="dxa"/>
            <w:vAlign w:val="bottom"/>
          </w:tcPr>
          <w:p>
            <w:pPr>
              <w:spacing w:after="0"/>
              <w:rPr>
                <w:sz w:val="20"/>
                <w:szCs w:val="20"/>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3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July 22, 2013, Yield, Inc. acquired a controlling interest in the Company. As of that date, the Company is a disregarded entity of a partnership for federal and state income tax purposes; therefore, taxes recorded prior to the acquisition were reversed. Income tax expense represents proforma income tax expense for the Company for the period from January 1, 2013 to July 22, 2013.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to the transactions and relationships described elsewhere in the notes to the consolidated financial statements, certain subsidiaries of NRG provide services to the Company's project entities. Amounts due to NRG subsidiaries are recorded as accounts payable — affiliate and amounts due to the Company from NRG subsidiaries are recorded as accounts receivable — affiliate in the Company's balance sheet.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Hedge Contracts by and between Renewable Entities and NRG Texas Power LLC</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Elbow Creek and Goat Wind, the Company's subsidiaries from Renewable segment, entered into power hedge contracts with NRG Texas Power LLC and generated $16 million, $12 million and $7 million during the years ended December 31, 2015, 2014 and 2013, respectively. Included in the revenues for the years ended December 31, 2015, and 2014, are unrealized losses and gains, respectively, on forward contracts with NRG Texas Power LLC hedging the sale of power from the Elbow Creek wind facility extending through the end of 2015, as further described in Note 7</w:t>
      </w:r>
      <w:r>
        <w:rPr>
          <w:rFonts w:ascii="Arial" w:cs="Arial" w:eastAsia="Arial" w:hAnsi="Arial"/>
          <w:sz w:val="18"/>
          <w:szCs w:val="18"/>
          <w:i w:val="1"/>
          <w:iCs w:val="1"/>
          <w:color w:val="auto"/>
        </w:rPr>
        <w:t>, Accounting for Derivative Instruments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Services (O&amp;M) Agreements by and between Thermal Entities and NRG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1, 2014, NRG entered into Plant O&amp;M Services Agreements with certain wholly-owned subsidiaries of the Company. NRG provides necessary and appropriate services to operate and maintain the subsidiaries' plant operations, businesses and thermal facilities. NRG is to be reimbursed for the provided services, as well as for all reasonable and related expenses and expenditures, and payments to third parties for services and materials rendered to or on behalf of the parties to the agreements.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877" w:right="239" w:bottom="1440" w:gutter="0" w:footer="0" w:header="0"/>
        </w:sectPr>
      </w:pPr>
    </w:p>
    <w:bookmarkStart w:id="98" w:name="page99"/>
    <w:bookmarkEnd w:id="98"/>
    <w:p>
      <w:pPr>
        <w:jc w:val="both"/>
        <w:spacing w:after="0" w:line="259" w:lineRule="auto"/>
        <w:rPr>
          <w:sz w:val="20"/>
          <w:szCs w:val="20"/>
          <w:color w:val="auto"/>
        </w:rPr>
      </w:pPr>
      <w:r>
        <w:rPr>
          <w:rFonts w:ascii="Arial" w:cs="Arial" w:eastAsia="Arial" w:hAnsi="Arial"/>
          <w:sz w:val="18"/>
          <w:szCs w:val="18"/>
          <w:color w:val="auto"/>
        </w:rPr>
        <w:t>NRG is not entitled to any management fee or mark-up under the agreements. Prior to October 1, 2014, NRG provided the same services to Thermal entities on an informal basis. For the years ended December 31, 2015, 2014, and 2013, total fees incurred under the agreements were $29 million, $27 million, and $24 million, respectively. There was a balance of $29 million and $22 million due to NRG in accounts payable — affiliate as of December 31, 2015, and 2014,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Sales and Services Agreement by and between NRG Energy Center Dover LLC and NRG</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NRG Energy Center Dover LLC, or NRG Dover, a subsidiary of the Company is party to a Power Sales and Services Agreement with NRG Power Marketing LLC, or NRG Power Marketing, a wholly-owned subsidiary of NRG. The agreement is automatically renewed on a month-to-month basis unless terminated by either party upon at least 30 day written notice. Under the agreement, NRG Power Marketing has the exclusive right to (i) manage, market and sell power, (ii) procure fuel and fuel transportation for operation of the Dover generating facility, to include for purposes other than generating power, (iii) procure transmission services required for the sale of power, and (iv) procure and market emissions credits for operation of the Dover generating facility.</w:t>
      </w:r>
    </w:p>
    <w:p>
      <w:pPr>
        <w:spacing w:after="0" w:line="10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addition, NRG Power Marketing has the exclusive right and obligation to direct the output from the generating facility, in accordance with and to meet the terms of any power sales contracts executed against the power generation of the Dover facility. Under the agreement, NRG Power Marketing pays NRG Dover gross receipts generated through sales, less costs incurred by NRG Power Marketing related to providing such services as transmission and delivery costs, as well as fuel costs. In July 2013, the originally coal-fueled plant was converted to a natural gas facility. For the years ended December 31, 2015, 2014 and 2013, NRG Dover purchased approximately $5 million, $10 million and $5 million, respectively, of natural gas from NRG Power Marketing.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Marketing Services Agreement by and between NRG Energy Center Minneapolis LLC and NRG</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NRG Energy Center Minneapolis LLC, or NRG Minneapolis, a subsidiary of the Company is party to an Energy Marketing Services Agreement with NRG Power Marketing, a wholly-owned subsidiary of NRG. The agreement commenced in August 2014 and is automatically renewed annually unless terminated by either party upon at least 90 day written notice prior to the end of any term. Under the agreement, NRG Power Marketing will procure fuel and fuel transportation for the operation of the Minneapolis generating facility. For the years ended December 31, 2015 and 2014, NRG Minneapolis purchased approximately $8 million and $2 million, respectively, of natural gas from NRG Power Marketing.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GenConn incurs fees under two O&amp;M agreements with wholly-owned subsidiaries of NRG. The fees incurred under the agreements were $4 million, $6 million and $5 million for the years ended December 31, 2015, 2014 and 2013,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El Segundo and NRG El Segundo Operations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El Segundo incurs fees under an O&amp;M agreement with NRG El Segundo Operations, Inc., a wholly-owned subsidiary of NRG. Under the O&amp;M agreement, NRG El Segundo Operations, Inc. manages, operates and maintains the El Segundo facility for an initial term of ten years following the commercial operations date. For the years ended December 31, 2015, and 2014, the costs incurred under the agreement were approximately $4 million. The Company incurred $5 million in costs under the agreement for the year ended December 31, 2013. There was a balance of $1 million due to NRG El Segundo in accounts payable — affiliate as of December 31, 2015, and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Marketing Services Agreement with NRG Power Marketing LLC</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El Segundo was a party to an energy marketing services agreement with NRG Power Marketing LLC to procure fuel and market capacity, energy and ancillary output of the facility prior to the start of the PPA with Southern California Edison. The agreement began in April 2013 and ended at the commercial operations date in August 2013. For the years ended December 31, 2014, and 2013, the Company recorded approximately, $1 million and $12 million, respectively, in costs related to this agreement, of which $9 million was recorded to property, plant and equipment in 2013, with the remaining amount recorded to cost of operations in the Company's statement of operations. There were no costs incurred during the year ended December 31, 2015.</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881"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GenOn Energy Services, LLC</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Marsh Landing is a party to an administrative services agreement with GenOn Energy Services, LLC, a wholly owned subsidiary of NRG, which provides with processing and paying invoices services on behalf of Marsh Landing. Marsh Landing reimburses GenOn Energy Services, LLC for the amounts paid by it. The Company reimbursed costs under this agreement of approximately $13 million for the years ended December 31, 2015, and 2014, respectively, and $36 million for the year ended December 31, 2013. For the years ended December 31, 2014 and 2013, $2 million and $29 million, respectively, were capitalized. There was a balance of $6 million and $4 million due to GenOn Energy Services, LLC in accounts payable — affiliate as of December 31, 2015, and 2014,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 by and between CVSR and NRG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CVSR is a party to an administrative services agreement with NRG Energy Services LLC, a wholly-owned subsidiary of NRG, which provides O&amp;M services on behalf of CVSR. CVSR reimburses NRG Energy Services LLC for the amounts paid by it. CVSR reimbursed costs under this agreement of $5 million and $7 million for the years ended December 31, 2015, and 2014, respectively.</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NRG provides the Company with various operation, management, and administrative services, which include human resources, accounting, tax, legal, information systems, treasury, and risk management, as set forth in the Management Services Agreement. As of December 31, 2015, the base management fee was approximately $7 million per year, subject to an inflation- based adjustment annually, at an inflation factor based on the year-over-year U.S. consumer price index. The fee is also subject to adjustments following the consummation of future acquisitions and as a result of a change in the scope of services provided under the Management Services Agreement. During the year ended December 31, 2015, the fee was increased by approximately $1 million per year primarily in connection with the acquisition of the January 2015 and November 2015 Drop Down Assets. Costs incurred under this agreement were approximately $8 million and $6 million for the years ended December 31, 2015, and 2014 and $3 million for the period from July 23, 2013 through December 31, 2013. These costs included certain direct expenses incurred by NRG on behalf of the Company in addition to the base management fee, none of which was payable as of December 31, 2015.</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Agreements by and between Wind TE Holdco LLC and NRG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subsidiaries of NRG have entered into agreements with the Company's project entities to provide operation and maintenance services for the balance of the plants not covered by turbine supplier's maintenance and service agreements for the postwarranty period. The agreements have various terms with provisions for extension until terminated. For the years ended December 31, 2015, and 2014, the costs incurred under the agreements were $5 million and $3 million, respectively.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Certain subsidiaries of NRG provide support services to NRG Wind TE Holdco LLC project entities pursuant to various support services agreements.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agreements provide for administrative and support services and reimbursements of certain insurance, consultant, and credit costs.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 the costs incurred under the agreements were $3 million and $1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to NRG Repowering Holdings LLC</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During 2013, NRG Repowering Holdings, LLC, a wholly-owned subsidiary of NRG, made payments to BA Leasing BSC, LLC, or BA Leasing, of $18 million, which were expected to be repaid with the proceeds of the cash grant received by BA Leasing with respect to the PFMG DG Solar Projects, in connection with a sale-leaseback arrangement between the PFMG DG Solar Projects and BA Leasing. As of December 31, 2013, PFMG DG Solar Projects had a corresponding receivable for the reimbursement of the cash grant from BA Leasing and related payable to NRG Repowering Holdings, LLC. In the first quarter of 2014, the PFMG DG Solar Projects received $11 million from BA Leasing and reduced the remaining receivable with an offset to the deferred liability recorded in connection with the sale - leaseback arrangement. The PFMG DG Solar Projects utilized the $11 million to repay NRG Repowering Holdings LLC. There was a balance of $7 million in accounts payable - affiliate as of December 31, 2015, and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881"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leases certain facilities and equipment under operating leases, some of which include escalation clauses, expiring on various dates through 2048. The effects of these scheduled rent increases, leasehold incentives, and rent concessions are recognized on a straight-line basis over the lease term unless another systematic and rational allocation basis is more representative of the time pattern in which the leased property is physically employed. Lease expense under operating leases was $9 million, $8 million and $2 million for the years ended December 31, 2015, 2014 and 2013, respectively.</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Future minimum lease commitments under operating leases for the years ending after December 31, 2015,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300" w:type="dxa"/>
            <w:vAlign w:val="bottom"/>
          </w:tcPr>
          <w:p>
            <w:pPr>
              <w:spacing w:after="0"/>
              <w:rPr>
                <w:sz w:val="14"/>
                <w:szCs w:val="14"/>
                <w:color w:val="auto"/>
              </w:rPr>
            </w:pPr>
          </w:p>
        </w:tc>
        <w:tc>
          <w:tcPr>
            <w:tcW w:w="1400" w:type="dxa"/>
            <w:vAlign w:val="bottom"/>
          </w:tcPr>
          <w:p>
            <w:pPr>
              <w:jc w:val="right"/>
              <w:ind w:right="392"/>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9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2016</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43"/>
        </w:trPr>
        <w:tc>
          <w:tcPr>
            <w:tcW w:w="440" w:type="dxa"/>
            <w:vAlign w:val="bottom"/>
            <w:gridSpan w:val="2"/>
          </w:tcPr>
          <w:p>
            <w:pPr>
              <w:ind w:left="40"/>
              <w:spacing w:after="0"/>
              <w:rPr>
                <w:sz w:val="20"/>
                <w:szCs w:val="20"/>
                <w:color w:val="auto"/>
              </w:rPr>
            </w:pPr>
            <w:r>
              <w:rPr>
                <w:rFonts w:ascii="Arial" w:cs="Arial" w:eastAsia="Arial" w:hAnsi="Arial"/>
                <w:sz w:val="18"/>
                <w:szCs w:val="18"/>
                <w:color w:val="auto"/>
                <w:w w:val="94"/>
              </w:rPr>
              <w:t>2017</w:t>
            </w:r>
          </w:p>
        </w:tc>
        <w:tc>
          <w:tcPr>
            <w:tcW w:w="9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2018</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43"/>
        </w:trPr>
        <w:tc>
          <w:tcPr>
            <w:tcW w:w="440" w:type="dxa"/>
            <w:vAlign w:val="bottom"/>
            <w:gridSpan w:val="2"/>
          </w:tcPr>
          <w:p>
            <w:pPr>
              <w:ind w:left="40"/>
              <w:spacing w:after="0"/>
              <w:rPr>
                <w:sz w:val="20"/>
                <w:szCs w:val="20"/>
                <w:color w:val="auto"/>
              </w:rPr>
            </w:pPr>
            <w:r>
              <w:rPr>
                <w:rFonts w:ascii="Arial" w:cs="Arial" w:eastAsia="Arial" w:hAnsi="Arial"/>
                <w:sz w:val="18"/>
                <w:szCs w:val="18"/>
                <w:color w:val="auto"/>
                <w:w w:val="94"/>
              </w:rPr>
              <w:t>2019</w:t>
            </w:r>
          </w:p>
        </w:tc>
        <w:tc>
          <w:tcPr>
            <w:tcW w:w="9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135</w:t>
            </w:r>
          </w:p>
        </w:tc>
      </w:tr>
      <w:tr>
        <w:trPr>
          <w:trHeight w:val="27"/>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and Transportation Commitments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entered into contractual arrangements to procure power, fuel and associated transportation services. For the years ended December 31, 2015, 2014 and 2013, the Company purchased $40 million, $55 million, and $40 million, respectively, under such arrangements. As further described in Note 13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these balances include intercompany sales in the amount of $13 million, $12 million and $7 million, respectively.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2015, the Company's commitments under such outstanding agreements are estimated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300" w:type="dxa"/>
            <w:vAlign w:val="bottom"/>
          </w:tcPr>
          <w:p>
            <w:pPr>
              <w:spacing w:after="0"/>
              <w:rPr>
                <w:sz w:val="14"/>
                <w:szCs w:val="14"/>
                <w:color w:val="auto"/>
              </w:rPr>
            </w:pPr>
          </w:p>
        </w:tc>
        <w:tc>
          <w:tcPr>
            <w:tcW w:w="1400" w:type="dxa"/>
            <w:vAlign w:val="bottom"/>
          </w:tcPr>
          <w:p>
            <w:pPr>
              <w:jc w:val="right"/>
              <w:ind w:right="392"/>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9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2016</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43"/>
        </w:trPr>
        <w:tc>
          <w:tcPr>
            <w:tcW w:w="440" w:type="dxa"/>
            <w:vAlign w:val="bottom"/>
            <w:gridSpan w:val="2"/>
          </w:tcPr>
          <w:p>
            <w:pPr>
              <w:ind w:left="40"/>
              <w:spacing w:after="0"/>
              <w:rPr>
                <w:sz w:val="20"/>
                <w:szCs w:val="20"/>
                <w:color w:val="auto"/>
              </w:rPr>
            </w:pPr>
            <w:r>
              <w:rPr>
                <w:rFonts w:ascii="Arial" w:cs="Arial" w:eastAsia="Arial" w:hAnsi="Arial"/>
                <w:sz w:val="18"/>
                <w:szCs w:val="18"/>
                <w:color w:val="auto"/>
                <w:w w:val="94"/>
              </w:rPr>
              <w:t>2017</w:t>
            </w:r>
          </w:p>
        </w:tc>
        <w:tc>
          <w:tcPr>
            <w:tcW w:w="9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2018</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440" w:type="dxa"/>
            <w:vAlign w:val="bottom"/>
            <w:gridSpan w:val="2"/>
          </w:tcPr>
          <w:p>
            <w:pPr>
              <w:ind w:left="40"/>
              <w:spacing w:after="0"/>
              <w:rPr>
                <w:sz w:val="20"/>
                <w:szCs w:val="20"/>
                <w:color w:val="auto"/>
              </w:rPr>
            </w:pPr>
            <w:r>
              <w:rPr>
                <w:rFonts w:ascii="Arial" w:cs="Arial" w:eastAsia="Arial" w:hAnsi="Arial"/>
                <w:sz w:val="18"/>
                <w:szCs w:val="18"/>
                <w:color w:val="auto"/>
                <w:w w:val="94"/>
              </w:rPr>
              <w:t>2019</w:t>
            </w:r>
          </w:p>
        </w:tc>
        <w:tc>
          <w:tcPr>
            <w:tcW w:w="9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the normal course of business, the Company is subject to various claims and litigations. Management expects that these various litigation items will not have a material adverse effect on the Company's results of operations or financial position.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881"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15 — Unaudited Quarterly Data</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xml:space="preserve"> for a description of the effect of unusual or infrequently occurring events during the quarterly periods. Summarized unaudited quarterly financial data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822"/>
              <w:spacing w:after="0"/>
              <w:rPr>
                <w:sz w:val="20"/>
                <w:szCs w:val="20"/>
                <w:color w:val="auto"/>
              </w:rPr>
            </w:pPr>
            <w:r>
              <w:rPr>
                <w:rFonts w:ascii="Arial" w:cs="Arial" w:eastAsia="Arial" w:hAnsi="Arial"/>
                <w:sz w:val="14"/>
                <w:szCs w:val="14"/>
                <w:b w:val="1"/>
                <w:bCs w:val="1"/>
                <w:color w:val="auto"/>
                <w:w w:val="96"/>
              </w:rPr>
              <w:t>Quarter Ended</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xml:space="preserve">September 30, </w:t>
            </w:r>
            <w:r>
              <w:rPr>
                <w:rFonts w:ascii="Arial" w:cs="Arial" w:eastAsia="Arial" w:hAnsi="Arial"/>
                <w:sz w:val="8"/>
                <w:szCs w:val="8"/>
                <w:b w:val="1"/>
                <w:bCs w:val="1"/>
                <w:color w:val="auto"/>
              </w:rPr>
              <w:t>(a)</w:t>
            </w: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xml:space="preserve">June 30, </w:t>
            </w:r>
            <w:r>
              <w:rPr>
                <w:rFonts w:ascii="Arial" w:cs="Arial" w:eastAsia="Arial" w:hAnsi="Arial"/>
                <w:sz w:val="8"/>
                <w:szCs w:val="8"/>
                <w:b w:val="1"/>
                <w:bCs w:val="1"/>
                <w:color w:val="auto"/>
              </w:rPr>
              <w:t>(a)</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 xml:space="preserve">March 31, </w:t>
            </w:r>
            <w:r>
              <w:rPr>
                <w:rFonts w:ascii="Arial" w:cs="Arial" w:eastAsia="Arial" w:hAnsi="Arial"/>
                <w:sz w:val="8"/>
                <w:szCs w:val="8"/>
                <w:b w:val="1"/>
                <w:bCs w:val="1"/>
                <w:color w:val="auto"/>
              </w:rPr>
              <w:t>(a)</w:t>
            </w:r>
          </w:p>
        </w:tc>
      </w:tr>
      <w:tr>
        <w:trPr>
          <w:trHeight w:val="196"/>
        </w:trPr>
        <w:tc>
          <w:tcPr>
            <w:tcW w:w="5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802"/>
              <w:spacing w:after="0"/>
              <w:rPr>
                <w:sz w:val="20"/>
                <w:szCs w:val="20"/>
                <w:color w:val="auto"/>
              </w:rPr>
            </w:pPr>
            <w:r>
              <w:rPr>
                <w:rFonts w:ascii="Arial" w:cs="Arial" w:eastAsia="Arial" w:hAnsi="Arial"/>
                <w:sz w:val="14"/>
                <w:szCs w:val="14"/>
                <w:b w:val="1"/>
                <w:bCs w:val="1"/>
                <w:color w:val="auto"/>
                <w:w w:val="89"/>
              </w:rPr>
              <w:t>2015</w:t>
            </w: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3"/>
          </w:tcPr>
          <w:p>
            <w:pPr>
              <w:jc w:val="center"/>
              <w:ind w:left="802"/>
              <w:spacing w:after="0"/>
              <w:rPr>
                <w:sz w:val="20"/>
                <w:szCs w:val="20"/>
                <w:color w:val="auto"/>
              </w:rPr>
            </w:pPr>
            <w:r>
              <w:rPr>
                <w:rFonts w:ascii="Arial" w:cs="Arial" w:eastAsia="Arial" w:hAnsi="Arial"/>
                <w:sz w:val="14"/>
                <w:szCs w:val="14"/>
                <w:b w:val="1"/>
                <w:bCs w:val="1"/>
                <w:color w:val="auto"/>
                <w:w w:val="96"/>
              </w:rPr>
              <w:t>(In millions)</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(As previously reported)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N/A</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Change</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ind w:left="88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46</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(As previously reported)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20"/>
                <w:szCs w:val="20"/>
                <w:color w:val="auto"/>
              </w:rPr>
            </w:pPr>
          </w:p>
        </w:tc>
        <w:tc>
          <w:tcPr>
            <w:tcW w:w="1400" w:type="dxa"/>
            <w:vAlign w:val="bottom"/>
            <w:gridSpan w:val="2"/>
          </w:tcPr>
          <w:p>
            <w:pPr>
              <w:ind w:left="880"/>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48</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Change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318"/>
        </w:trPr>
        <w:tc>
          <w:tcPr>
            <w:tcW w:w="5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(As previously reported)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N/A</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Change</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ind w:left="88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2" w:lineRule="exact"/>
        <w:rPr>
          <w:sz w:val="20"/>
          <w:szCs w:val="20"/>
          <w:color w:val="auto"/>
        </w:rPr>
      </w:pPr>
    </w:p>
    <w:p>
      <w:pPr>
        <w:ind w:left="140" w:hanging="132"/>
        <w:spacing w:after="0"/>
        <w:tabs>
          <w:tab w:leader="none" w:pos="140" w:val="left"/>
        </w:tabs>
        <w:numPr>
          <w:ilvl w:val="0"/>
          <w:numId w:val="50"/>
        </w:numPr>
        <w:rPr>
          <w:rFonts w:ascii="Arial" w:cs="Arial" w:eastAsia="Arial" w:hAnsi="Arial"/>
          <w:sz w:val="9"/>
          <w:szCs w:val="9"/>
          <w:color w:val="auto"/>
        </w:rPr>
      </w:pPr>
      <w:r>
        <w:rPr>
          <w:rFonts w:ascii="Arial" w:cs="Arial" w:eastAsia="Arial" w:hAnsi="Arial"/>
          <w:sz w:val="14"/>
          <w:szCs w:val="14"/>
          <w:color w:val="auto"/>
        </w:rPr>
        <w:t>The Company's unaudited quarterly financial data was recast for the effect of the November 2015 Drop Down Assets.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6"/>
              </w:rPr>
              <w:t>Quarter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5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December 31, </w:t>
            </w:r>
            <w:r>
              <w:rPr>
                <w:rFonts w:ascii="Arial" w:cs="Arial" w:eastAsia="Arial" w:hAnsi="Arial"/>
                <w:sz w:val="8"/>
                <w:szCs w:val="8"/>
                <w:b w:val="1"/>
                <w:bCs w:val="1"/>
                <w:color w:val="auto"/>
              </w:rPr>
              <w:t>(a)</w:t>
            </w: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xml:space="preserve">September 30, </w:t>
            </w:r>
            <w:r>
              <w:rPr>
                <w:rFonts w:ascii="Arial" w:cs="Arial" w:eastAsia="Arial" w:hAnsi="Arial"/>
                <w:sz w:val="8"/>
                <w:szCs w:val="8"/>
                <w:b w:val="1"/>
                <w:bCs w:val="1"/>
                <w:color w:val="auto"/>
              </w:rPr>
              <w:t>(a)</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xml:space="preserve">June 30, </w:t>
            </w:r>
            <w:r>
              <w:rPr>
                <w:rFonts w:ascii="Arial" w:cs="Arial" w:eastAsia="Arial" w:hAnsi="Arial"/>
                <w:sz w:val="8"/>
                <w:szCs w:val="8"/>
                <w:b w:val="1"/>
                <w:bCs w:val="1"/>
                <w:color w:val="auto"/>
              </w:rPr>
              <w:t>(a)</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 xml:space="preserve">March 31, </w:t>
            </w:r>
            <w:r>
              <w:rPr>
                <w:rFonts w:ascii="Arial" w:cs="Arial" w:eastAsia="Arial" w:hAnsi="Arial"/>
                <w:sz w:val="8"/>
                <w:szCs w:val="8"/>
                <w:b w:val="1"/>
                <w:bCs w:val="1"/>
                <w:color w:val="auto"/>
              </w:rPr>
              <w:t>(a)</w:t>
            </w:r>
          </w:p>
        </w:tc>
      </w:tr>
      <w:tr>
        <w:trPr>
          <w:trHeight w:val="196"/>
        </w:trPr>
        <w:tc>
          <w:tcPr>
            <w:tcW w:w="5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936"/>
              <w:spacing w:after="0"/>
              <w:rPr>
                <w:sz w:val="20"/>
                <w:szCs w:val="20"/>
                <w:color w:val="auto"/>
              </w:rPr>
            </w:pPr>
            <w:r>
              <w:rPr>
                <w:rFonts w:ascii="Arial" w:cs="Arial" w:eastAsia="Arial" w:hAnsi="Arial"/>
                <w:sz w:val="14"/>
                <w:szCs w:val="14"/>
                <w:b w:val="1"/>
                <w:bCs w:val="1"/>
                <w:color w:val="auto"/>
                <w:w w:val="96"/>
              </w:rPr>
              <w:t>2014</w:t>
            </w: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50"/>
        </w:trPr>
        <w:tc>
          <w:tcPr>
            <w:tcW w:w="5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3"/>
          </w:tcPr>
          <w:p>
            <w:pPr>
              <w:jc w:val="center"/>
              <w:ind w:left="916"/>
              <w:spacing w:after="0"/>
              <w:rPr>
                <w:sz w:val="20"/>
                <w:szCs w:val="20"/>
                <w:color w:val="auto"/>
              </w:rPr>
            </w:pPr>
            <w:r>
              <w:rPr>
                <w:rFonts w:ascii="Arial" w:cs="Arial" w:eastAsia="Arial" w:hAnsi="Arial"/>
                <w:sz w:val="14"/>
                <w:szCs w:val="14"/>
                <w:b w:val="1"/>
                <w:bCs w:val="1"/>
                <w:color w:val="auto"/>
                <w:w w:val="96"/>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w:t>
            </w:r>
          </w:p>
        </w:tc>
      </w:tr>
      <w:tr>
        <w:trPr>
          <w:trHeight w:val="264"/>
        </w:trPr>
        <w:tc>
          <w:tcPr>
            <w:tcW w:w="5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(As previously reported)</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Revenues</w:t>
            </w: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r>
      <w:tr>
        <w:trPr>
          <w:trHeight w:val="258"/>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Change</w:t>
            </w:r>
          </w:p>
        </w:tc>
        <w:tc>
          <w:tcPr>
            <w:tcW w:w="1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r>
      <w:tr>
        <w:trPr>
          <w:trHeight w:val="283"/>
        </w:trPr>
        <w:tc>
          <w:tcPr>
            <w:tcW w:w="5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51</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(As previously reported)</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54</w:t>
            </w:r>
          </w:p>
        </w:tc>
      </w:tr>
      <w:tr>
        <w:trPr>
          <w:trHeight w:val="27"/>
        </w:trPr>
        <w:tc>
          <w:tcPr>
            <w:tcW w:w="5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Change</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5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r>
      <w:tr>
        <w:trPr>
          <w:trHeight w:val="264"/>
        </w:trPr>
        <w:tc>
          <w:tcPr>
            <w:tcW w:w="5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(As previously reported)</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r>
      <w:tr>
        <w:trPr>
          <w:trHeight w:val="258"/>
        </w:trPr>
        <w:tc>
          <w:tcPr>
            <w:tcW w:w="5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Change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81" w:lineRule="exact"/>
        <w:rPr>
          <w:sz w:val="20"/>
          <w:szCs w:val="20"/>
          <w:color w:val="auto"/>
        </w:rPr>
      </w:pPr>
    </w:p>
    <w:p>
      <w:pPr>
        <w:ind w:left="160" w:hanging="152"/>
        <w:spacing w:after="0"/>
        <w:tabs>
          <w:tab w:leader="none" w:pos="160" w:val="left"/>
        </w:tabs>
        <w:numPr>
          <w:ilvl w:val="0"/>
          <w:numId w:val="51"/>
        </w:numPr>
        <w:rPr>
          <w:rFonts w:ascii="Arial" w:cs="Arial" w:eastAsia="Arial" w:hAnsi="Arial"/>
          <w:sz w:val="11"/>
          <w:szCs w:val="11"/>
          <w:color w:val="auto"/>
        </w:rPr>
      </w:pPr>
      <w:r>
        <w:rPr>
          <w:rFonts w:ascii="Arial" w:cs="Arial" w:eastAsia="Arial" w:hAnsi="Arial"/>
          <w:sz w:val="16"/>
          <w:szCs w:val="16"/>
          <w:color w:val="auto"/>
        </w:rPr>
        <w:t>The Company's unaudited quarterly financial data was recast for the effect of the November 2015 Drop Down Assets.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Condensed Consolidating Financial Information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878" w:right="239" w:bottom="1440" w:gutter="0" w:footer="0" w:header="0"/>
        </w:sectPr>
      </w:pPr>
    </w:p>
    <w:bookmarkStart w:id="102" w:name="page103"/>
    <w:bookmarkEnd w:id="102"/>
    <w:p>
      <w:pPr>
        <w:jc w:val="both"/>
        <w:ind w:firstLine="405"/>
        <w:spacing w:after="0" w:line="286" w:lineRule="auto"/>
        <w:rPr>
          <w:sz w:val="20"/>
          <w:szCs w:val="20"/>
          <w:color w:val="auto"/>
        </w:rPr>
      </w:pPr>
      <w:r>
        <w:rPr>
          <w:rFonts w:ascii="Arial" w:cs="Arial" w:eastAsia="Arial" w:hAnsi="Arial"/>
          <w:sz w:val="17"/>
          <w:szCs w:val="17"/>
          <w:color w:val="auto"/>
        </w:rPr>
        <w:t xml:space="preserve">As of December 31, 2015, Yield Operating LLC had outstanding $500 million of Senior Notes as shown in Note 9, </w:t>
      </w:r>
      <w:r>
        <w:rPr>
          <w:rFonts w:ascii="Arial" w:cs="Arial" w:eastAsia="Arial" w:hAnsi="Arial"/>
          <w:sz w:val="17"/>
          <w:szCs w:val="17"/>
          <w:i w:val="1"/>
          <w:iCs w:val="1"/>
          <w:color w:val="auto"/>
        </w:rPr>
        <w:t>Long-term Debt</w:t>
      </w:r>
      <w:r>
        <w:rPr>
          <w:rFonts w:ascii="Arial" w:cs="Arial" w:eastAsia="Arial" w:hAnsi="Arial"/>
          <w:sz w:val="17"/>
          <w:szCs w:val="17"/>
          <w:color w:val="auto"/>
        </w:rPr>
        <w:t>. These Senior Notes are guaranteed by the Company, as well as certain of the Company's subsidiaries, or guarantor subsidiaries. These guarantees are both joint and several. The non-guarantor subsidiaries include the rest of the Company's subsidiaries, including the ones that are subject to project financing.</w:t>
      </w:r>
    </w:p>
    <w:p>
      <w:pPr>
        <w:spacing w:after="0" w:line="11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Unless otherwise noted below, each of the following guarantor subsidiaries fully and unconditionally guaranteed the Senior Notes as of December 31, 2015:</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1-5 Holding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NYLD Fuel Cell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UB Fuel Cell,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South Trent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DGPV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RPV Holding LLC</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Yield Operating LLC conducts much of its business through and derives much of its income from its subsidiaries. Therefore, its ability to make required payments with respect to its indebtedness and other obligations depends on the financial results and condition of its subsidiaries and Yield Operating LLC's ability to receive funds from its subsidiaries. There are no restrictions on the ability of any of the guarantor subsidiaries to transfer funds to Yield Operating LLC. However, there may be restrictions for certain non-guarantor subsidiaries.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Yield LLC, Yield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In this presentation, Yield LLC consists of parent company operations. Guarantor subsidiaries and non-guarantor subsidiaries of Yield LLC are reported on an equity basis. For companies acquired, the fair values of the assets and liabilities acquired have been presented on a push-down accounting basis. As described in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the Company has completed three acquisitions of Drop Down Assets from NRG during the years ended December 31, 2015, and December 31, 2014. The guidance requires retrospective combination of the entities for all periods presented as if the combination has been in effect since the inception of common control. Accordingly, the Company prepared its condensed consolidating financial statements to reflect the transfers as if they had taken place from the beginning of the financial statements period, or from the date the entities were under common control (if later than the beginning of the financial statements period), which was May 13, 2013 for Kansas South, March 28, 2013 for TA High Desert, and April 1, 2014 for the January 2015 Drop Down Assets and the majority of the November 2015 Drop Down Assets, and which represent the dates these entities were acquired by NRG. With respect to the November 2015 Drop Down Asset acquisition, the Company has recorded all minority interests in NRG Wind TE Holdco as noncontrolling interest in the Consolidated Financial Statements for all periods presented.</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addition, the condensed parent company financial statements are provided in accordance with Rule 12-04, Schedule I of Regulation S-X, as the restricted net assets of Yield LLC’s subsidiaries exceed 25 percent of the consolidated net assets of Yield LLC. These statements should be read in conjunction with the consolidated statements and notes thereto of NRG Yield LLC. For a discussion of Yield LLC's long-term debt, see Note 9,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For a discussion of Yield LLC's commitments and contingencies, see Note 14,</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For a discussion of Yield LLC's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distributions to Yield, Inc. and NRG Energy, see Note 10, </w:t>
      </w:r>
      <w:r>
        <w:rPr>
          <w:rFonts w:ascii="Arial" w:cs="Arial" w:eastAsia="Arial" w:hAnsi="Arial"/>
          <w:sz w:val="18"/>
          <w:szCs w:val="18"/>
          <w:i w:val="1"/>
          <w:iCs w:val="1"/>
          <w:color w:val="auto"/>
        </w:rPr>
        <w:t>Members' Equity</w:t>
      </w:r>
      <w:r>
        <w:rPr>
          <w:rFonts w:ascii="Arial" w:cs="Arial" w:eastAsia="Arial" w:hAnsi="Arial"/>
          <w:sz w:val="18"/>
          <w:szCs w:val="18"/>
          <w:color w:val="auto"/>
        </w:rPr>
        <w: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881" w:right="239" w:bottom="1440" w:gutter="0" w:footer="0" w:header="0"/>
        </w:sectPr>
      </w:pPr>
    </w:p>
    <w:bookmarkStart w:id="103" w:name="page104"/>
    <w:bookmarkEnd w:id="103"/>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 Ended December 31, 2015</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 xml:space="preserve">NRG Yield LLC </w:t>
            </w:r>
            <w:r>
              <w:rPr>
                <w:rFonts w:ascii="Arial" w:cs="Arial" w:eastAsia="Arial" w:hAnsi="Arial"/>
                <w:sz w:val="8"/>
                <w:szCs w:val="8"/>
                <w:b w:val="1"/>
                <w:bCs w:val="1"/>
                <w:color w:val="auto"/>
              </w:rPr>
              <w:t>(a)</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(b)</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5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5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integration costs</w:t>
            </w: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5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consolidated</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affiliates</w:t>
            </w:r>
          </w:p>
        </w:tc>
        <w:tc>
          <w:tcPr>
            <w:tcW w:w="5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Equity in earnings of unconsolidated</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affiliates</w:t>
            </w:r>
          </w:p>
        </w:tc>
        <w:tc>
          <w:tcPr>
            <w:tcW w:w="5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5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5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5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5"/>
        </w:trPr>
        <w:tc>
          <w:tcPr>
            <w:tcW w:w="32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Less: Net loss attributable to</w:t>
            </w:r>
          </w:p>
        </w:tc>
        <w:tc>
          <w:tcPr>
            <w:tcW w:w="5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200"/>
              <w:spacing w:after="0"/>
              <w:rPr>
                <w:sz w:val="20"/>
                <w:szCs w:val="20"/>
                <w:color w:val="auto"/>
              </w:rPr>
            </w:pPr>
            <w:r>
              <w:rPr>
                <w:rFonts w:ascii="Arial" w:cs="Arial" w:eastAsia="Arial" w:hAnsi="Arial"/>
                <w:sz w:val="18"/>
                <w:szCs w:val="18"/>
                <w:b w:val="1"/>
                <w:bCs w:val="1"/>
                <w:color w:val="auto"/>
              </w:rPr>
              <w:t>noncontrolling interests</w:t>
            </w:r>
          </w:p>
        </w:tc>
        <w:tc>
          <w:tcPr>
            <w:tcW w:w="5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7"/>
              </w:rPr>
              <w:t>Net Income (Loss) Attributable to NRG</w:t>
            </w:r>
          </w:p>
        </w:tc>
        <w:tc>
          <w:tcPr>
            <w:tcW w:w="500" w:type="dxa"/>
            <w:vAlign w:val="bottom"/>
            <w:vMerge w:val="restart"/>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Yield LLC</w:t>
            </w: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200" w:hanging="138"/>
        <w:spacing w:after="0"/>
        <w:tabs>
          <w:tab w:leader="none" w:pos="200" w:val="left"/>
        </w:tabs>
        <w:numPr>
          <w:ilvl w:val="1"/>
          <w:numId w:val="52"/>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53"/>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877" w:right="439" w:bottom="1440" w:gutter="0" w:footer="0" w:header="0"/>
        </w:sectPr>
      </w:pPr>
    </w:p>
    <w:bookmarkStart w:id="104" w:name="page105"/>
    <w:bookmarkEnd w:id="104"/>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 Ended December 31, 2015</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 xml:space="preserve">NRG Yield LLC </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2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(b)</w:t>
            </w:r>
          </w:p>
        </w:tc>
        <w:tc>
          <w:tcPr>
            <w:tcW w:w="180" w:type="dxa"/>
            <w:vAlign w:val="bottom"/>
          </w:tcPr>
          <w:p>
            <w:pPr>
              <w:spacing w:after="0"/>
              <w:rPr>
                <w:sz w:val="12"/>
                <w:szCs w:val="12"/>
                <w:color w:val="auto"/>
              </w:rPr>
            </w:pPr>
          </w:p>
        </w:tc>
        <w:tc>
          <w:tcPr>
            <w:tcW w:w="11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6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380"/>
              <w:spacing w:after="0"/>
              <w:rPr>
                <w:sz w:val="20"/>
                <w:szCs w:val="20"/>
                <w:color w:val="auto"/>
              </w:rPr>
            </w:pPr>
            <w:r>
              <w:rPr>
                <w:rFonts w:ascii="Arial" w:cs="Arial" w:eastAsia="Arial" w:hAnsi="Arial"/>
                <w:sz w:val="18"/>
                <w:szCs w:val="18"/>
                <w:color w:val="auto"/>
              </w:rPr>
              <w:t>Unrealized loss on derivatives</w:t>
            </w:r>
          </w:p>
        </w:tc>
        <w:tc>
          <w:tcPr>
            <w:tcW w:w="46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loss</w:t>
            </w:r>
          </w:p>
        </w:tc>
        <w:tc>
          <w:tcPr>
            <w:tcW w:w="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Less: Comprehensive loss attributable to</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5"/>
        </w:trPr>
        <w:tc>
          <w:tcPr>
            <w:tcW w:w="31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Comprehensive Income (Loss)</w:t>
            </w:r>
          </w:p>
        </w:tc>
        <w:tc>
          <w:tcPr>
            <w:tcW w:w="460" w:type="dxa"/>
            <w:vAlign w:val="bottom"/>
            <w:tcBorders>
              <w:top w:val="single" w:sz="8" w:color="auto"/>
            </w:tcBorders>
            <w:vMerge w:val="restart"/>
          </w:tcPr>
          <w:p>
            <w:pPr>
              <w:jc w:val="right"/>
              <w:ind w:right="25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96"/>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6"/>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Attributable to NRG Yield LLC</w:t>
            </w:r>
          </w:p>
        </w:tc>
        <w:tc>
          <w:tcPr>
            <w:tcW w:w="46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180" w:hanging="118"/>
        <w:spacing w:after="0"/>
        <w:tabs>
          <w:tab w:leader="none" w:pos="180" w:val="left"/>
        </w:tabs>
        <w:numPr>
          <w:ilvl w:val="1"/>
          <w:numId w:val="54"/>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55"/>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877" w:right="4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(b)</w:t>
            </w:r>
          </w:p>
        </w:tc>
        <w:tc>
          <w:tcPr>
            <w:tcW w:w="120" w:type="dxa"/>
            <w:vAlign w:val="bottom"/>
          </w:tcPr>
          <w:p>
            <w:pPr>
              <w:spacing w:after="0"/>
              <w:rPr>
                <w:sz w:val="12"/>
                <w:szCs w:val="12"/>
                <w:color w:val="auto"/>
              </w:rPr>
            </w:pPr>
          </w:p>
        </w:tc>
        <w:tc>
          <w:tcPr>
            <w:tcW w:w="9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300"/>
              <w:spacing w:after="0" w:line="199" w:lineRule="exact"/>
              <w:rPr>
                <w:sz w:val="20"/>
                <w:szCs w:val="20"/>
                <w:color w:val="auto"/>
              </w:rPr>
            </w:pPr>
            <w:r>
              <w:rPr>
                <w:rFonts w:ascii="Arial" w:cs="Arial" w:eastAsia="Arial" w:hAnsi="Arial"/>
                <w:sz w:val="22"/>
                <w:szCs w:val="22"/>
                <w:b w:val="1"/>
                <w:bCs w:val="1"/>
                <w:color w:val="auto"/>
                <w:vertAlign w:val="subscript"/>
              </w:rPr>
              <w:t>LLC</w:t>
            </w:r>
            <w:r>
              <w:rPr>
                <w:rFonts w:ascii="Arial" w:cs="Arial" w:eastAsia="Arial" w:hAnsi="Arial"/>
                <w:sz w:val="8"/>
                <w:szCs w:val="8"/>
                <w:b w:val="1"/>
                <w:bCs w:val="1"/>
                <w:color w:val="auto"/>
              </w:rPr>
              <w:t xml:space="preserve"> (a)</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15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gridSpan w:val="5"/>
          </w:tcPr>
          <w:p>
            <w:pPr>
              <w:ind w:left="6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Accounts receivable — trade</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Notes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Prepayments and other current assets</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5,056</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 in consolidated subsidiaries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1,904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Equity investments in affiliates</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Notes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3"/>
        </w:trPr>
        <w:tc>
          <w:tcPr>
            <w:tcW w:w="3840" w:type="dxa"/>
            <w:vAlign w:val="bottom"/>
          </w:tcPr>
          <w:p>
            <w:pPr>
              <w:ind w:left="10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1,362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23"/>
        </w:trPr>
        <w:tc>
          <w:tcPr>
            <w:tcW w:w="3840" w:type="dxa"/>
            <w:vAlign w:val="bottom"/>
          </w:tcPr>
          <w:p>
            <w:pPr>
              <w:ind w:left="360"/>
              <w:spacing w:after="0"/>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1,904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675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1,550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3,824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(5,722)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2,231</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7,608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197485</wp:posOffset>
            </wp:positionV>
            <wp:extent cx="14147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5" w:lineRule="exact"/>
        <w:rPr>
          <w:sz w:val="20"/>
          <w:szCs w:val="20"/>
          <w:color w:val="auto"/>
        </w:rPr>
      </w:pPr>
    </w:p>
    <w:p>
      <w:pPr>
        <w:ind w:left="120" w:hanging="118"/>
        <w:spacing w:after="0"/>
        <w:tabs>
          <w:tab w:leader="none" w:pos="120" w:val="left"/>
        </w:tabs>
        <w:numPr>
          <w:ilvl w:val="0"/>
          <w:numId w:val="56"/>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20" w:hanging="118"/>
        <w:spacing w:after="0"/>
        <w:tabs>
          <w:tab w:leader="none" w:pos="120" w:val="left"/>
        </w:tabs>
        <w:numPr>
          <w:ilvl w:val="0"/>
          <w:numId w:val="56"/>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00"/>
          </w:cols>
          <w:pgMar w:left="300" w:top="1093" w:right="299" w:bottom="1440" w:gutter="0" w:footer="0" w:header="0"/>
        </w:sectPr>
      </w:pPr>
    </w:p>
    <w:bookmarkStart w:id="106" w:name="page107"/>
    <w:bookmarkEnd w:id="106"/>
    <w:p>
      <w:pPr>
        <w:ind w:left="4112"/>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ind w:left="3512"/>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(Continued)</w:t>
      </w:r>
    </w:p>
    <w:p>
      <w:pPr>
        <w:spacing w:after="0" w:line="26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December 31, 2015</w:t>
      </w:r>
    </w:p>
    <w:p>
      <w:pPr>
        <w:spacing w:after="0" w:line="316" w:lineRule="exact"/>
        <w:rPr>
          <w:sz w:val="20"/>
          <w:szCs w:val="20"/>
          <w:color w:val="auto"/>
        </w:rPr>
      </w:pPr>
    </w:p>
    <w:tbl>
      <w:tblPr>
        <w:tblLayout w:type="fixed"/>
        <w:tblInd w:w="72"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Guarantor</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(b)</w:t>
            </w:r>
          </w:p>
        </w:tc>
        <w:tc>
          <w:tcPr>
            <w:tcW w:w="140" w:type="dxa"/>
            <w:vAlign w:val="bottom"/>
          </w:tcPr>
          <w:p>
            <w:pPr>
              <w:spacing w:after="0"/>
              <w:rPr>
                <w:sz w:val="12"/>
                <w:szCs w:val="12"/>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LLC </w:t>
            </w:r>
            <w:r>
              <w:rPr>
                <w:rFonts w:ascii="Arial" w:cs="Arial" w:eastAsia="Arial" w:hAnsi="Arial"/>
                <w:sz w:val="8"/>
                <w:szCs w:val="8"/>
                <w:b w:val="1"/>
                <w:bCs w:val="1"/>
                <w:color w:val="auto"/>
              </w:rPr>
              <w:t>(a)</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160"/>
              <w:spacing w:after="0"/>
              <w:rPr>
                <w:sz w:val="20"/>
                <w:szCs w:val="20"/>
                <w:color w:val="auto"/>
              </w:rPr>
            </w:pPr>
            <w:r>
              <w:rPr>
                <w:rFonts w:ascii="Arial" w:cs="Arial" w:eastAsia="Arial" w:hAnsi="Arial"/>
                <w:sz w:val="16"/>
                <w:szCs w:val="16"/>
                <w:b w:val="1"/>
                <w:bCs w:val="1"/>
                <w:color w:val="auto"/>
              </w:rPr>
              <w:t>LIABILITIES AND MEMBERS' EQUITY</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5"/>
              </w:rPr>
              <w:t>(In millions)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Current portion of long-term debt — external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Accounts payable — affiliate</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31"/>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Long-term debt — external</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3,976</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Long-term debt — affiliate</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Other non-current liabilities</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non-current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4,719</w:t>
            </w:r>
          </w:p>
        </w:tc>
        <w:tc>
          <w:tcPr>
            <w:tcW w:w="0" w:type="dxa"/>
            <w:vAlign w:val="bottom"/>
          </w:tcPr>
          <w:p>
            <w:pPr>
              <w:spacing w:after="0"/>
              <w:rPr>
                <w:sz w:val="1"/>
                <w:szCs w:val="1"/>
                <w:color w:val="auto"/>
              </w:rPr>
            </w:pPr>
          </w:p>
        </w:tc>
      </w:tr>
      <w:tr>
        <w:trPr>
          <w:trHeight w:val="217"/>
        </w:trPr>
        <w:tc>
          <w:tcPr>
            <w:tcW w:w="3840" w:type="dxa"/>
            <w:vAlign w:val="bottom"/>
          </w:tcPr>
          <w:p>
            <w:pPr>
              <w:ind w:left="16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3,696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5,174</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Members' Equity</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Contributed capital</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1,963</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Retained earnings (accumulated deficit)</w:t>
            </w: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Noncontrolling interest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2,434</w:t>
            </w:r>
          </w:p>
        </w:tc>
        <w:tc>
          <w:tcPr>
            <w:tcW w:w="0" w:type="dxa"/>
            <w:vAlign w:val="bottom"/>
          </w:tcPr>
          <w:p>
            <w:pPr>
              <w:spacing w:after="0"/>
              <w:rPr>
                <w:sz w:val="1"/>
                <w:szCs w:val="1"/>
                <w:color w:val="auto"/>
              </w:rPr>
            </w:pPr>
          </w:p>
        </w:tc>
      </w:tr>
      <w:tr>
        <w:trPr>
          <w:trHeight w:val="244"/>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1,974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6,849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3,837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(5,796)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7,608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197485</wp:posOffset>
            </wp:positionV>
            <wp:extent cx="14065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12" w:lineRule="exact"/>
        <w:rPr>
          <w:sz w:val="20"/>
          <w:szCs w:val="20"/>
          <w:color w:val="auto"/>
        </w:rPr>
      </w:pPr>
    </w:p>
    <w:p>
      <w:pPr>
        <w:ind w:left="132" w:hanging="132"/>
        <w:spacing w:after="0"/>
        <w:tabs>
          <w:tab w:leader="none" w:pos="132" w:val="left"/>
        </w:tabs>
        <w:numPr>
          <w:ilvl w:val="0"/>
          <w:numId w:val="57"/>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32" w:hanging="132"/>
        <w:spacing w:after="0"/>
        <w:tabs>
          <w:tab w:leader="none" w:pos="132" w:val="left"/>
        </w:tabs>
        <w:numPr>
          <w:ilvl w:val="0"/>
          <w:numId w:val="57"/>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9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52"/>
          </w:cols>
          <w:pgMar w:left="248" w:top="1094" w:right="299" w:bottom="1440" w:gutter="0" w:footer="0" w:header="0"/>
        </w:sectPr>
      </w:pPr>
    </w:p>
    <w:bookmarkStart w:id="107" w:name="page108"/>
    <w:bookmarkEnd w:id="107"/>
    <w:p>
      <w:pPr>
        <w:jc w:val="center"/>
        <w:ind w:left="1560" w:right="1640"/>
        <w:spacing w:after="0" w:line="391" w:lineRule="auto"/>
        <w:rPr>
          <w:sz w:val="20"/>
          <w:szCs w:val="20"/>
          <w:color w:val="auto"/>
        </w:rPr>
      </w:pPr>
      <w:r>
        <w:rPr>
          <w:rFonts w:ascii="Arial" w:cs="Arial" w:eastAsia="Arial" w:hAnsi="Arial"/>
          <w:sz w:val="18"/>
          <w:szCs w:val="18"/>
          <w:b w:val="1"/>
          <w:bCs w:val="1"/>
          <w:color w:val="auto"/>
        </w:rPr>
        <w:t>NRG YIELD LLC AND SUBSIDIARIES CONDENSED CONSOLIDATING STATEMENTS OF CASH FLOWS For the Year Ended December 31, 2015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2C2C2C"/>
                <w:w w:val="99"/>
              </w:rPr>
              <w:t>NRG Yield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20" w:type="dxa"/>
            <w:vAlign w:val="bottom"/>
            <w:gridSpan w:val="3"/>
            <w:vMerge w:val="continue"/>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2C2C2C"/>
                <w:w w:val="98"/>
              </w:rPr>
              <w:t>Operating LLC</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LLC </w:t>
            </w:r>
            <w:r>
              <w:rPr>
                <w:rFonts w:ascii="Arial" w:cs="Arial" w:eastAsia="Arial" w:hAnsi="Arial"/>
                <w:sz w:val="8"/>
                <w:szCs w:val="8"/>
                <w:b w:val="1"/>
                <w:bCs w:val="1"/>
                <w:color w:val="auto"/>
              </w:rPr>
              <w:t>(a)</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2C2C2C"/>
                <w:w w:val="93"/>
              </w:rPr>
              <w:t>(Note Issuer)</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b w:val="1"/>
                <w:bCs w:val="1"/>
                <w:color w:val="auto"/>
                <w:w w:val="95"/>
              </w:rPr>
              <w:t>(In millions)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6"/>
              </w:rPr>
              <w:t>Intercompany transactions from Yield LLC to subsidiaries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of business, net of cash acquired</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Acquisition of Drop Down Assets, net of cash acquired</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Increase in restricted cash</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notes receivable, including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investments in unconsolidated affiliates</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Contributions from tax equity investors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rPr>
              <w:t>Distributions and return of capital to NRG prior to the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acquisition of Drop Down Assets and IPO</w:t>
            </w:r>
          </w:p>
        </w:tc>
        <w:tc>
          <w:tcPr>
            <w:tcW w:w="1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Class C units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(Payments for) proceeds from intercompany loans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dividends and distributions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issuance of long-term debt — external</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long-term debt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Payment of debt issuance costs</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for long-term debt — external</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Decrease in Cash and Cash Equivalents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633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326" w:lineRule="exact"/>
        <w:rPr>
          <w:sz w:val="20"/>
          <w:szCs w:val="20"/>
          <w:color w:val="auto"/>
        </w:rPr>
      </w:pPr>
    </w:p>
    <w:p>
      <w:pPr>
        <w:ind w:left="180" w:hanging="118"/>
        <w:spacing w:after="0"/>
        <w:tabs>
          <w:tab w:leader="none" w:pos="180" w:val="left"/>
        </w:tabs>
        <w:numPr>
          <w:ilvl w:val="0"/>
          <w:numId w:val="58"/>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spacing w:after="0" w:line="200" w:lineRule="exact"/>
        <w:rPr>
          <w:sz w:val="20"/>
          <w:szCs w:val="20"/>
          <w:color w:val="auto"/>
        </w:rPr>
      </w:pPr>
    </w:p>
    <w:p>
      <w:pPr>
        <w:spacing w:after="0" w:line="2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219"/>
          </w:cols>
          <w:pgMar w:left="240" w:top="877" w:right="1440"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2014</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NRG Yield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93"/>
              </w:rPr>
              <w:t>NRG Yield</w:t>
            </w:r>
          </w:p>
        </w:tc>
        <w:tc>
          <w:tcPr>
            <w:tcW w:w="1240" w:type="dxa"/>
            <w:vAlign w:val="bottom"/>
            <w:gridSpan w:val="3"/>
          </w:tcPr>
          <w:p>
            <w:pPr>
              <w:jc w:val="center"/>
              <w:ind w:right="100"/>
              <w:spacing w:after="0" w:line="144" w:lineRule="exact"/>
              <w:rPr>
                <w:sz w:val="20"/>
                <w:szCs w:val="20"/>
                <w:color w:val="auto"/>
              </w:rPr>
            </w:pPr>
            <w:r>
              <w:rPr>
                <w:rFonts w:ascii="Arial" w:cs="Arial" w:eastAsia="Arial" w:hAnsi="Arial"/>
                <w:sz w:val="14"/>
                <w:szCs w:val="14"/>
                <w:b w:val="1"/>
                <w:bCs w:val="1"/>
                <w:color w:val="auto"/>
                <w:w w:val="93"/>
              </w:rPr>
              <w:t>Other Guarantor</w:t>
            </w:r>
          </w:p>
        </w:tc>
        <w:tc>
          <w:tcPr>
            <w:tcW w:w="160" w:type="dxa"/>
            <w:vAlign w:val="bottom"/>
          </w:tcPr>
          <w:p>
            <w:pPr>
              <w:spacing w:after="0"/>
              <w:rPr>
                <w:sz w:val="12"/>
                <w:szCs w:val="12"/>
                <w:color w:val="auto"/>
              </w:rPr>
            </w:pPr>
          </w:p>
        </w:tc>
        <w:tc>
          <w:tcPr>
            <w:tcW w:w="1200" w:type="dxa"/>
            <w:vAlign w:val="bottom"/>
            <w:gridSpan w:val="2"/>
          </w:tcPr>
          <w:p>
            <w:pPr>
              <w:ind w:left="20"/>
              <w:spacing w:after="0" w:line="144" w:lineRule="exact"/>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92"/>
              </w:rPr>
              <w:t>Operating LLC</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line="193" w:lineRule="exact"/>
              <w:rPr>
                <w:sz w:val="20"/>
                <w:szCs w:val="20"/>
                <w:color w:val="auto"/>
              </w:rPr>
            </w:pPr>
            <w:r>
              <w:rPr>
                <w:rFonts w:ascii="Arial" w:cs="Arial" w:eastAsia="Arial" w:hAnsi="Arial"/>
                <w:sz w:val="22"/>
                <w:szCs w:val="22"/>
                <w:b w:val="1"/>
                <w:bCs w:val="1"/>
                <w:color w:val="auto"/>
                <w:vertAlign w:val="subscript"/>
              </w:rPr>
              <w:t>LLC</w:t>
            </w:r>
            <w:r>
              <w:rPr>
                <w:rFonts w:ascii="Arial" w:cs="Arial" w:eastAsia="Arial" w:hAnsi="Arial"/>
                <w:sz w:val="10"/>
                <w:szCs w:val="10"/>
                <w:b w:val="1"/>
                <w:bCs w:val="1"/>
                <w:color w:val="auto"/>
              </w:rPr>
              <w:t xml:space="preserve"> (a) (c)</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4"/>
              </w:rPr>
              <w:t>Subsidiaries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line="193" w:lineRule="exact"/>
              <w:rPr>
                <w:sz w:val="20"/>
                <w:szCs w:val="20"/>
                <w:color w:val="auto"/>
              </w:rPr>
            </w:pPr>
            <w:r>
              <w:rPr>
                <w:rFonts w:ascii="Arial" w:cs="Arial" w:eastAsia="Arial" w:hAnsi="Arial"/>
                <w:sz w:val="14"/>
                <w:szCs w:val="14"/>
                <w:b w:val="1"/>
                <w:bCs w:val="1"/>
                <w:color w:val="auto"/>
              </w:rPr>
              <w:t xml:space="preserve">Subsidiaries </w:t>
            </w:r>
            <w:r>
              <w:rPr>
                <w:rFonts w:ascii="Arial" w:cs="Arial" w:eastAsia="Arial" w:hAnsi="Arial"/>
                <w:sz w:val="22"/>
                <w:szCs w:val="22"/>
                <w:b w:val="1"/>
                <w:bCs w:val="1"/>
                <w:color w:val="auto"/>
                <w:vertAlign w:val="superscript"/>
              </w:rPr>
              <w:t>(c)</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line="193" w:lineRule="exact"/>
              <w:rPr>
                <w:sz w:val="20"/>
                <w:szCs w:val="20"/>
                <w:color w:val="auto"/>
              </w:rPr>
            </w:pPr>
            <w:r>
              <w:rPr>
                <w:rFonts w:ascii="Arial" w:cs="Arial" w:eastAsia="Arial" w:hAnsi="Arial"/>
                <w:sz w:val="14"/>
                <w:szCs w:val="14"/>
                <w:b w:val="1"/>
                <w:bCs w:val="1"/>
                <w:color w:val="auto"/>
                <w:w w:val="83"/>
              </w:rPr>
              <w:t xml:space="preserve">(Note Issuer) </w:t>
            </w:r>
            <w:r>
              <w:rPr>
                <w:rFonts w:ascii="Arial" w:cs="Arial" w:eastAsia="Arial" w:hAnsi="Arial"/>
                <w:sz w:val="22"/>
                <w:szCs w:val="22"/>
                <w:b w:val="1"/>
                <w:bCs w:val="1"/>
                <w:color w:val="auto"/>
                <w:w w:val="83"/>
                <w:vertAlign w:val="superscript"/>
              </w:rPr>
              <w:t>(c)</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0"/>
              <w:spacing w:after="0" w:line="193" w:lineRule="exact"/>
              <w:rPr>
                <w:sz w:val="20"/>
                <w:szCs w:val="20"/>
                <w:color w:val="auto"/>
              </w:rPr>
            </w:pPr>
            <w:r>
              <w:rPr>
                <w:rFonts w:ascii="Arial" w:cs="Arial" w:eastAsia="Arial" w:hAnsi="Arial"/>
                <w:sz w:val="14"/>
                <w:szCs w:val="14"/>
                <w:b w:val="1"/>
                <w:bCs w:val="1"/>
                <w:color w:val="auto"/>
              </w:rPr>
              <w:t>Eliminations</w:t>
            </w:r>
            <w:r>
              <w:rPr>
                <w:rFonts w:ascii="Arial" w:cs="Arial" w:eastAsia="Arial" w:hAnsi="Arial"/>
                <w:sz w:val="22"/>
                <w:szCs w:val="22"/>
                <w:b w:val="1"/>
                <w:bCs w:val="1"/>
                <w:color w:val="auto"/>
                <w:vertAlign w:val="superscript"/>
              </w:rPr>
              <w:t>(b) (c)</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5"/>
          </w:tcPr>
          <w:p>
            <w:pPr>
              <w:ind w:left="9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Acquisition-related transaction and integration</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Equity in earnings (losses) of consolidated</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affiliates</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w w:val="94"/>
              </w:rPr>
              <w:t>Equity in (losses) earnings of unconsolidated</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80"/>
              <w:spacing w:after="0"/>
              <w:rPr>
                <w:sz w:val="20"/>
                <w:szCs w:val="20"/>
                <w:color w:val="auto"/>
              </w:rPr>
            </w:pPr>
            <w:r>
              <w:rPr>
                <w:rFonts w:ascii="Arial" w:cs="Arial" w:eastAsia="Arial" w:hAnsi="Arial"/>
                <w:sz w:val="18"/>
                <w:szCs w:val="18"/>
                <w:color w:val="auto"/>
              </w:rPr>
              <w:t>affiliates</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Less: Net income attributable to noncontrolling</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5"/>
        </w:trPr>
        <w:tc>
          <w:tcPr>
            <w:tcW w:w="366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Net Income (Loss) Attributable to NRG Yield</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6"/>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LLC</w:t>
            </w:r>
          </w:p>
        </w:tc>
        <w:tc>
          <w:tcPr>
            <w:tcW w:w="1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180" w:hanging="118"/>
        <w:spacing w:after="0"/>
        <w:tabs>
          <w:tab w:leader="none" w:pos="180" w:val="left"/>
        </w:tabs>
        <w:numPr>
          <w:ilvl w:val="1"/>
          <w:numId w:val="59"/>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line="221" w:lineRule="auto"/>
        <w:tabs>
          <w:tab w:leader="none" w:pos="140" w:val="left"/>
        </w:tabs>
        <w:numPr>
          <w:ilvl w:val="0"/>
          <w:numId w:val="60"/>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ind w:left="140" w:hanging="132"/>
        <w:spacing w:after="0"/>
        <w:tabs>
          <w:tab w:leader="none" w:pos="140" w:val="left"/>
        </w:tabs>
        <w:numPr>
          <w:ilvl w:val="0"/>
          <w:numId w:val="60"/>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877" w:right="2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2014</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NRG Yield</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300" w:type="dxa"/>
            <w:vAlign w:val="bottom"/>
            <w:gridSpan w:val="3"/>
          </w:tcPr>
          <w:p>
            <w:pPr>
              <w:ind w:left="40"/>
              <w:spacing w:after="0" w:line="156" w:lineRule="exact"/>
              <w:rPr>
                <w:sz w:val="20"/>
                <w:szCs w:val="20"/>
                <w:color w:val="auto"/>
              </w:rPr>
            </w:pPr>
            <w:r>
              <w:rPr>
                <w:rFonts w:ascii="Arial" w:cs="Arial" w:eastAsia="Arial" w:hAnsi="Arial"/>
                <w:sz w:val="12"/>
                <w:szCs w:val="12"/>
                <w:b w:val="1"/>
                <w:bCs w:val="1"/>
                <w:color w:val="auto"/>
              </w:rPr>
              <w:t xml:space="preserve">NRG Yield LLC </w:t>
            </w:r>
            <w:r>
              <w:rPr>
                <w:rFonts w:ascii="Arial" w:cs="Arial" w:eastAsia="Arial" w:hAnsi="Arial"/>
                <w:sz w:val="18"/>
                <w:szCs w:val="18"/>
                <w:b w:val="1"/>
                <w:bCs w:val="1"/>
                <w:color w:val="auto"/>
                <w:vertAlign w:val="superscript"/>
              </w:rPr>
              <w:t>(a)</w:t>
            </w:r>
          </w:p>
        </w:tc>
        <w:tc>
          <w:tcPr>
            <w:tcW w:w="1320" w:type="dxa"/>
            <w:vAlign w:val="bottom"/>
            <w:gridSpan w:val="3"/>
          </w:tcPr>
          <w:p>
            <w:pPr>
              <w:jc w:val="center"/>
              <w:ind w:right="120"/>
              <w:spacing w:after="0" w:line="156" w:lineRule="exact"/>
              <w:rPr>
                <w:sz w:val="20"/>
                <w:szCs w:val="20"/>
                <w:color w:val="auto"/>
              </w:rPr>
            </w:pPr>
            <w:r>
              <w:rPr>
                <w:rFonts w:ascii="Arial" w:cs="Arial" w:eastAsia="Arial" w:hAnsi="Arial"/>
                <w:sz w:val="14"/>
                <w:szCs w:val="14"/>
                <w:b w:val="1"/>
                <w:bCs w:val="1"/>
                <w:color w:val="auto"/>
                <w:w w:val="91"/>
              </w:rPr>
              <w:t>Other Guarantor</w:t>
            </w:r>
          </w:p>
        </w:tc>
        <w:tc>
          <w:tcPr>
            <w:tcW w:w="120" w:type="dxa"/>
            <w:vAlign w:val="bottom"/>
          </w:tcPr>
          <w:p>
            <w:pPr>
              <w:spacing w:after="0"/>
              <w:rPr>
                <w:sz w:val="13"/>
                <w:szCs w:val="13"/>
                <w:color w:val="auto"/>
              </w:rPr>
            </w:pPr>
          </w:p>
        </w:tc>
        <w:tc>
          <w:tcPr>
            <w:tcW w:w="118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2"/>
              </w:rPr>
              <w:t>Operating LLC</w:t>
            </w:r>
          </w:p>
        </w:tc>
        <w:tc>
          <w:tcPr>
            <w:tcW w:w="14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22"/>
                <w:szCs w:val="22"/>
                <w:b w:val="1"/>
                <w:bCs w:val="1"/>
                <w:color w:val="auto"/>
                <w:vertAlign w:val="superscript"/>
              </w:rPr>
              <w:t>(b) (c)</w:t>
            </w:r>
          </w:p>
        </w:tc>
        <w:tc>
          <w:tcPr>
            <w:tcW w:w="160" w:type="dxa"/>
            <w:vAlign w:val="bottom"/>
          </w:tcPr>
          <w:p>
            <w:pPr>
              <w:spacing w:after="0"/>
              <w:rPr>
                <w:sz w:val="13"/>
                <w:szCs w:val="13"/>
                <w:color w:val="auto"/>
              </w:rPr>
            </w:pPr>
          </w:p>
        </w:tc>
        <w:tc>
          <w:tcPr>
            <w:tcW w:w="10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81"/>
        </w:trPr>
        <w:tc>
          <w:tcPr>
            <w:tcW w:w="3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(c)</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6"/>
              </w:rPr>
              <w:t>Subsidiaries</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40"/>
              <w:spacing w:after="0" w:line="182" w:lineRule="exact"/>
              <w:rPr>
                <w:sz w:val="20"/>
                <w:szCs w:val="20"/>
                <w:color w:val="auto"/>
              </w:rPr>
            </w:pPr>
            <w:r>
              <w:rPr>
                <w:rFonts w:ascii="Arial" w:cs="Arial" w:eastAsia="Arial" w:hAnsi="Arial"/>
                <w:sz w:val="13"/>
                <w:szCs w:val="13"/>
                <w:b w:val="1"/>
                <w:bCs w:val="1"/>
                <w:color w:val="auto"/>
              </w:rPr>
              <w:t xml:space="preserve">Subsidiaries </w:t>
            </w:r>
            <w:r>
              <w:rPr>
                <w:rFonts w:ascii="Arial" w:cs="Arial" w:eastAsia="Arial" w:hAnsi="Arial"/>
                <w:sz w:val="21"/>
                <w:szCs w:val="21"/>
                <w:b w:val="1"/>
                <w:bCs w:val="1"/>
                <w:color w:val="auto"/>
                <w:vertAlign w:val="superscript"/>
              </w:rPr>
              <w:t>(c)</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280"/>
              <w:spacing w:after="0" w:line="182" w:lineRule="exact"/>
              <w:rPr>
                <w:sz w:val="20"/>
                <w:szCs w:val="20"/>
                <w:color w:val="auto"/>
              </w:rPr>
            </w:pPr>
            <w:r>
              <w:rPr>
                <w:rFonts w:ascii="Arial" w:cs="Arial" w:eastAsia="Arial" w:hAnsi="Arial"/>
                <w:sz w:val="13"/>
                <w:szCs w:val="13"/>
                <w:b w:val="1"/>
                <w:bCs w:val="1"/>
                <w:color w:val="auto"/>
                <w:w w:val="89"/>
              </w:rPr>
              <w:t xml:space="preserve">(Note Issuer) </w:t>
            </w:r>
            <w:r>
              <w:rPr>
                <w:rFonts w:ascii="Arial" w:cs="Arial" w:eastAsia="Arial" w:hAnsi="Arial"/>
                <w:sz w:val="21"/>
                <w:szCs w:val="21"/>
                <w:b w:val="1"/>
                <w:bCs w:val="1"/>
                <w:color w:val="auto"/>
                <w:w w:val="89"/>
                <w:vertAlign w:val="superscript"/>
              </w:rPr>
              <w:t>(c)</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7"/>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2"/>
                <w:szCs w:val="22"/>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380"/>
              <w:spacing w:after="0"/>
              <w:rPr>
                <w:sz w:val="20"/>
                <w:szCs w:val="20"/>
                <w:color w:val="auto"/>
              </w:rPr>
            </w:pPr>
            <w:r>
              <w:rPr>
                <w:rFonts w:ascii="Arial" w:cs="Arial" w:eastAsia="Arial" w:hAnsi="Arial"/>
                <w:sz w:val="18"/>
                <w:szCs w:val="18"/>
                <w:color w:val="auto"/>
              </w:rPr>
              <w:t>Unrealized loss on derivatives</w:t>
            </w:r>
          </w:p>
        </w:tc>
        <w:tc>
          <w:tcPr>
            <w:tcW w:w="32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8"/>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Less: Comprehensive income attributable to</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5"/>
        </w:trPr>
        <w:tc>
          <w:tcPr>
            <w:tcW w:w="340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0"/>
              </w:rPr>
              <w:t>Comprehensive Income (Loss) Attributable</w:t>
            </w:r>
          </w:p>
        </w:tc>
        <w:tc>
          <w:tcPr>
            <w:tcW w:w="3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ind w:right="98"/>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6"/>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to NRG Yield LLC</w:t>
            </w:r>
          </w:p>
        </w:tc>
        <w:tc>
          <w:tcPr>
            <w:tcW w:w="3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180" w:hanging="118"/>
        <w:spacing w:after="0"/>
        <w:tabs>
          <w:tab w:leader="none" w:pos="180" w:val="left"/>
        </w:tabs>
        <w:numPr>
          <w:ilvl w:val="1"/>
          <w:numId w:val="61"/>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line="221" w:lineRule="auto"/>
        <w:tabs>
          <w:tab w:leader="none" w:pos="140" w:val="left"/>
        </w:tabs>
        <w:numPr>
          <w:ilvl w:val="0"/>
          <w:numId w:val="62"/>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ind w:left="140" w:hanging="132"/>
        <w:spacing w:after="0"/>
        <w:tabs>
          <w:tab w:leader="none" w:pos="140" w:val="left"/>
        </w:tabs>
        <w:numPr>
          <w:ilvl w:val="0"/>
          <w:numId w:val="62"/>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877" w:right="25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(b)(c)</w:t>
            </w:r>
          </w:p>
        </w:tc>
        <w:tc>
          <w:tcPr>
            <w:tcW w:w="140" w:type="dxa"/>
            <w:vAlign w:val="bottom"/>
          </w:tcPr>
          <w:p>
            <w:pPr>
              <w:spacing w:after="0"/>
              <w:rPr>
                <w:sz w:val="12"/>
                <w:szCs w:val="12"/>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LLC </w:t>
            </w:r>
            <w:r>
              <w:rPr>
                <w:rFonts w:ascii="Arial" w:cs="Arial" w:eastAsia="Arial" w:hAnsi="Arial"/>
                <w:sz w:val="8"/>
                <w:szCs w:val="8"/>
                <w:b w:val="1"/>
                <w:bCs w:val="1"/>
                <w:color w:val="auto"/>
              </w:rPr>
              <w:t>(a)(c)</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xml:space="preserve">Subsidiaries </w:t>
            </w:r>
            <w:r>
              <w:rPr>
                <w:rFonts w:ascii="Arial" w:cs="Arial" w:eastAsia="Arial" w:hAnsi="Arial"/>
                <w:sz w:val="8"/>
                <w:szCs w:val="8"/>
                <w:b w:val="1"/>
                <w:bCs w:val="1"/>
                <w:color w:val="auto"/>
                <w:w w:val="88"/>
              </w:rPr>
              <w:t>(c)</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 xml:space="preserve">(Note Issuer) </w:t>
            </w:r>
            <w:r>
              <w:rPr>
                <w:rFonts w:ascii="Arial" w:cs="Arial" w:eastAsia="Arial" w:hAnsi="Arial"/>
                <w:sz w:val="8"/>
                <w:szCs w:val="8"/>
                <w:b w:val="1"/>
                <w:bCs w:val="1"/>
                <w:color w:val="auto"/>
                <w:w w:val="92"/>
              </w:rPr>
              <w:t>(c)</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154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Accounts receivable — trade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instruments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Notes receivable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Prepayments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7"/>
        </w:trPr>
        <w:tc>
          <w:tcPr>
            <w:tcW w:w="378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Net property, plant and equipment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5,175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Investment in consolidated subsidiaries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investments in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Notes receivable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1,424</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7"/>
        </w:trPr>
        <w:tc>
          <w:tcPr>
            <w:tcW w:w="378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1,601</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3,022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(5,440)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7,727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5" w:lineRule="exact"/>
        <w:rPr>
          <w:sz w:val="20"/>
          <w:szCs w:val="20"/>
          <w:color w:val="auto"/>
        </w:rPr>
      </w:pPr>
    </w:p>
    <w:p>
      <w:pPr>
        <w:ind w:left="180" w:hanging="118"/>
        <w:spacing w:after="0"/>
        <w:tabs>
          <w:tab w:leader="none" w:pos="180" w:val="left"/>
        </w:tabs>
        <w:numPr>
          <w:ilvl w:val="1"/>
          <w:numId w:val="63"/>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line="221" w:lineRule="auto"/>
        <w:tabs>
          <w:tab w:leader="none" w:pos="140" w:val="left"/>
        </w:tabs>
        <w:numPr>
          <w:ilvl w:val="0"/>
          <w:numId w:val="64"/>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ind w:left="140" w:hanging="132"/>
        <w:spacing w:after="0"/>
        <w:tabs>
          <w:tab w:leader="none" w:pos="140" w:val="left"/>
        </w:tabs>
        <w:numPr>
          <w:ilvl w:val="0"/>
          <w:numId w:val="64"/>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877" w:right="239" w:bottom="1440" w:gutter="0" w:footer="0" w:header="0"/>
        </w:sectPr>
      </w:pPr>
    </w:p>
    <w:bookmarkStart w:id="111" w:name="page112"/>
    <w:bookmarkEnd w:id="111"/>
    <w:p>
      <w:pPr>
        <w:ind w:left="4120"/>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Operating</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NRG Yield LLC</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Guarantor</w:t>
            </w:r>
          </w:p>
        </w:tc>
        <w:tc>
          <w:tcPr>
            <w:tcW w:w="1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LLC</w:t>
            </w:r>
          </w:p>
        </w:tc>
        <w:tc>
          <w:tcPr>
            <w:tcW w:w="14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22"/>
                <w:szCs w:val="22"/>
                <w:b w:val="1"/>
                <w:bCs w:val="1"/>
                <w:color w:val="auto"/>
                <w:vertAlign w:val="superscript"/>
              </w:rPr>
              <w:t>(b) (c)</w:t>
            </w:r>
          </w:p>
        </w:tc>
        <w:tc>
          <w:tcPr>
            <w:tcW w:w="140" w:type="dxa"/>
            <w:vAlign w:val="bottom"/>
          </w:tcPr>
          <w:p>
            <w:pPr>
              <w:spacing w:after="0"/>
              <w:rPr>
                <w:sz w:val="14"/>
                <w:szCs w:val="14"/>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1"/>
                <w:szCs w:val="11"/>
                <w:b w:val="1"/>
                <w:bCs w:val="1"/>
                <w:color w:val="auto"/>
                <w:w w:val="93"/>
              </w:rPr>
              <w:t>(a) (c)</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Subsidiaries</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40"/>
              <w:spacing w:after="0" w:line="176" w:lineRule="exact"/>
              <w:rPr>
                <w:sz w:val="20"/>
                <w:szCs w:val="20"/>
                <w:color w:val="auto"/>
              </w:rPr>
            </w:pPr>
            <w:r>
              <w:rPr>
                <w:rFonts w:ascii="Arial" w:cs="Arial" w:eastAsia="Arial" w:hAnsi="Arial"/>
                <w:sz w:val="13"/>
                <w:szCs w:val="13"/>
                <w:b w:val="1"/>
                <w:bCs w:val="1"/>
                <w:color w:val="auto"/>
              </w:rPr>
              <w:t xml:space="preserve">Subsidiaries </w:t>
            </w:r>
            <w:r>
              <w:rPr>
                <w:rFonts w:ascii="Arial" w:cs="Arial" w:eastAsia="Arial" w:hAnsi="Arial"/>
                <w:sz w:val="20"/>
                <w:szCs w:val="20"/>
                <w:b w:val="1"/>
                <w:bCs w:val="1"/>
                <w:color w:val="auto"/>
                <w:vertAlign w:val="superscript"/>
              </w:rPr>
              <w:t>(c)</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90"/>
              </w:rPr>
              <w:t xml:space="preserve">(Note Issuer) </w:t>
            </w:r>
            <w:r>
              <w:rPr>
                <w:rFonts w:ascii="Arial" w:cs="Arial" w:eastAsia="Arial" w:hAnsi="Arial"/>
                <w:sz w:val="20"/>
                <w:szCs w:val="20"/>
                <w:b w:val="1"/>
                <w:bCs w:val="1"/>
                <w:color w:val="auto"/>
                <w:w w:val="90"/>
                <w:vertAlign w:val="superscript"/>
              </w:rPr>
              <w:t>(c)</w:t>
            </w: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LIABILITIES AND MEMBERS' EQUITY</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5"/>
          </w:tcPr>
          <w:p>
            <w:pPr>
              <w:ind w:left="10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Current portion of long-term debt — external</w:t>
            </w:r>
          </w:p>
        </w:tc>
        <w:tc>
          <w:tcPr>
            <w:tcW w:w="240" w:type="dxa"/>
            <w:vAlign w:val="bottom"/>
          </w:tcPr>
          <w:p>
            <w:pPr>
              <w:jc w:val="right"/>
              <w:ind w:right="63"/>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Accounts payable — affiliate</w:t>
            </w:r>
          </w:p>
        </w:tc>
        <w:tc>
          <w:tcPr>
            <w:tcW w:w="24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31"/>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 external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4,377</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Long-term debt — affiliate</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4,843</w:t>
            </w:r>
          </w:p>
        </w:tc>
        <w:tc>
          <w:tcPr>
            <w:tcW w:w="0" w:type="dxa"/>
            <w:vAlign w:val="bottom"/>
          </w:tcPr>
          <w:p>
            <w:pPr>
              <w:spacing w:after="0"/>
              <w:rPr>
                <w:sz w:val="1"/>
                <w:szCs w:val="1"/>
                <w:color w:val="auto"/>
              </w:rPr>
            </w:pPr>
          </w:p>
        </w:tc>
      </w:tr>
      <w:tr>
        <w:trPr>
          <w:trHeight w:val="217"/>
        </w:trPr>
        <w:tc>
          <w:tcPr>
            <w:tcW w:w="3560" w:type="dxa"/>
            <w:vAlign w:val="bottom"/>
          </w:tcPr>
          <w:p>
            <w:pPr>
              <w:ind w:left="18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4,466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5,251</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Members' Equity</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Contributed capital</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2,104</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Retained earnings (accumulated deficit)</w:t>
            </w:r>
          </w:p>
        </w:tc>
        <w:tc>
          <w:tcPr>
            <w:tcW w:w="24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Members' Equity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2,476</w:t>
            </w:r>
          </w:p>
        </w:tc>
        <w:tc>
          <w:tcPr>
            <w:tcW w:w="0" w:type="dxa"/>
            <w:vAlign w:val="bottom"/>
          </w:tcPr>
          <w:p>
            <w:pPr>
              <w:spacing w:after="0"/>
              <w:rPr>
                <w:sz w:val="1"/>
                <w:szCs w:val="1"/>
                <w:color w:val="auto"/>
              </w:rPr>
            </w:pPr>
          </w:p>
        </w:tc>
      </w:tr>
      <w:tr>
        <w:trPr>
          <w:trHeight w:val="244"/>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Members’ Equity</w:t>
            </w: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2,398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7,126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3,290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(5,808)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7,727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3722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65"/>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spacing w:after="0" w:line="13" w:lineRule="exact"/>
        <w:rPr>
          <w:rFonts w:ascii="Arial" w:cs="Arial" w:eastAsia="Arial" w:hAnsi="Arial"/>
          <w:sz w:val="9"/>
          <w:szCs w:val="9"/>
          <w:color w:val="auto"/>
        </w:rPr>
      </w:pPr>
    </w:p>
    <w:p>
      <w:pPr>
        <w:ind w:left="140" w:hanging="132"/>
        <w:spacing w:after="0" w:line="221" w:lineRule="auto"/>
        <w:tabs>
          <w:tab w:leader="none" w:pos="140" w:val="left"/>
        </w:tabs>
        <w:numPr>
          <w:ilvl w:val="0"/>
          <w:numId w:val="65"/>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ind w:left="140" w:hanging="132"/>
        <w:spacing w:after="0"/>
        <w:tabs>
          <w:tab w:leader="none" w:pos="140" w:val="left"/>
        </w:tabs>
        <w:numPr>
          <w:ilvl w:val="0"/>
          <w:numId w:val="65"/>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026" w:right="239" w:bottom="1440" w:gutter="0" w:footer="0" w:header="0"/>
        </w:sectPr>
      </w:pPr>
    </w:p>
    <w:bookmarkStart w:id="112" w:name="page113"/>
    <w:bookmarkEnd w:id="112"/>
    <w:p>
      <w:pPr>
        <w:jc w:val="center"/>
        <w:ind w:left="840" w:right="2360"/>
        <w:spacing w:after="0" w:line="391" w:lineRule="auto"/>
        <w:rPr>
          <w:sz w:val="20"/>
          <w:szCs w:val="20"/>
          <w:color w:val="auto"/>
        </w:rPr>
      </w:pPr>
      <w:r>
        <w:rPr>
          <w:rFonts w:ascii="Arial" w:cs="Arial" w:eastAsia="Arial" w:hAnsi="Arial"/>
          <w:sz w:val="18"/>
          <w:szCs w:val="18"/>
          <w:b w:val="1"/>
          <w:bCs w:val="1"/>
          <w:color w:val="auto"/>
        </w:rPr>
        <w:t>NRG YIELD LLC AND SUBSIDIARIES CONDENSED CONSOLIDATING STATEMENTS OF CASH FLOWS For the Year Ended December 31, 2014</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2C2C2C"/>
                <w:w w:val="93"/>
              </w:rPr>
              <w:t>NRG Yield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200" w:type="dxa"/>
            <w:vAlign w:val="bottom"/>
            <w:gridSpan w:val="3"/>
          </w:tcPr>
          <w:p>
            <w:pPr>
              <w:jc w:val="center"/>
              <w:ind w:right="100"/>
              <w:spacing w:after="0" w:line="156" w:lineRule="exact"/>
              <w:rPr>
                <w:sz w:val="20"/>
                <w:szCs w:val="20"/>
                <w:color w:val="auto"/>
              </w:rPr>
            </w:pPr>
            <w:r>
              <w:rPr>
                <w:rFonts w:ascii="Arial" w:cs="Arial" w:eastAsia="Arial" w:hAnsi="Arial"/>
                <w:sz w:val="14"/>
                <w:szCs w:val="14"/>
                <w:b w:val="1"/>
                <w:bCs w:val="1"/>
                <w:color w:val="auto"/>
                <w:w w:val="94"/>
              </w:rPr>
              <w:t>NRG Yield LLC</w:t>
            </w:r>
          </w:p>
        </w:tc>
        <w:tc>
          <w:tcPr>
            <w:tcW w:w="1180" w:type="dxa"/>
            <w:vAlign w:val="bottom"/>
            <w:gridSpan w:val="3"/>
          </w:tcPr>
          <w:p>
            <w:pPr>
              <w:ind w:left="40"/>
              <w:spacing w:after="0" w:line="156" w:lineRule="exact"/>
              <w:rPr>
                <w:sz w:val="20"/>
                <w:szCs w:val="20"/>
                <w:color w:val="auto"/>
              </w:rPr>
            </w:pPr>
            <w:r>
              <w:rPr>
                <w:rFonts w:ascii="Arial" w:cs="Arial" w:eastAsia="Arial" w:hAnsi="Arial"/>
                <w:sz w:val="14"/>
                <w:szCs w:val="14"/>
                <w:b w:val="1"/>
                <w:bCs w:val="1"/>
                <w:color w:val="auto"/>
              </w:rPr>
              <w:t>Other Guarantor</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2"/>
              </w:rPr>
              <w:t>Non-Guarantor</w:t>
            </w:r>
          </w:p>
        </w:tc>
        <w:tc>
          <w:tcPr>
            <w:tcW w:w="1200" w:type="dxa"/>
            <w:vAlign w:val="bottom"/>
            <w:gridSpan w:val="3"/>
          </w:tcPr>
          <w:p>
            <w:pPr>
              <w:jc w:val="center"/>
              <w:ind w:right="100"/>
              <w:spacing w:after="0" w:line="156" w:lineRule="exact"/>
              <w:rPr>
                <w:sz w:val="20"/>
                <w:szCs w:val="20"/>
                <w:color w:val="auto"/>
              </w:rPr>
            </w:pPr>
            <w:r>
              <w:rPr>
                <w:rFonts w:ascii="Arial" w:cs="Arial" w:eastAsia="Arial" w:hAnsi="Arial"/>
                <w:sz w:val="14"/>
                <w:szCs w:val="14"/>
                <w:b w:val="1"/>
                <w:bCs w:val="1"/>
                <w:color w:val="2C2C2C"/>
                <w:w w:val="92"/>
              </w:rPr>
              <w:t>Operating LLC</w:t>
            </w:r>
          </w:p>
        </w:tc>
        <w:tc>
          <w:tcPr>
            <w:tcW w:w="120" w:type="dxa"/>
            <w:vAlign w:val="bottom"/>
          </w:tcPr>
          <w:p>
            <w:pPr>
              <w:spacing w:after="0"/>
              <w:rPr>
                <w:sz w:val="13"/>
                <w:szCs w:val="13"/>
                <w:color w:val="auto"/>
              </w:rPr>
            </w:pPr>
          </w:p>
        </w:tc>
        <w:tc>
          <w:tcPr>
            <w:tcW w:w="9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1"/>
        </w:trPr>
        <w:tc>
          <w:tcPr>
            <w:tcW w:w="48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8"/>
              </w:rPr>
              <w:t>(a) (b)</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40"/>
              <w:spacing w:after="0" w:line="182" w:lineRule="exact"/>
              <w:rPr>
                <w:sz w:val="20"/>
                <w:szCs w:val="20"/>
                <w:color w:val="auto"/>
              </w:rPr>
            </w:pPr>
            <w:r>
              <w:rPr>
                <w:rFonts w:ascii="Arial" w:cs="Arial" w:eastAsia="Arial" w:hAnsi="Arial"/>
                <w:sz w:val="13"/>
                <w:szCs w:val="13"/>
                <w:b w:val="1"/>
                <w:bCs w:val="1"/>
                <w:color w:val="auto"/>
                <w:w w:val="89"/>
              </w:rPr>
              <w:t xml:space="preserve">Subsidiaries </w:t>
            </w:r>
            <w:r>
              <w:rPr>
                <w:rFonts w:ascii="Arial" w:cs="Arial" w:eastAsia="Arial" w:hAnsi="Arial"/>
                <w:sz w:val="21"/>
                <w:szCs w:val="21"/>
                <w:b w:val="1"/>
                <w:bCs w:val="1"/>
                <w:color w:val="auto"/>
                <w:w w:val="89"/>
                <w:vertAlign w:val="superscript"/>
              </w:rPr>
              <w:t>(b)</w:t>
            </w:r>
          </w:p>
        </w:tc>
        <w:tc>
          <w:tcPr>
            <w:tcW w:w="1200" w:type="dxa"/>
            <w:vAlign w:val="bottom"/>
            <w:tcBorders>
              <w:bottom w:val="single" w:sz="8" w:color="auto"/>
            </w:tcBorders>
            <w:gridSpan w:val="3"/>
          </w:tcPr>
          <w:p>
            <w:pPr>
              <w:jc w:val="center"/>
              <w:ind w:right="120"/>
              <w:spacing w:after="0" w:line="182" w:lineRule="exact"/>
              <w:rPr>
                <w:sz w:val="20"/>
                <w:szCs w:val="20"/>
                <w:color w:val="auto"/>
              </w:rPr>
            </w:pPr>
            <w:r>
              <w:rPr>
                <w:rFonts w:ascii="Arial" w:cs="Arial" w:eastAsia="Arial" w:hAnsi="Arial"/>
                <w:sz w:val="13"/>
                <w:szCs w:val="13"/>
                <w:b w:val="1"/>
                <w:bCs w:val="1"/>
                <w:color w:val="2C2C2C"/>
                <w:w w:val="91"/>
              </w:rPr>
              <w:t xml:space="preserve">(Note Issuer) </w:t>
            </w:r>
            <w:r>
              <w:rPr>
                <w:rFonts w:ascii="Arial" w:cs="Arial" w:eastAsia="Arial" w:hAnsi="Arial"/>
                <w:sz w:val="21"/>
                <w:szCs w:val="21"/>
                <w:b w:val="1"/>
                <w:bCs w:val="1"/>
                <w:color w:val="2C2C2C"/>
                <w:w w:val="91"/>
                <w:vertAlign w:val="superscript"/>
              </w:rPr>
              <w:t>(b)</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Arial" w:cs="Arial" w:eastAsia="Arial" w:hAnsi="Arial"/>
                <w:sz w:val="16"/>
                <w:szCs w:val="16"/>
                <w:color w:val="auto"/>
              </w:rPr>
              <w:t>Intercompany transactions from Yield LLC to subsidiaries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of Drop Down Assets,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Arial" w:cs="Arial" w:eastAsia="Arial" w:hAnsi="Arial"/>
                <w:sz w:val="16"/>
                <w:szCs w:val="16"/>
                <w:color w:val="auto"/>
              </w:rPr>
              <w:t>Acquisition of businesses, net of cash acquired</w:t>
            </w:r>
          </w:p>
        </w:tc>
        <w:tc>
          <w:tcPr>
            <w:tcW w:w="2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Arial" w:cs="Arial" w:eastAsia="Arial" w:hAnsi="Arial"/>
                <w:sz w:val="16"/>
                <w:szCs w:val="16"/>
                <w:color w:val="auto"/>
              </w:rPr>
              <w:t>Decrease in restricted cash</w:t>
            </w:r>
          </w:p>
        </w:tc>
        <w:tc>
          <w:tcPr>
            <w:tcW w:w="2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notes receivable including affiliates,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Arial" w:cs="Arial" w:eastAsia="Arial" w:hAnsi="Arial"/>
                <w:sz w:val="16"/>
                <w:szCs w:val="16"/>
                <w:color w:val="auto"/>
              </w:rPr>
              <w:t>Proceeds from renewable energy grants</w:t>
            </w:r>
          </w:p>
        </w:tc>
        <w:tc>
          <w:tcPr>
            <w:tcW w:w="2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0" w:type="dxa"/>
            <w:vAlign w:val="bottom"/>
          </w:tcPr>
          <w:p>
            <w:pPr>
              <w:spacing w:after="0"/>
              <w:rPr>
                <w:sz w:val="1"/>
                <w:szCs w:val="1"/>
                <w:color w:val="auto"/>
              </w:rPr>
            </w:pPr>
          </w:p>
        </w:tc>
      </w:tr>
      <w:tr>
        <w:trPr>
          <w:trHeight w:val="231"/>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Contributions from tax equity investors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Arial" w:cs="Arial" w:eastAsia="Arial" w:hAnsi="Arial"/>
                <w:sz w:val="16"/>
                <w:szCs w:val="16"/>
                <w:color w:val="auto"/>
              </w:rPr>
              <w:t>Capital contributions from NRG</w:t>
            </w:r>
          </w:p>
        </w:tc>
        <w:tc>
          <w:tcPr>
            <w:tcW w:w="2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Distributions and returns of capital to NRG</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Arial" w:cs="Arial" w:eastAsia="Arial" w:hAnsi="Arial"/>
                <w:sz w:val="16"/>
                <w:szCs w:val="16"/>
                <w:color w:val="auto"/>
              </w:rPr>
              <w:t>Proceeds from the issuance of Class A units</w:t>
            </w: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dividends and distributions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Arial" w:cs="Arial" w:eastAsia="Arial" w:hAnsi="Arial"/>
                <w:sz w:val="16"/>
                <w:szCs w:val="16"/>
                <w:color w:val="auto"/>
              </w:rPr>
              <w:t>Proceeds from issuance of long-term debt - external</w:t>
            </w:r>
          </w:p>
        </w:tc>
        <w:tc>
          <w:tcPr>
            <w:tcW w:w="2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long-term debt - affiliate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Arial" w:cs="Arial" w:eastAsia="Arial" w:hAnsi="Arial"/>
                <w:sz w:val="16"/>
                <w:szCs w:val="16"/>
                <w:color w:val="auto"/>
                <w:w w:val="93"/>
              </w:rPr>
              <w:t>Transfer of funds under intercompany cash management arrangement</w:t>
            </w: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of long-term debt- external</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Arial" w:cs="Arial" w:eastAsia="Arial" w:hAnsi="Arial"/>
                <w:sz w:val="16"/>
                <w:szCs w:val="16"/>
                <w:color w:val="auto"/>
              </w:rPr>
              <w:t>Payment of debt issuance costs</w:t>
            </w:r>
          </w:p>
        </w:tc>
        <w:tc>
          <w:tcPr>
            <w:tcW w:w="2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21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44"/>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462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25" w:lineRule="exact"/>
        <w:rPr>
          <w:sz w:val="20"/>
          <w:szCs w:val="20"/>
          <w:color w:val="auto"/>
        </w:rPr>
      </w:pPr>
    </w:p>
    <w:p>
      <w:pPr>
        <w:ind w:left="180" w:hanging="118"/>
        <w:spacing w:after="0"/>
        <w:tabs>
          <w:tab w:leader="none" w:pos="180" w:val="left"/>
        </w:tabs>
        <w:numPr>
          <w:ilvl w:val="1"/>
          <w:numId w:val="66"/>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67"/>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9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820"/>
          </w:cols>
          <w:pgMar w:left="240" w:top="877" w:right="8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NRG Yield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00" w:type="dxa"/>
            <w:vAlign w:val="bottom"/>
          </w:tcPr>
          <w:p>
            <w:pPr>
              <w:spacing w:after="0"/>
              <w:rPr>
                <w:sz w:val="13"/>
                <w:szCs w:val="13"/>
                <w:color w:val="auto"/>
              </w:rPr>
            </w:pPr>
          </w:p>
        </w:tc>
        <w:tc>
          <w:tcPr>
            <w:tcW w:w="1280" w:type="dxa"/>
            <w:vAlign w:val="bottom"/>
            <w:gridSpan w:val="3"/>
          </w:tcPr>
          <w:p>
            <w:pPr>
              <w:ind w:left="40"/>
              <w:spacing w:after="0" w:line="156" w:lineRule="exact"/>
              <w:rPr>
                <w:sz w:val="20"/>
                <w:szCs w:val="20"/>
                <w:color w:val="auto"/>
              </w:rPr>
            </w:pPr>
            <w:r>
              <w:rPr>
                <w:rFonts w:ascii="Arial" w:cs="Arial" w:eastAsia="Arial" w:hAnsi="Arial"/>
                <w:sz w:val="12"/>
                <w:szCs w:val="12"/>
                <w:b w:val="1"/>
                <w:bCs w:val="1"/>
                <w:color w:val="auto"/>
              </w:rPr>
              <w:t xml:space="preserve">NRG Yield LLC </w:t>
            </w:r>
            <w:r>
              <w:rPr>
                <w:rFonts w:ascii="Arial" w:cs="Arial" w:eastAsia="Arial" w:hAnsi="Arial"/>
                <w:sz w:val="18"/>
                <w:szCs w:val="18"/>
                <w:b w:val="1"/>
                <w:bCs w:val="1"/>
                <w:color w:val="auto"/>
                <w:vertAlign w:val="superscript"/>
              </w:rPr>
              <w:t>(a)</w:t>
            </w:r>
          </w:p>
        </w:tc>
        <w:tc>
          <w:tcPr>
            <w:tcW w:w="120" w:type="dxa"/>
            <w:vAlign w:val="bottom"/>
          </w:tcPr>
          <w:p>
            <w:pPr>
              <w:spacing w:after="0"/>
              <w:rPr>
                <w:sz w:val="13"/>
                <w:szCs w:val="13"/>
                <w:color w:val="auto"/>
              </w:rPr>
            </w:pPr>
          </w:p>
        </w:tc>
        <w:tc>
          <w:tcPr>
            <w:tcW w:w="124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w w:val="91"/>
              </w:rPr>
              <w:t>Other Guarantor</w:t>
            </w:r>
          </w:p>
        </w:tc>
        <w:tc>
          <w:tcPr>
            <w:tcW w:w="180" w:type="dxa"/>
            <w:vAlign w:val="bottom"/>
          </w:tcPr>
          <w:p>
            <w:pPr>
              <w:spacing w:after="0"/>
              <w:rPr>
                <w:sz w:val="13"/>
                <w:szCs w:val="13"/>
                <w:color w:val="auto"/>
              </w:rPr>
            </w:pPr>
          </w:p>
        </w:tc>
        <w:tc>
          <w:tcPr>
            <w:tcW w:w="130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2"/>
              </w:rPr>
              <w:t>Operating LLC</w:t>
            </w:r>
          </w:p>
        </w:tc>
        <w:tc>
          <w:tcPr>
            <w:tcW w:w="140" w:type="dxa"/>
            <w:vAlign w:val="bottom"/>
          </w:tcPr>
          <w:p>
            <w:pPr>
              <w:spacing w:after="0"/>
              <w:rPr>
                <w:sz w:val="13"/>
                <w:szCs w:val="13"/>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22"/>
                <w:szCs w:val="22"/>
                <w:b w:val="1"/>
                <w:bCs w:val="1"/>
                <w:color w:val="auto"/>
                <w:vertAlign w:val="superscript"/>
              </w:rPr>
              <w:t>(b) (c)</w:t>
            </w:r>
          </w:p>
        </w:tc>
        <w:tc>
          <w:tcPr>
            <w:tcW w:w="200" w:type="dxa"/>
            <w:vAlign w:val="bottom"/>
          </w:tcPr>
          <w:p>
            <w:pPr>
              <w:spacing w:after="0"/>
              <w:rPr>
                <w:sz w:val="13"/>
                <w:szCs w:val="13"/>
                <w:color w:val="auto"/>
              </w:rPr>
            </w:pPr>
          </w:p>
        </w:tc>
        <w:tc>
          <w:tcPr>
            <w:tcW w:w="11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81"/>
        </w:trPr>
        <w:tc>
          <w:tcPr>
            <w:tcW w:w="3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(c)</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4"/>
              </w:rPr>
              <w:t>Subsidiaries</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80"/>
              <w:spacing w:after="0" w:line="182" w:lineRule="exact"/>
              <w:rPr>
                <w:sz w:val="20"/>
                <w:szCs w:val="20"/>
                <w:color w:val="auto"/>
              </w:rPr>
            </w:pPr>
            <w:r>
              <w:rPr>
                <w:rFonts w:ascii="Arial" w:cs="Arial" w:eastAsia="Arial" w:hAnsi="Arial"/>
                <w:sz w:val="13"/>
                <w:szCs w:val="13"/>
                <w:b w:val="1"/>
                <w:bCs w:val="1"/>
                <w:color w:val="auto"/>
              </w:rPr>
              <w:t xml:space="preserve">Subsidiaries </w:t>
            </w:r>
            <w:r>
              <w:rPr>
                <w:rFonts w:ascii="Arial" w:cs="Arial" w:eastAsia="Arial" w:hAnsi="Arial"/>
                <w:sz w:val="21"/>
                <w:szCs w:val="21"/>
                <w:b w:val="1"/>
                <w:bCs w:val="1"/>
                <w:color w:val="auto"/>
                <w:vertAlign w:val="superscript"/>
              </w:rPr>
              <w:t>(c)</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40"/>
              <w:spacing w:after="0" w:line="182" w:lineRule="exact"/>
              <w:rPr>
                <w:sz w:val="20"/>
                <w:szCs w:val="20"/>
                <w:color w:val="auto"/>
              </w:rPr>
            </w:pPr>
            <w:r>
              <w:rPr>
                <w:rFonts w:ascii="Arial" w:cs="Arial" w:eastAsia="Arial" w:hAnsi="Arial"/>
                <w:sz w:val="13"/>
                <w:szCs w:val="13"/>
                <w:b w:val="1"/>
                <w:bCs w:val="1"/>
                <w:color w:val="auto"/>
                <w:w w:val="89"/>
              </w:rPr>
              <w:t xml:space="preserve">(Note Issuer) </w:t>
            </w:r>
            <w:r>
              <w:rPr>
                <w:rFonts w:ascii="Arial" w:cs="Arial" w:eastAsia="Arial" w:hAnsi="Arial"/>
                <w:sz w:val="21"/>
                <w:szCs w:val="21"/>
                <w:b w:val="1"/>
                <w:bCs w:val="1"/>
                <w:color w:val="auto"/>
                <w:w w:val="89"/>
                <w:vertAlign w:val="superscript"/>
              </w:rPr>
              <w:t>(c)</w:t>
            </w: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Total operating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180"/>
              <w:spacing w:after="0"/>
              <w:rPr>
                <w:sz w:val="20"/>
                <w:szCs w:val="20"/>
                <w:color w:val="auto"/>
              </w:rPr>
            </w:pPr>
            <w:r>
              <w:rPr>
                <w:rFonts w:ascii="Arial" w:cs="Arial" w:eastAsia="Arial" w:hAnsi="Arial"/>
                <w:sz w:val="18"/>
                <w:szCs w:val="18"/>
                <w:color w:val="auto"/>
              </w:rPr>
              <w:t>Equity in earnings of consolidated</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affiliates</w:t>
            </w:r>
          </w:p>
        </w:tc>
        <w:tc>
          <w:tcPr>
            <w:tcW w:w="3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affiliates</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9"/>
        </w:trPr>
        <w:tc>
          <w:tcPr>
            <w:tcW w:w="3100" w:type="dxa"/>
            <w:vAlign w:val="bottom"/>
          </w:tcPr>
          <w:p>
            <w:pPr>
              <w:ind w:left="40"/>
              <w:spacing w:after="0"/>
              <w:rPr>
                <w:sz w:val="20"/>
                <w:szCs w:val="20"/>
                <w:color w:val="auto"/>
              </w:rPr>
            </w:pPr>
            <w:r>
              <w:rPr>
                <w:rFonts w:ascii="Arial" w:cs="Arial" w:eastAsia="Arial" w:hAnsi="Arial"/>
                <w:sz w:val="18"/>
                <w:szCs w:val="18"/>
                <w:color w:val="auto"/>
              </w:rPr>
              <w:t>Less: Net loss attributable to</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5"/>
              </w:rPr>
              <w:t>Net Income Attributable to NRG Yield</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LLC</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180" w:hanging="118"/>
        <w:spacing w:after="0"/>
        <w:tabs>
          <w:tab w:leader="none" w:pos="180" w:val="left"/>
        </w:tabs>
        <w:numPr>
          <w:ilvl w:val="1"/>
          <w:numId w:val="68"/>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line="221" w:lineRule="auto"/>
        <w:tabs>
          <w:tab w:leader="none" w:pos="140" w:val="left"/>
        </w:tabs>
        <w:numPr>
          <w:ilvl w:val="0"/>
          <w:numId w:val="69"/>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ind w:left="140" w:hanging="132"/>
        <w:spacing w:after="0"/>
        <w:tabs>
          <w:tab w:leader="none" w:pos="140" w:val="left"/>
        </w:tabs>
        <w:numPr>
          <w:ilvl w:val="0"/>
          <w:numId w:val="69"/>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877"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NRG Yield</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2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LLC</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Guarantor</w:t>
            </w: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Non-Guarantor</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Operating LLC</w:t>
            </w:r>
          </w:p>
        </w:tc>
        <w:tc>
          <w:tcPr>
            <w:tcW w:w="140" w:type="dxa"/>
            <w:vAlign w:val="bottom"/>
          </w:tcPr>
          <w:p>
            <w:pPr>
              <w:spacing w:after="0"/>
              <w:rPr>
                <w:sz w:val="14"/>
                <w:szCs w:val="14"/>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22"/>
                <w:szCs w:val="22"/>
                <w:b w:val="1"/>
                <w:bCs w:val="1"/>
                <w:color w:val="auto"/>
                <w:vertAlign w:val="superscript"/>
              </w:rPr>
              <w:t>(b) (c)</w:t>
            </w:r>
          </w:p>
        </w:tc>
        <w:tc>
          <w:tcPr>
            <w:tcW w:w="160" w:type="dxa"/>
            <w:vAlign w:val="bottom"/>
          </w:tcPr>
          <w:p>
            <w:pPr>
              <w:spacing w:after="0"/>
              <w:rPr>
                <w:sz w:val="14"/>
                <w:szCs w:val="14"/>
                <w:color w:val="auto"/>
              </w:rPr>
            </w:pPr>
          </w:p>
        </w:tc>
        <w:tc>
          <w:tcPr>
            <w:tcW w:w="9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(a) (c)</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Subsidiaries</w:t>
            </w:r>
          </w:p>
        </w:tc>
        <w:tc>
          <w:tcPr>
            <w:tcW w:w="200" w:type="dxa"/>
            <w:vAlign w:val="bottom"/>
          </w:tcPr>
          <w:p>
            <w:pPr>
              <w:spacing w:after="0"/>
              <w:rPr>
                <w:sz w:val="15"/>
                <w:szCs w:val="15"/>
                <w:color w:val="auto"/>
              </w:rPr>
            </w:pPr>
          </w:p>
        </w:tc>
        <w:tc>
          <w:tcPr>
            <w:tcW w:w="138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88"/>
              </w:rPr>
              <w:t xml:space="preserve">Subsidiaries </w:t>
            </w:r>
            <w:r>
              <w:rPr>
                <w:rFonts w:ascii="Arial" w:cs="Arial" w:eastAsia="Arial" w:hAnsi="Arial"/>
                <w:sz w:val="20"/>
                <w:szCs w:val="20"/>
                <w:b w:val="1"/>
                <w:bCs w:val="1"/>
                <w:color w:val="auto"/>
                <w:w w:val="88"/>
                <w:vertAlign w:val="superscript"/>
              </w:rPr>
              <w:t>(c)</w:t>
            </w:r>
          </w:p>
        </w:tc>
        <w:tc>
          <w:tcPr>
            <w:tcW w:w="160" w:type="dxa"/>
            <w:vAlign w:val="bottom"/>
          </w:tcPr>
          <w:p>
            <w:pPr>
              <w:spacing w:after="0"/>
              <w:rPr>
                <w:sz w:val="15"/>
                <w:szCs w:val="15"/>
                <w:color w:val="auto"/>
              </w:rPr>
            </w:pPr>
          </w:p>
        </w:tc>
        <w:tc>
          <w:tcPr>
            <w:tcW w:w="122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90"/>
              </w:rPr>
              <w:t xml:space="preserve">(Note Issuer) </w:t>
            </w:r>
            <w:r>
              <w:rPr>
                <w:rFonts w:ascii="Arial" w:cs="Arial" w:eastAsia="Arial" w:hAnsi="Arial"/>
                <w:sz w:val="20"/>
                <w:szCs w:val="20"/>
                <w:b w:val="1"/>
                <w:bCs w:val="1"/>
                <w:color w:val="auto"/>
                <w:w w:val="90"/>
                <w:vertAlign w:val="superscript"/>
              </w:rPr>
              <w:t>(c)</w:t>
            </w: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5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380"/>
              <w:spacing w:after="0"/>
              <w:rPr>
                <w:sz w:val="20"/>
                <w:szCs w:val="20"/>
                <w:color w:val="auto"/>
              </w:rPr>
            </w:pPr>
            <w:r>
              <w:rPr>
                <w:rFonts w:ascii="Arial" w:cs="Arial" w:eastAsia="Arial" w:hAnsi="Arial"/>
                <w:sz w:val="18"/>
                <w:szCs w:val="18"/>
                <w:color w:val="auto"/>
              </w:rPr>
              <w:t>Unrealized gain on derivatives</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Comprehensive loss attributable to</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5"/>
        </w:trPr>
        <w:tc>
          <w:tcPr>
            <w:tcW w:w="35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1"/>
              </w:rPr>
              <w:t>Comprehensive Income Attributable to NRG</w:t>
            </w: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6"/>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Yield LLC</w:t>
            </w: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180" w:hanging="118"/>
        <w:spacing w:after="0"/>
        <w:tabs>
          <w:tab w:leader="none" w:pos="180" w:val="left"/>
        </w:tabs>
        <w:numPr>
          <w:ilvl w:val="1"/>
          <w:numId w:val="70"/>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line="221" w:lineRule="auto"/>
        <w:tabs>
          <w:tab w:leader="none" w:pos="140" w:val="left"/>
        </w:tabs>
        <w:numPr>
          <w:ilvl w:val="0"/>
          <w:numId w:val="71"/>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ind w:left="140" w:hanging="132"/>
        <w:spacing w:after="0"/>
        <w:tabs>
          <w:tab w:leader="none" w:pos="140" w:val="left"/>
        </w:tabs>
        <w:numPr>
          <w:ilvl w:val="0"/>
          <w:numId w:val="71"/>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877" w:right="239" w:bottom="1440" w:gutter="0" w:footer="0" w:header="0"/>
        </w:sectPr>
      </w:pPr>
    </w:p>
    <w:bookmarkStart w:id="115" w:name="page116"/>
    <w:bookmarkEnd w:id="115"/>
    <w:p>
      <w:pPr>
        <w:jc w:val="center"/>
        <w:ind w:right="-17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 Ended December 31, 2013</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2C2C2C"/>
                <w:w w:val="93"/>
              </w:rPr>
              <w:t>NRG Yield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2C2C2C"/>
                <w:w w:val="90"/>
              </w:rPr>
              <w:t>Operating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00" w:type="dxa"/>
            <w:vAlign w:val="bottom"/>
          </w:tcPr>
          <w:p>
            <w:pPr>
              <w:spacing w:after="0"/>
              <w:rPr>
                <w:sz w:val="13"/>
                <w:szCs w:val="13"/>
                <w:color w:val="auto"/>
              </w:rPr>
            </w:pPr>
          </w:p>
        </w:tc>
        <w:tc>
          <w:tcPr>
            <w:tcW w:w="1160" w:type="dxa"/>
            <w:vAlign w:val="bottom"/>
            <w:gridSpan w:val="3"/>
          </w:tcPr>
          <w:p>
            <w:pPr>
              <w:ind w:left="40"/>
              <w:spacing w:after="0" w:line="156" w:lineRule="exact"/>
              <w:rPr>
                <w:sz w:val="20"/>
                <w:szCs w:val="20"/>
                <w:color w:val="auto"/>
              </w:rPr>
            </w:pPr>
            <w:r>
              <w:rPr>
                <w:rFonts w:ascii="Arial" w:cs="Arial" w:eastAsia="Arial" w:hAnsi="Arial"/>
                <w:sz w:val="14"/>
                <w:szCs w:val="14"/>
                <w:b w:val="1"/>
                <w:bCs w:val="1"/>
                <w:color w:val="auto"/>
              </w:rPr>
              <w:t>NRG Yield LLC</w:t>
            </w:r>
          </w:p>
        </w:tc>
        <w:tc>
          <w:tcPr>
            <w:tcW w:w="1240" w:type="dxa"/>
            <w:vAlign w:val="bottom"/>
            <w:gridSpan w:val="3"/>
          </w:tcPr>
          <w:p>
            <w:pPr>
              <w:jc w:val="center"/>
              <w:ind w:right="120"/>
              <w:spacing w:after="0" w:line="156" w:lineRule="exact"/>
              <w:rPr>
                <w:sz w:val="20"/>
                <w:szCs w:val="20"/>
                <w:color w:val="auto"/>
              </w:rPr>
            </w:pPr>
            <w:r>
              <w:rPr>
                <w:rFonts w:ascii="Arial" w:cs="Arial" w:eastAsia="Arial" w:hAnsi="Arial"/>
                <w:sz w:val="14"/>
                <w:szCs w:val="14"/>
                <w:b w:val="1"/>
                <w:bCs w:val="1"/>
                <w:color w:val="auto"/>
                <w:w w:val="91"/>
              </w:rPr>
              <w:t>Other Guarantor</w:t>
            </w:r>
          </w:p>
        </w:tc>
        <w:tc>
          <w:tcPr>
            <w:tcW w:w="160" w:type="dxa"/>
            <w:vAlign w:val="bottom"/>
          </w:tcPr>
          <w:p>
            <w:pPr>
              <w:spacing w:after="0"/>
              <w:rPr>
                <w:sz w:val="13"/>
                <w:szCs w:val="13"/>
                <w:color w:val="auto"/>
              </w:rPr>
            </w:pPr>
          </w:p>
        </w:tc>
        <w:tc>
          <w:tcPr>
            <w:tcW w:w="128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3"/>
                <w:szCs w:val="13"/>
                <w:color w:val="auto"/>
              </w:rPr>
            </w:pPr>
          </w:p>
        </w:tc>
        <w:tc>
          <w:tcPr>
            <w:tcW w:w="86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2C2C2C"/>
                <w:w w:val="92"/>
              </w:rPr>
              <w:t>LLC (Note</w:t>
            </w:r>
          </w:p>
        </w:tc>
        <w:tc>
          <w:tcPr>
            <w:tcW w:w="140" w:type="dxa"/>
            <w:vAlign w:val="bottom"/>
          </w:tcPr>
          <w:p>
            <w:pPr>
              <w:spacing w:after="0"/>
              <w:rPr>
                <w:sz w:val="13"/>
                <w:szCs w:val="13"/>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1"/>
        </w:trPr>
        <w:tc>
          <w:tcPr>
            <w:tcW w:w="5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(a) (b)</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4"/>
              </w:rPr>
              <w:t>Subsidiaries</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60"/>
              <w:spacing w:after="0" w:line="182" w:lineRule="exact"/>
              <w:rPr>
                <w:sz w:val="20"/>
                <w:szCs w:val="20"/>
                <w:color w:val="auto"/>
              </w:rPr>
            </w:pPr>
            <w:r>
              <w:rPr>
                <w:rFonts w:ascii="Arial" w:cs="Arial" w:eastAsia="Arial" w:hAnsi="Arial"/>
                <w:sz w:val="13"/>
                <w:szCs w:val="13"/>
                <w:b w:val="1"/>
                <w:bCs w:val="1"/>
                <w:color w:val="auto"/>
              </w:rPr>
              <w:t xml:space="preserve">Subsidiaries </w:t>
            </w:r>
            <w:r>
              <w:rPr>
                <w:rFonts w:ascii="Arial" w:cs="Arial" w:eastAsia="Arial" w:hAnsi="Arial"/>
                <w:sz w:val="21"/>
                <w:szCs w:val="21"/>
                <w:b w:val="1"/>
                <w:bCs w:val="1"/>
                <w:color w:val="auto"/>
                <w:vertAlign w:val="superscript"/>
              </w:rPr>
              <w:t>(b)</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line="182" w:lineRule="exact"/>
              <w:rPr>
                <w:sz w:val="20"/>
                <w:szCs w:val="20"/>
                <w:color w:val="auto"/>
              </w:rPr>
            </w:pPr>
            <w:r>
              <w:rPr>
                <w:rFonts w:ascii="Arial" w:cs="Arial" w:eastAsia="Arial" w:hAnsi="Arial"/>
                <w:sz w:val="13"/>
                <w:szCs w:val="13"/>
                <w:b w:val="1"/>
                <w:bCs w:val="1"/>
                <w:color w:val="2C2C2C"/>
                <w:w w:val="87"/>
              </w:rPr>
              <w:t xml:space="preserve">Issuer) </w:t>
            </w:r>
            <w:r>
              <w:rPr>
                <w:rFonts w:ascii="Arial" w:cs="Arial" w:eastAsia="Arial" w:hAnsi="Arial"/>
                <w:sz w:val="21"/>
                <w:szCs w:val="21"/>
                <w:b w:val="1"/>
                <w:bCs w:val="1"/>
                <w:color w:val="2C2C2C"/>
                <w:w w:val="87"/>
                <w:vertAlign w:val="superscript"/>
              </w:rPr>
              <w:t>(b)</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1"/>
        </w:trPr>
        <w:tc>
          <w:tcPr>
            <w:tcW w:w="530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of business,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in restricted cash,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6"/>
                <w:szCs w:val="16"/>
                <w:color w:val="auto"/>
              </w:rPr>
              <w:t>Decrease in notes receivable</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renewable energy grants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6"/>
                <w:szCs w:val="16"/>
                <w:color w:val="auto"/>
              </w:rPr>
              <w:t>Net investments in unconsolidated affiliates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5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31"/>
        </w:trPr>
        <w:tc>
          <w:tcPr>
            <w:tcW w:w="530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Transfer of funds under intercompany cash management arrangement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6"/>
                <w:szCs w:val="16"/>
                <w:color w:val="auto"/>
              </w:rPr>
              <w:t>Capital contributions from NRG</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Class A units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6"/>
                <w:szCs w:val="16"/>
                <w:color w:val="auto"/>
              </w:rPr>
              <w:t>Distributions and return of capital to NRG</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dividends and distributions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6"/>
                <w:szCs w:val="16"/>
                <w:color w:val="auto"/>
              </w:rPr>
              <w:t>Distributions from project companies, net of contributions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long-term debt — external</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6"/>
                <w:szCs w:val="16"/>
                <w:color w:val="auto"/>
              </w:rPr>
              <w:t>Payments of long-term debt — affiliate</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of long-term debt — external</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6"/>
                <w:szCs w:val="16"/>
                <w:color w:val="auto"/>
              </w:rPr>
              <w:t>Payment of debt issuance costs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17"/>
        </w:trPr>
        <w:tc>
          <w:tcPr>
            <w:tcW w:w="5300" w:type="dxa"/>
            <w:vAlign w:val="bottom"/>
          </w:tcPr>
          <w:p>
            <w:pPr>
              <w:ind w:left="40"/>
              <w:spacing w:after="0"/>
              <w:rPr>
                <w:sz w:val="20"/>
                <w:szCs w:val="20"/>
                <w:color w:val="auto"/>
              </w:rPr>
            </w:pPr>
            <w:r>
              <w:rPr>
                <w:rFonts w:ascii="Arial" w:cs="Arial" w:eastAsia="Arial" w:hAnsi="Arial"/>
                <w:sz w:val="16"/>
                <w:szCs w:val="16"/>
                <w:b w:val="1"/>
                <w:bCs w:val="1"/>
                <w:color w:val="auto"/>
              </w:rPr>
              <w:t>Net Decrease in Cash and Cash Equivalents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4"/>
        </w:trPr>
        <w:tc>
          <w:tcPr>
            <w:tcW w:w="530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633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325" w:lineRule="exact"/>
        <w:rPr>
          <w:sz w:val="20"/>
          <w:szCs w:val="20"/>
          <w:color w:val="auto"/>
        </w:rPr>
      </w:pPr>
    </w:p>
    <w:p>
      <w:pPr>
        <w:ind w:left="180" w:hanging="118"/>
        <w:spacing w:after="0"/>
        <w:tabs>
          <w:tab w:leader="none" w:pos="180" w:val="left"/>
        </w:tabs>
        <w:numPr>
          <w:ilvl w:val="1"/>
          <w:numId w:val="72"/>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73"/>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0" w:lineRule="exact"/>
        <w:rPr>
          <w:sz w:val="20"/>
          <w:szCs w:val="20"/>
          <w:color w:val="auto"/>
        </w:rPr>
      </w:pPr>
    </w:p>
    <w:p>
      <w:pPr>
        <w:spacing w:after="0" w:line="2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240" w:top="877" w:right="4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6080" w:type="dxa"/>
            <w:vAlign w:val="bottom"/>
          </w:tcPr>
          <w:p>
            <w:pPr>
              <w:ind w:left="4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26"/>
        </w:trPr>
        <w:tc>
          <w:tcPr>
            <w:tcW w:w="80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6080" w:type="dxa"/>
            <w:vAlign w:val="bottom"/>
          </w:tcPr>
          <w:p>
            <w:pPr>
              <w:ind w:left="2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53"/>
        </w:trPr>
        <w:tc>
          <w:tcPr>
            <w:tcW w:w="800" w:type="dxa"/>
            <w:vAlign w:val="bottom"/>
          </w:tcPr>
          <w:p>
            <w:pPr>
              <w:spacing w:after="0"/>
              <w:rPr>
                <w:sz w:val="20"/>
                <w:szCs w:val="20"/>
                <w:color w:val="auto"/>
              </w:rPr>
            </w:pPr>
            <w:r>
              <w:rPr>
                <w:rFonts w:ascii="Arial" w:cs="Arial" w:eastAsia="Arial" w:hAnsi="Arial"/>
                <w:sz w:val="16"/>
                <w:szCs w:val="16"/>
                <w:color w:val="auto"/>
              </w:rPr>
              <w:t>2.1</w:t>
            </w:r>
          </w:p>
        </w:tc>
        <w:tc>
          <w:tcPr>
            <w:tcW w:w="6080" w:type="dxa"/>
            <w:vAlign w:val="bottom"/>
          </w:tcPr>
          <w:p>
            <w:pPr>
              <w:ind w:left="240"/>
              <w:spacing w:after="0"/>
              <w:rPr>
                <w:sz w:val="20"/>
                <w:szCs w:val="20"/>
                <w:color w:val="auto"/>
              </w:rPr>
            </w:pPr>
            <w:r>
              <w:rPr>
                <w:rFonts w:ascii="Arial" w:cs="Arial" w:eastAsia="Arial" w:hAnsi="Arial"/>
                <w:sz w:val="16"/>
                <w:szCs w:val="16"/>
                <w:color w:val="auto"/>
                <w:w w:val="97"/>
              </w:rPr>
              <w:t>Purchase and Sale Agreement, dated as of May 5, 2014, by and between NRG Gas</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6080" w:type="dxa"/>
            <w:vAlign w:val="bottom"/>
          </w:tcPr>
          <w:p>
            <w:pPr>
              <w:ind w:left="240"/>
              <w:spacing w:after="0"/>
              <w:rPr>
                <w:sz w:val="20"/>
                <w:szCs w:val="20"/>
                <w:color w:val="auto"/>
              </w:rPr>
            </w:pPr>
            <w:r>
              <w:rPr>
                <w:rFonts w:ascii="Arial" w:cs="Arial" w:eastAsia="Arial" w:hAnsi="Arial"/>
                <w:sz w:val="16"/>
                <w:szCs w:val="16"/>
                <w:color w:val="auto"/>
              </w:rPr>
              <w:t>Development Company, LLC and NRG Yield Operating LLC.</w:t>
            </w:r>
          </w:p>
        </w:tc>
        <w:tc>
          <w:tcPr>
            <w:tcW w:w="0" w:type="dxa"/>
            <w:vAlign w:val="bottom"/>
          </w:tcPr>
          <w:p>
            <w:pPr>
              <w:spacing w:after="0"/>
              <w:rPr>
                <w:sz w:val="1"/>
                <w:szCs w:val="1"/>
                <w:color w:val="auto"/>
              </w:rPr>
            </w:pPr>
          </w:p>
        </w:tc>
      </w:tr>
      <w:tr>
        <w:trPr>
          <w:trHeight w:val="253"/>
        </w:trPr>
        <w:tc>
          <w:tcPr>
            <w:tcW w:w="800" w:type="dxa"/>
            <w:vAlign w:val="bottom"/>
          </w:tcPr>
          <w:p>
            <w:pPr>
              <w:spacing w:after="0"/>
              <w:rPr>
                <w:sz w:val="20"/>
                <w:szCs w:val="20"/>
                <w:color w:val="auto"/>
              </w:rPr>
            </w:pPr>
            <w:r>
              <w:rPr>
                <w:rFonts w:ascii="Arial" w:cs="Arial" w:eastAsia="Arial" w:hAnsi="Arial"/>
                <w:sz w:val="16"/>
                <w:szCs w:val="16"/>
                <w:color w:val="auto"/>
              </w:rPr>
              <w:t>2.2</w:t>
            </w:r>
          </w:p>
        </w:tc>
        <w:tc>
          <w:tcPr>
            <w:tcW w:w="6080" w:type="dxa"/>
            <w:vAlign w:val="bottom"/>
          </w:tcPr>
          <w:p>
            <w:pPr>
              <w:ind w:left="240"/>
              <w:spacing w:after="0"/>
              <w:rPr>
                <w:sz w:val="20"/>
                <w:szCs w:val="20"/>
                <w:color w:val="auto"/>
              </w:rPr>
            </w:pPr>
            <w:r>
              <w:rPr>
                <w:rFonts w:ascii="Arial" w:cs="Arial" w:eastAsia="Arial" w:hAnsi="Arial"/>
                <w:sz w:val="16"/>
                <w:szCs w:val="16"/>
                <w:color w:val="auto"/>
                <w:w w:val="92"/>
              </w:rPr>
              <w:t>Purchase and Sale Agreement, dated as of May 5, 2014, by and between NRG Solar PV</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6080" w:type="dxa"/>
            <w:vAlign w:val="bottom"/>
          </w:tcPr>
          <w:p>
            <w:pPr>
              <w:ind w:left="240"/>
              <w:spacing w:after="0"/>
              <w:rPr>
                <w:sz w:val="20"/>
                <w:szCs w:val="20"/>
                <w:color w:val="auto"/>
              </w:rPr>
            </w:pPr>
            <w:r>
              <w:rPr>
                <w:rFonts w:ascii="Arial" w:cs="Arial" w:eastAsia="Arial" w:hAnsi="Arial"/>
                <w:sz w:val="16"/>
                <w:szCs w:val="16"/>
                <w:color w:val="auto"/>
              </w:rPr>
              <w:t>LLC and NRG Yield Operating LLC.</w:t>
            </w:r>
          </w:p>
        </w:tc>
        <w:tc>
          <w:tcPr>
            <w:tcW w:w="0" w:type="dxa"/>
            <w:vAlign w:val="bottom"/>
          </w:tcPr>
          <w:p>
            <w:pPr>
              <w:spacing w:after="0"/>
              <w:rPr>
                <w:sz w:val="1"/>
                <w:szCs w:val="1"/>
                <w:color w:val="auto"/>
              </w:rPr>
            </w:pPr>
          </w:p>
        </w:tc>
      </w:tr>
      <w:tr>
        <w:trPr>
          <w:trHeight w:val="253"/>
        </w:trPr>
        <w:tc>
          <w:tcPr>
            <w:tcW w:w="800" w:type="dxa"/>
            <w:vAlign w:val="bottom"/>
          </w:tcPr>
          <w:p>
            <w:pPr>
              <w:spacing w:after="0"/>
              <w:rPr>
                <w:sz w:val="20"/>
                <w:szCs w:val="20"/>
                <w:color w:val="auto"/>
              </w:rPr>
            </w:pPr>
            <w:r>
              <w:rPr>
                <w:rFonts w:ascii="Arial" w:cs="Arial" w:eastAsia="Arial" w:hAnsi="Arial"/>
                <w:sz w:val="16"/>
                <w:szCs w:val="16"/>
                <w:color w:val="auto"/>
              </w:rPr>
              <w:t>2.3</w:t>
            </w:r>
          </w:p>
        </w:tc>
        <w:tc>
          <w:tcPr>
            <w:tcW w:w="6080" w:type="dxa"/>
            <w:vAlign w:val="bottom"/>
          </w:tcPr>
          <w:p>
            <w:pPr>
              <w:ind w:left="240"/>
              <w:spacing w:after="0"/>
              <w:rPr>
                <w:sz w:val="20"/>
                <w:szCs w:val="20"/>
                <w:color w:val="auto"/>
              </w:rPr>
            </w:pPr>
            <w:r>
              <w:rPr>
                <w:rFonts w:ascii="Arial" w:cs="Arial" w:eastAsia="Arial" w:hAnsi="Arial"/>
                <w:sz w:val="16"/>
                <w:szCs w:val="16"/>
                <w:color w:val="auto"/>
                <w:w w:val="92"/>
              </w:rPr>
              <w:t>Purchase and Sale Agreement, dated as of May 5, 2014, by and between NRG Solar PV</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6080" w:type="dxa"/>
            <w:vAlign w:val="bottom"/>
          </w:tcPr>
          <w:p>
            <w:pPr>
              <w:ind w:left="240"/>
              <w:spacing w:after="0"/>
              <w:rPr>
                <w:sz w:val="20"/>
                <w:szCs w:val="20"/>
                <w:color w:val="auto"/>
              </w:rPr>
            </w:pPr>
            <w:r>
              <w:rPr>
                <w:rFonts w:ascii="Arial" w:cs="Arial" w:eastAsia="Arial" w:hAnsi="Arial"/>
                <w:sz w:val="16"/>
                <w:szCs w:val="16"/>
                <w:color w:val="auto"/>
              </w:rPr>
              <w:t>LLC and NRG Yield Operating LLC.</w:t>
            </w:r>
          </w:p>
        </w:tc>
        <w:tc>
          <w:tcPr>
            <w:tcW w:w="0" w:type="dxa"/>
            <w:vAlign w:val="bottom"/>
          </w:tcPr>
          <w:p>
            <w:pPr>
              <w:spacing w:after="0"/>
              <w:rPr>
                <w:sz w:val="1"/>
                <w:szCs w:val="1"/>
                <w:color w:val="auto"/>
              </w:rPr>
            </w:pPr>
          </w:p>
        </w:tc>
      </w:tr>
      <w:tr>
        <w:trPr>
          <w:trHeight w:val="253"/>
        </w:trPr>
        <w:tc>
          <w:tcPr>
            <w:tcW w:w="800" w:type="dxa"/>
            <w:vAlign w:val="bottom"/>
          </w:tcPr>
          <w:p>
            <w:pPr>
              <w:spacing w:after="0"/>
              <w:rPr>
                <w:sz w:val="20"/>
                <w:szCs w:val="20"/>
                <w:color w:val="auto"/>
              </w:rPr>
            </w:pPr>
            <w:r>
              <w:rPr>
                <w:rFonts w:ascii="Arial" w:cs="Arial" w:eastAsia="Arial" w:hAnsi="Arial"/>
                <w:sz w:val="16"/>
                <w:szCs w:val="16"/>
                <w:color w:val="auto"/>
              </w:rPr>
              <w:t>2.4</w:t>
            </w:r>
          </w:p>
        </w:tc>
        <w:tc>
          <w:tcPr>
            <w:tcW w:w="6080" w:type="dxa"/>
            <w:vAlign w:val="bottom"/>
          </w:tcPr>
          <w:p>
            <w:pPr>
              <w:ind w:left="240"/>
              <w:spacing w:after="0"/>
              <w:rPr>
                <w:sz w:val="20"/>
                <w:szCs w:val="20"/>
                <w:color w:val="auto"/>
              </w:rPr>
            </w:pPr>
            <w:r>
              <w:rPr>
                <w:rFonts w:ascii="Arial" w:cs="Arial" w:eastAsia="Arial" w:hAnsi="Arial"/>
                <w:sz w:val="16"/>
                <w:szCs w:val="16"/>
                <w:color w:val="auto"/>
                <w:w w:val="91"/>
              </w:rPr>
              <w:t>Purchase and Sale Agreement, dated June 3, 2014, by and among NRG Yield, Inc., NRG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080" w:type="dxa"/>
            <w:vAlign w:val="bottom"/>
          </w:tcPr>
          <w:p>
            <w:pPr>
              <w:ind w:left="240"/>
              <w:spacing w:after="0"/>
              <w:rPr>
                <w:sz w:val="20"/>
                <w:szCs w:val="20"/>
                <w:color w:val="auto"/>
              </w:rPr>
            </w:pPr>
            <w:r>
              <w:rPr>
                <w:rFonts w:ascii="Arial" w:cs="Arial" w:eastAsia="Arial" w:hAnsi="Arial"/>
                <w:sz w:val="16"/>
                <w:szCs w:val="16"/>
                <w:color w:val="auto"/>
                <w:w w:val="96"/>
              </w:rPr>
              <w:t>Yield Operating LLC, Terra-Gen Finance Company, LLC, NTD AWAM Holdings, LLC,</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080" w:type="dxa"/>
            <w:vAlign w:val="bottom"/>
          </w:tcPr>
          <w:p>
            <w:pPr>
              <w:ind w:left="240"/>
              <w:spacing w:after="0"/>
              <w:rPr>
                <w:sz w:val="20"/>
                <w:szCs w:val="20"/>
                <w:color w:val="auto"/>
              </w:rPr>
            </w:pPr>
            <w:r>
              <w:rPr>
                <w:rFonts w:ascii="Arial" w:cs="Arial" w:eastAsia="Arial" w:hAnsi="Arial"/>
                <w:sz w:val="16"/>
                <w:szCs w:val="16"/>
                <w:color w:val="auto"/>
              </w:rPr>
              <w:t>CHIPS Alta Wind X Holding Company, LLC and CHIPS Alta Wind XI Holding</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6080" w:type="dxa"/>
            <w:vAlign w:val="bottom"/>
          </w:tcPr>
          <w:p>
            <w:pPr>
              <w:ind w:left="240"/>
              <w:spacing w:after="0"/>
              <w:rPr>
                <w:sz w:val="20"/>
                <w:szCs w:val="20"/>
                <w:color w:val="auto"/>
              </w:rPr>
            </w:pPr>
            <w:r>
              <w:rPr>
                <w:rFonts w:ascii="Arial" w:cs="Arial" w:eastAsia="Arial" w:hAnsi="Arial"/>
                <w:sz w:val="16"/>
                <w:szCs w:val="16"/>
                <w:color w:val="auto"/>
              </w:rPr>
              <w:t>Company, LLC.</w:t>
            </w:r>
          </w:p>
        </w:tc>
        <w:tc>
          <w:tcPr>
            <w:tcW w:w="0" w:type="dxa"/>
            <w:vAlign w:val="bottom"/>
          </w:tcPr>
          <w:p>
            <w:pPr>
              <w:spacing w:after="0"/>
              <w:rPr>
                <w:sz w:val="1"/>
                <w:szCs w:val="1"/>
                <w:color w:val="auto"/>
              </w:rPr>
            </w:pPr>
          </w:p>
        </w:tc>
      </w:tr>
      <w:tr>
        <w:trPr>
          <w:trHeight w:val="253"/>
        </w:trPr>
        <w:tc>
          <w:tcPr>
            <w:tcW w:w="800" w:type="dxa"/>
            <w:vAlign w:val="bottom"/>
          </w:tcPr>
          <w:p>
            <w:pPr>
              <w:spacing w:after="0"/>
              <w:rPr>
                <w:sz w:val="20"/>
                <w:szCs w:val="20"/>
                <w:color w:val="auto"/>
              </w:rPr>
            </w:pPr>
            <w:r>
              <w:rPr>
                <w:rFonts w:ascii="Arial" w:cs="Arial" w:eastAsia="Arial" w:hAnsi="Arial"/>
                <w:sz w:val="16"/>
                <w:szCs w:val="16"/>
                <w:color w:val="auto"/>
              </w:rPr>
              <w:t>2.5</w:t>
            </w:r>
          </w:p>
        </w:tc>
        <w:tc>
          <w:tcPr>
            <w:tcW w:w="6080" w:type="dxa"/>
            <w:vAlign w:val="bottom"/>
          </w:tcPr>
          <w:p>
            <w:pPr>
              <w:ind w:left="240"/>
              <w:spacing w:after="0"/>
              <w:rPr>
                <w:sz w:val="20"/>
                <w:szCs w:val="20"/>
                <w:color w:val="auto"/>
              </w:rPr>
            </w:pPr>
            <w:r>
              <w:rPr>
                <w:rFonts w:ascii="Arial" w:cs="Arial" w:eastAsia="Arial" w:hAnsi="Arial"/>
                <w:sz w:val="16"/>
                <w:szCs w:val="16"/>
                <w:color w:val="auto"/>
                <w:w w:val="90"/>
              </w:rPr>
              <w:t>Purchase and Sale Agreement, dated as of November 4, 2014, by and between NRG Wind</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6080" w:type="dxa"/>
            <w:vAlign w:val="bottom"/>
          </w:tcPr>
          <w:p>
            <w:pPr>
              <w:ind w:left="240"/>
              <w:spacing w:after="0"/>
              <w:rPr>
                <w:sz w:val="20"/>
                <w:szCs w:val="20"/>
                <w:color w:val="auto"/>
              </w:rPr>
            </w:pPr>
            <w:r>
              <w:rPr>
                <w:rFonts w:ascii="Arial" w:cs="Arial" w:eastAsia="Arial" w:hAnsi="Arial"/>
                <w:sz w:val="16"/>
                <w:szCs w:val="16"/>
                <w:color w:val="auto"/>
              </w:rPr>
              <w:t>LLC and NRG Yield Operating LLC.</w:t>
            </w:r>
          </w:p>
        </w:tc>
        <w:tc>
          <w:tcPr>
            <w:tcW w:w="0" w:type="dxa"/>
            <w:vAlign w:val="bottom"/>
          </w:tcPr>
          <w:p>
            <w:pPr>
              <w:spacing w:after="0"/>
              <w:rPr>
                <w:sz w:val="1"/>
                <w:szCs w:val="1"/>
                <w:color w:val="auto"/>
              </w:rPr>
            </w:pPr>
          </w:p>
        </w:tc>
      </w:tr>
      <w:tr>
        <w:trPr>
          <w:trHeight w:val="253"/>
        </w:trPr>
        <w:tc>
          <w:tcPr>
            <w:tcW w:w="800" w:type="dxa"/>
            <w:vAlign w:val="bottom"/>
          </w:tcPr>
          <w:p>
            <w:pPr>
              <w:spacing w:after="0"/>
              <w:rPr>
                <w:sz w:val="20"/>
                <w:szCs w:val="20"/>
                <w:color w:val="auto"/>
              </w:rPr>
            </w:pPr>
            <w:r>
              <w:rPr>
                <w:rFonts w:ascii="Arial" w:cs="Arial" w:eastAsia="Arial" w:hAnsi="Arial"/>
                <w:sz w:val="16"/>
                <w:szCs w:val="16"/>
                <w:color w:val="auto"/>
              </w:rPr>
              <w:t>2.6</w:t>
            </w:r>
          </w:p>
        </w:tc>
        <w:tc>
          <w:tcPr>
            <w:tcW w:w="6080" w:type="dxa"/>
            <w:vAlign w:val="bottom"/>
          </w:tcPr>
          <w:p>
            <w:pPr>
              <w:ind w:left="240"/>
              <w:spacing w:after="0"/>
              <w:rPr>
                <w:sz w:val="20"/>
                <w:szCs w:val="20"/>
                <w:color w:val="auto"/>
              </w:rPr>
            </w:pPr>
            <w:r>
              <w:rPr>
                <w:rFonts w:ascii="Arial" w:cs="Arial" w:eastAsia="Arial" w:hAnsi="Arial"/>
                <w:sz w:val="16"/>
                <w:szCs w:val="16"/>
                <w:color w:val="auto"/>
                <w:w w:val="96"/>
              </w:rPr>
              <w:t>Purchase and Sale Agreement, dated as of November 4, 2014, by and between NRG</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6080" w:type="dxa"/>
            <w:vAlign w:val="bottom"/>
          </w:tcPr>
          <w:p>
            <w:pPr>
              <w:ind w:left="240"/>
              <w:spacing w:after="0"/>
              <w:rPr>
                <w:sz w:val="20"/>
                <w:szCs w:val="20"/>
                <w:color w:val="auto"/>
              </w:rPr>
            </w:pPr>
            <w:r>
              <w:rPr>
                <w:rFonts w:ascii="Arial" w:cs="Arial" w:eastAsia="Arial" w:hAnsi="Arial"/>
                <w:sz w:val="16"/>
                <w:szCs w:val="16"/>
                <w:color w:val="auto"/>
              </w:rPr>
              <w:t>Arroyo Nogales LLC and NRG Yield Operating LLC.</w:t>
            </w:r>
          </w:p>
        </w:tc>
        <w:tc>
          <w:tcPr>
            <w:tcW w:w="0" w:type="dxa"/>
            <w:vAlign w:val="bottom"/>
          </w:tcPr>
          <w:p>
            <w:pPr>
              <w:spacing w:after="0"/>
              <w:rPr>
                <w:sz w:val="1"/>
                <w:szCs w:val="1"/>
                <w:color w:val="auto"/>
              </w:rPr>
            </w:pPr>
          </w:p>
        </w:tc>
      </w:tr>
      <w:tr>
        <w:trPr>
          <w:trHeight w:val="253"/>
        </w:trPr>
        <w:tc>
          <w:tcPr>
            <w:tcW w:w="800" w:type="dxa"/>
            <w:vAlign w:val="bottom"/>
          </w:tcPr>
          <w:p>
            <w:pPr>
              <w:spacing w:after="0"/>
              <w:rPr>
                <w:sz w:val="20"/>
                <w:szCs w:val="20"/>
                <w:color w:val="auto"/>
              </w:rPr>
            </w:pPr>
            <w:r>
              <w:rPr>
                <w:rFonts w:ascii="Arial" w:cs="Arial" w:eastAsia="Arial" w:hAnsi="Arial"/>
                <w:sz w:val="16"/>
                <w:szCs w:val="16"/>
                <w:color w:val="auto"/>
              </w:rPr>
              <w:t>2.7*^</w:t>
            </w:r>
          </w:p>
        </w:tc>
        <w:tc>
          <w:tcPr>
            <w:tcW w:w="6080" w:type="dxa"/>
            <w:vAlign w:val="bottom"/>
          </w:tcPr>
          <w:p>
            <w:pPr>
              <w:ind w:left="240"/>
              <w:spacing w:after="0"/>
              <w:rPr>
                <w:sz w:val="20"/>
                <w:szCs w:val="20"/>
                <w:color w:val="auto"/>
              </w:rPr>
            </w:pPr>
            <w:r>
              <w:rPr>
                <w:rFonts w:ascii="Arial" w:cs="Arial" w:eastAsia="Arial" w:hAnsi="Arial"/>
                <w:sz w:val="16"/>
                <w:szCs w:val="16"/>
                <w:color w:val="auto"/>
                <w:w w:val="93"/>
              </w:rPr>
              <w:t>Purchase and Sale Agreement, dated as of June 17, 2015, by and between EFS Desert</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6080" w:type="dxa"/>
            <w:vAlign w:val="bottom"/>
          </w:tcPr>
          <w:p>
            <w:pPr>
              <w:ind w:left="240"/>
              <w:spacing w:after="0"/>
              <w:rPr>
                <w:sz w:val="20"/>
                <w:szCs w:val="20"/>
                <w:color w:val="auto"/>
              </w:rPr>
            </w:pPr>
            <w:r>
              <w:rPr>
                <w:rFonts w:ascii="Arial" w:cs="Arial" w:eastAsia="Arial" w:hAnsi="Arial"/>
                <w:sz w:val="16"/>
                <w:szCs w:val="16"/>
                <w:color w:val="auto"/>
              </w:rPr>
              <w:t>Sun, LLC and NRG Yield Operating LLC.</w:t>
            </w:r>
          </w:p>
        </w:tc>
        <w:tc>
          <w:tcPr>
            <w:tcW w:w="0" w:type="dxa"/>
            <w:vAlign w:val="bottom"/>
          </w:tcPr>
          <w:p>
            <w:pPr>
              <w:spacing w:after="0"/>
              <w:rPr>
                <w:sz w:val="1"/>
                <w:szCs w:val="1"/>
                <w:color w:val="auto"/>
              </w:rPr>
            </w:pPr>
          </w:p>
        </w:tc>
      </w:tr>
      <w:tr>
        <w:trPr>
          <w:trHeight w:val="257"/>
        </w:trPr>
        <w:tc>
          <w:tcPr>
            <w:tcW w:w="800" w:type="dxa"/>
            <w:vAlign w:val="bottom"/>
          </w:tcPr>
          <w:p>
            <w:pPr>
              <w:spacing w:after="0"/>
              <w:rPr>
                <w:sz w:val="20"/>
                <w:szCs w:val="20"/>
                <w:color w:val="auto"/>
              </w:rPr>
            </w:pPr>
            <w:r>
              <w:rPr>
                <w:rFonts w:ascii="Arial" w:cs="Arial" w:eastAsia="Arial" w:hAnsi="Arial"/>
                <w:sz w:val="16"/>
                <w:szCs w:val="16"/>
                <w:color w:val="auto"/>
              </w:rPr>
              <w:t>2.8</w:t>
            </w:r>
          </w:p>
        </w:tc>
        <w:tc>
          <w:tcPr>
            <w:tcW w:w="6080" w:type="dxa"/>
            <w:vAlign w:val="bottom"/>
            <w:vMerge w:val="restart"/>
          </w:tcPr>
          <w:p>
            <w:pPr>
              <w:ind w:left="240"/>
              <w:spacing w:after="0"/>
              <w:rPr>
                <w:sz w:val="20"/>
                <w:szCs w:val="20"/>
                <w:color w:val="auto"/>
              </w:rPr>
            </w:pPr>
            <w:r>
              <w:rPr>
                <w:rFonts w:ascii="Arial" w:cs="Arial" w:eastAsia="Arial" w:hAnsi="Arial"/>
                <w:sz w:val="16"/>
                <w:szCs w:val="16"/>
                <w:color w:val="auto"/>
                <w:w w:val="94"/>
              </w:rPr>
              <w:t>Purchase and Sale Agreement, dated as of September 17, 2015, by and between NRG</w:t>
            </w:r>
          </w:p>
        </w:tc>
        <w:tc>
          <w:tcPr>
            <w:tcW w:w="0" w:type="dxa"/>
            <w:vAlign w:val="bottom"/>
          </w:tcPr>
          <w:p>
            <w:pPr>
              <w:spacing w:after="0"/>
              <w:rPr>
                <w:sz w:val="1"/>
                <w:szCs w:val="1"/>
                <w:color w:val="auto"/>
              </w:rPr>
            </w:pPr>
          </w:p>
        </w:tc>
      </w:tr>
      <w:tr>
        <w:trPr>
          <w:trHeight w:val="77"/>
        </w:trPr>
        <w:tc>
          <w:tcPr>
            <w:tcW w:w="800" w:type="dxa"/>
            <w:vAlign w:val="bottom"/>
          </w:tcPr>
          <w:p>
            <w:pPr>
              <w:spacing w:after="0"/>
              <w:rPr>
                <w:sz w:val="6"/>
                <w:szCs w:val="6"/>
                <w:color w:val="auto"/>
              </w:rPr>
            </w:pPr>
          </w:p>
        </w:tc>
        <w:tc>
          <w:tcPr>
            <w:tcW w:w="6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6080" w:type="dxa"/>
            <w:vAlign w:val="bottom"/>
          </w:tcPr>
          <w:p>
            <w:pPr>
              <w:ind w:left="240"/>
              <w:spacing w:after="0"/>
              <w:rPr>
                <w:sz w:val="20"/>
                <w:szCs w:val="20"/>
                <w:color w:val="auto"/>
              </w:rPr>
            </w:pPr>
            <w:r>
              <w:rPr>
                <w:rFonts w:ascii="Arial" w:cs="Arial" w:eastAsia="Arial" w:hAnsi="Arial"/>
                <w:sz w:val="16"/>
                <w:szCs w:val="16"/>
                <w:color w:val="auto"/>
              </w:rPr>
              <w:t>Energy Gas &amp; Wind Holdings, Inc. and NRG Yield Operating LLC.</w:t>
            </w:r>
          </w:p>
        </w:tc>
        <w:tc>
          <w:tcPr>
            <w:tcW w:w="0" w:type="dxa"/>
            <w:vAlign w:val="bottom"/>
          </w:tcPr>
          <w:p>
            <w:pPr>
              <w:spacing w:after="0"/>
              <w:rPr>
                <w:sz w:val="1"/>
                <w:szCs w:val="1"/>
                <w:color w:val="auto"/>
              </w:rPr>
            </w:pPr>
          </w:p>
        </w:tc>
      </w:tr>
      <w:tr>
        <w:trPr>
          <w:trHeight w:val="540"/>
        </w:trPr>
        <w:tc>
          <w:tcPr>
            <w:tcW w:w="800" w:type="dxa"/>
            <w:vAlign w:val="bottom"/>
          </w:tcPr>
          <w:p>
            <w:pPr>
              <w:spacing w:after="0"/>
              <w:rPr>
                <w:sz w:val="20"/>
                <w:szCs w:val="20"/>
                <w:color w:val="auto"/>
              </w:rPr>
            </w:pPr>
            <w:r>
              <w:rPr>
                <w:rFonts w:ascii="Arial" w:cs="Arial" w:eastAsia="Arial" w:hAnsi="Arial"/>
                <w:sz w:val="16"/>
                <w:szCs w:val="16"/>
                <w:color w:val="auto"/>
              </w:rPr>
              <w:t>3.1</w:t>
            </w:r>
          </w:p>
        </w:tc>
        <w:tc>
          <w:tcPr>
            <w:tcW w:w="6080" w:type="dxa"/>
            <w:vAlign w:val="bottom"/>
          </w:tcPr>
          <w:p>
            <w:pPr>
              <w:ind w:left="240"/>
              <w:spacing w:after="0"/>
              <w:rPr>
                <w:sz w:val="20"/>
                <w:szCs w:val="20"/>
                <w:color w:val="auto"/>
              </w:rPr>
            </w:pPr>
            <w:r>
              <w:rPr>
                <w:rFonts w:ascii="Arial" w:cs="Arial" w:eastAsia="Arial" w:hAnsi="Arial"/>
                <w:sz w:val="16"/>
                <w:szCs w:val="16"/>
                <w:color w:val="auto"/>
              </w:rPr>
              <w:t>Certificate of Formation of NRG Yield Operating LLC.</w:t>
            </w:r>
          </w:p>
        </w:tc>
        <w:tc>
          <w:tcPr>
            <w:tcW w:w="0" w:type="dxa"/>
            <w:vAlign w:val="bottom"/>
          </w:tcPr>
          <w:p>
            <w:pPr>
              <w:spacing w:after="0"/>
              <w:rPr>
                <w:sz w:val="1"/>
                <w:szCs w:val="1"/>
                <w:color w:val="auto"/>
              </w:rPr>
            </w:pPr>
          </w:p>
        </w:tc>
      </w:tr>
      <w:tr>
        <w:trPr>
          <w:trHeight w:val="662"/>
        </w:trPr>
        <w:tc>
          <w:tcPr>
            <w:tcW w:w="800" w:type="dxa"/>
            <w:vAlign w:val="bottom"/>
          </w:tcPr>
          <w:p>
            <w:pPr>
              <w:spacing w:after="0"/>
              <w:rPr>
                <w:sz w:val="20"/>
                <w:szCs w:val="20"/>
                <w:color w:val="auto"/>
              </w:rPr>
            </w:pPr>
            <w:r>
              <w:rPr>
                <w:rFonts w:ascii="Arial" w:cs="Arial" w:eastAsia="Arial" w:hAnsi="Arial"/>
                <w:sz w:val="16"/>
                <w:szCs w:val="16"/>
                <w:color w:val="auto"/>
              </w:rPr>
              <w:t>3.2</w:t>
            </w:r>
          </w:p>
        </w:tc>
        <w:tc>
          <w:tcPr>
            <w:tcW w:w="6080" w:type="dxa"/>
            <w:vAlign w:val="bottom"/>
            <w:vMerge w:val="restart"/>
          </w:tcPr>
          <w:p>
            <w:pPr>
              <w:ind w:left="240"/>
              <w:spacing w:after="0"/>
              <w:rPr>
                <w:sz w:val="20"/>
                <w:szCs w:val="20"/>
                <w:color w:val="auto"/>
              </w:rPr>
            </w:pPr>
            <w:r>
              <w:rPr>
                <w:rFonts w:ascii="Arial" w:cs="Arial" w:eastAsia="Arial" w:hAnsi="Arial"/>
                <w:sz w:val="16"/>
                <w:szCs w:val="16"/>
                <w:color w:val="auto"/>
              </w:rPr>
              <w:t>Certificate of Amendment of Certificate of Formation of NRG Yield Operating LLC.</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77" w:lineRule="exact"/>
        <w:rPr>
          <w:sz w:val="20"/>
          <w:szCs w:val="20"/>
          <w:color w:val="auto"/>
        </w:rPr>
      </w:pPr>
    </w:p>
    <w:p>
      <w:pPr>
        <w:ind w:right="240"/>
        <w:spacing w:after="0" w:line="342" w:lineRule="auto"/>
        <w:rPr>
          <w:sz w:val="20"/>
          <w:szCs w:val="20"/>
          <w:color w:val="auto"/>
        </w:rPr>
      </w:pPr>
      <w:r>
        <w:rPr>
          <w:rFonts w:ascii="Arial" w:cs="Arial" w:eastAsia="Arial" w:hAnsi="Arial"/>
          <w:sz w:val="14"/>
          <w:szCs w:val="14"/>
          <w:color w:val="auto"/>
        </w:rPr>
        <w:t>Incorporated herein by reference to Exhibit 2.1 to NRG Yield, Inc.’s Current Report on Form 8-K filed on May 9, 2014.</w:t>
      </w:r>
    </w:p>
    <w:p>
      <w:pPr>
        <w:ind w:right="240"/>
        <w:spacing w:after="0" w:line="342" w:lineRule="auto"/>
        <w:rPr>
          <w:sz w:val="20"/>
          <w:szCs w:val="20"/>
          <w:color w:val="auto"/>
        </w:rPr>
      </w:pPr>
      <w:r>
        <w:rPr>
          <w:rFonts w:ascii="Arial" w:cs="Arial" w:eastAsia="Arial" w:hAnsi="Arial"/>
          <w:sz w:val="14"/>
          <w:szCs w:val="14"/>
          <w:color w:val="auto"/>
        </w:rPr>
        <w:t>Incorporated herein by reference to Exhibit 2.2 to NRG Yield, Inc.’s Current Report on Form 8-K filed on May 9, 2014.</w:t>
      </w:r>
    </w:p>
    <w:p>
      <w:pPr>
        <w:ind w:right="240"/>
        <w:spacing w:after="0" w:line="342" w:lineRule="auto"/>
        <w:rPr>
          <w:sz w:val="20"/>
          <w:szCs w:val="20"/>
          <w:color w:val="auto"/>
        </w:rPr>
      </w:pPr>
      <w:r>
        <w:rPr>
          <w:rFonts w:ascii="Arial" w:cs="Arial" w:eastAsia="Arial" w:hAnsi="Arial"/>
          <w:sz w:val="14"/>
          <w:szCs w:val="14"/>
          <w:color w:val="auto"/>
        </w:rPr>
        <w:t>Incorporated herein by reference to Exhibit 2.3 to NRG Yield, Inc.’s Current Report on Form 8-K filed on May 9, 2014.</w:t>
      </w:r>
    </w:p>
    <w:p>
      <w:pPr>
        <w:ind w:right="160"/>
        <w:spacing w:after="0" w:line="369" w:lineRule="auto"/>
        <w:rPr>
          <w:sz w:val="20"/>
          <w:szCs w:val="20"/>
          <w:color w:val="auto"/>
        </w:rPr>
      </w:pPr>
      <w:r>
        <w:rPr>
          <w:rFonts w:ascii="Arial" w:cs="Arial" w:eastAsia="Arial" w:hAnsi="Arial"/>
          <w:sz w:val="14"/>
          <w:szCs w:val="14"/>
          <w:color w:val="auto"/>
        </w:rPr>
        <w:t>Incorporated herein by reference to Exhibit 10.1 to NRG Yield, Inc.’s Current Report on Form 8-K filed on June 9, 2014.</w:t>
      </w:r>
    </w:p>
    <w:p>
      <w:pPr>
        <w:spacing w:after="0" w:line="369" w:lineRule="exact"/>
        <w:rPr>
          <w:sz w:val="20"/>
          <w:szCs w:val="20"/>
          <w:color w:val="auto"/>
        </w:rPr>
      </w:pPr>
    </w:p>
    <w:p>
      <w:pPr>
        <w:ind w:right="180"/>
        <w:spacing w:after="0" w:line="342" w:lineRule="auto"/>
        <w:rPr>
          <w:sz w:val="20"/>
          <w:szCs w:val="20"/>
          <w:color w:val="auto"/>
        </w:rPr>
      </w:pPr>
      <w:r>
        <w:rPr>
          <w:rFonts w:ascii="Arial" w:cs="Arial" w:eastAsia="Arial" w:hAnsi="Arial"/>
          <w:sz w:val="14"/>
          <w:szCs w:val="14"/>
          <w:color w:val="auto"/>
        </w:rPr>
        <w:t>Incorporated herein by reference to Exhibit 2.1 to NRG Yield, Inc.’s Current Report on Form 8-K filed on November 7, 2014.</w:t>
      </w:r>
    </w:p>
    <w:p>
      <w:pPr>
        <w:ind w:right="180"/>
        <w:spacing w:after="0" w:line="342" w:lineRule="auto"/>
        <w:rPr>
          <w:sz w:val="20"/>
          <w:szCs w:val="20"/>
          <w:color w:val="auto"/>
        </w:rPr>
      </w:pPr>
      <w:r>
        <w:rPr>
          <w:rFonts w:ascii="Arial" w:cs="Arial" w:eastAsia="Arial" w:hAnsi="Arial"/>
          <w:sz w:val="14"/>
          <w:szCs w:val="14"/>
          <w:color w:val="auto"/>
        </w:rPr>
        <w:t>Incorporated herein by reference to Exhibit 2.2 to NRG Yield, Inc.’s Current Report on Form 8-K filed on November 7, 2014.</w:t>
      </w:r>
    </w:p>
    <w:p>
      <w:pPr>
        <w:jc w:val="both"/>
        <w:ind w:right="180"/>
        <w:spacing w:after="0" w:line="369" w:lineRule="auto"/>
        <w:rPr>
          <w:sz w:val="20"/>
          <w:szCs w:val="20"/>
          <w:color w:val="auto"/>
        </w:rPr>
      </w:pPr>
      <w:r>
        <w:rPr>
          <w:rFonts w:ascii="Arial" w:cs="Arial" w:eastAsia="Arial" w:hAnsi="Arial"/>
          <w:sz w:val="14"/>
          <w:szCs w:val="14"/>
          <w:color w:val="auto"/>
        </w:rPr>
        <w:t>Incorporated herein by reference to Exhibit 2.1 to NRG Yield, Inc.’s Quarterly Report on Form 10-Q filed on August 4, 2015.</w:t>
      </w:r>
    </w:p>
    <w:p>
      <w:pPr>
        <w:spacing w:after="0" w:line="45" w:lineRule="exact"/>
        <w:rPr>
          <w:sz w:val="20"/>
          <w:szCs w:val="20"/>
          <w:color w:val="auto"/>
        </w:rPr>
      </w:pPr>
    </w:p>
    <w:p>
      <w:pPr>
        <w:ind w:right="80"/>
        <w:spacing w:after="0" w:line="369" w:lineRule="auto"/>
        <w:rPr>
          <w:sz w:val="20"/>
          <w:szCs w:val="20"/>
          <w:color w:val="auto"/>
        </w:rPr>
      </w:pPr>
      <w:r>
        <w:rPr>
          <w:rFonts w:ascii="Arial" w:cs="Arial" w:eastAsia="Arial" w:hAnsi="Arial"/>
          <w:sz w:val="14"/>
          <w:szCs w:val="14"/>
          <w:color w:val="auto"/>
        </w:rPr>
        <w:t>Incorporated herein by reference to Exhibit 2.1 to NRG Yield, Inc.’s Current Report on Form 8-K filed on September 21, 2015.</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3.01(a) to the Company's Registration Statement on Form S-4 filed on April 13, 2015.</w:t>
      </w:r>
    </w:p>
    <w:p>
      <w:pPr>
        <w:spacing w:after="0" w:line="10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3.01(b) to the Company's Registration Statement on Form S-4 filed on April 13, 2015.</w:t>
      </w:r>
    </w:p>
    <w:p>
      <w:pPr>
        <w:spacing w:after="0" w:line="103" w:lineRule="exact"/>
        <w:rPr>
          <w:sz w:val="20"/>
          <w:szCs w:val="20"/>
          <w:color w:val="auto"/>
        </w:rPr>
      </w:pPr>
    </w:p>
    <w:p>
      <w:pPr>
        <w:sectPr>
          <w:pgSz w:w="11900" w:h="16838" w:orient="portrait"/>
          <w:cols w:equalWidth="0" w:num="2">
            <w:col w:w="6880" w:space="200"/>
            <w:col w:w="4260"/>
          </w:cols>
          <w:pgMar w:left="280" w:top="1148" w:right="279" w:bottom="1440" w:gutter="0" w:footer="0" w:header="0"/>
        </w:sectPr>
      </w:pPr>
    </w:p>
    <w:tbl>
      <w:tblPr>
        <w:tblLayout w:type="fixed"/>
        <w:tblInd w:w="0" w:type="dxa"/>
        <w:tblCellMar>
          <w:top w:w="0" w:type="dxa"/>
          <w:left w:w="0" w:type="dxa"/>
          <w:bottom w:w="0" w:type="dxa"/>
          <w:right w:w="0" w:type="dxa"/>
        </w:tblCellMar>
      </w:tblPr>
      <w:tr>
        <w:trPr>
          <w:trHeight w:val="203"/>
        </w:trPr>
        <w:tc>
          <w:tcPr>
            <w:tcW w:w="620" w:type="dxa"/>
            <w:vAlign w:val="bottom"/>
          </w:tcPr>
          <w:p>
            <w:pPr>
              <w:jc w:val="right"/>
              <w:ind w:right="339"/>
              <w:spacing w:after="0"/>
              <w:rPr>
                <w:sz w:val="20"/>
                <w:szCs w:val="20"/>
                <w:color w:val="auto"/>
              </w:rPr>
            </w:pPr>
            <w:r>
              <w:rPr>
                <w:rFonts w:ascii="Arial" w:cs="Arial" w:eastAsia="Arial" w:hAnsi="Arial"/>
                <w:sz w:val="16"/>
                <w:szCs w:val="16"/>
                <w:color w:val="auto"/>
                <w:w w:val="80"/>
              </w:rPr>
              <w:t>3.3</w:t>
            </w:r>
          </w:p>
        </w:tc>
        <w:tc>
          <w:tcPr>
            <w:tcW w:w="5960" w:type="dxa"/>
            <w:vAlign w:val="bottom"/>
          </w:tcPr>
          <w:p>
            <w:pPr>
              <w:ind w:left="420"/>
              <w:spacing w:after="0"/>
              <w:rPr>
                <w:sz w:val="20"/>
                <w:szCs w:val="20"/>
                <w:color w:val="auto"/>
              </w:rPr>
            </w:pPr>
            <w:r>
              <w:rPr>
                <w:rFonts w:ascii="Arial" w:cs="Arial" w:eastAsia="Arial" w:hAnsi="Arial"/>
                <w:sz w:val="16"/>
                <w:szCs w:val="16"/>
                <w:color w:val="auto"/>
                <w:w w:val="92"/>
              </w:rPr>
              <w:t>Second Amended and Restated Limited Liability Company Agreement of NRG Yield</w:t>
            </w:r>
          </w:p>
        </w:tc>
      </w:tr>
      <w:tr>
        <w:trPr>
          <w:trHeight w:val="206"/>
        </w:trPr>
        <w:tc>
          <w:tcPr>
            <w:tcW w:w="620" w:type="dxa"/>
            <w:vAlign w:val="bottom"/>
          </w:tcPr>
          <w:p>
            <w:pPr>
              <w:spacing w:after="0"/>
              <w:rPr>
                <w:sz w:val="17"/>
                <w:szCs w:val="17"/>
                <w:color w:val="auto"/>
              </w:rPr>
            </w:pPr>
          </w:p>
        </w:tc>
        <w:tc>
          <w:tcPr>
            <w:tcW w:w="5960" w:type="dxa"/>
            <w:vAlign w:val="bottom"/>
          </w:tcPr>
          <w:p>
            <w:pPr>
              <w:ind w:left="420"/>
              <w:spacing w:after="0"/>
              <w:rPr>
                <w:sz w:val="20"/>
                <w:szCs w:val="20"/>
                <w:color w:val="auto"/>
              </w:rPr>
            </w:pPr>
            <w:r>
              <w:rPr>
                <w:rFonts w:ascii="Arial" w:cs="Arial" w:eastAsia="Arial" w:hAnsi="Arial"/>
                <w:sz w:val="16"/>
                <w:szCs w:val="16"/>
                <w:color w:val="auto"/>
              </w:rPr>
              <w:t>Operating LLC.</w:t>
            </w:r>
          </w:p>
        </w:tc>
      </w:tr>
      <w:tr>
        <w:trPr>
          <w:trHeight w:val="621"/>
        </w:trPr>
        <w:tc>
          <w:tcPr>
            <w:tcW w:w="620" w:type="dxa"/>
            <w:vAlign w:val="bottom"/>
          </w:tcPr>
          <w:p>
            <w:pPr>
              <w:jc w:val="right"/>
              <w:ind w:right="339"/>
              <w:spacing w:after="0"/>
              <w:rPr>
                <w:sz w:val="20"/>
                <w:szCs w:val="20"/>
                <w:color w:val="auto"/>
              </w:rPr>
            </w:pPr>
            <w:r>
              <w:rPr>
                <w:rFonts w:ascii="Arial" w:cs="Arial" w:eastAsia="Arial" w:hAnsi="Arial"/>
                <w:sz w:val="16"/>
                <w:szCs w:val="16"/>
                <w:color w:val="auto"/>
                <w:w w:val="80"/>
              </w:rPr>
              <w:t>3.4</w:t>
            </w:r>
          </w:p>
        </w:tc>
        <w:tc>
          <w:tcPr>
            <w:tcW w:w="5960" w:type="dxa"/>
            <w:vAlign w:val="bottom"/>
          </w:tcPr>
          <w:p>
            <w:pPr>
              <w:ind w:left="420"/>
              <w:spacing w:after="0"/>
              <w:rPr>
                <w:sz w:val="20"/>
                <w:szCs w:val="20"/>
                <w:color w:val="auto"/>
              </w:rPr>
            </w:pPr>
            <w:r>
              <w:rPr>
                <w:rFonts w:ascii="Arial" w:cs="Arial" w:eastAsia="Arial" w:hAnsi="Arial"/>
                <w:sz w:val="16"/>
                <w:szCs w:val="16"/>
                <w:color w:val="auto"/>
              </w:rPr>
              <w:t>Certificate of Formation of NRG Yield LLC.</w:t>
            </w: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3.02 to the Company's Registration Statement on Form S-4 filed on April 13, 2015.</w:t>
      </w:r>
    </w:p>
    <w:p>
      <w:pPr>
        <w:spacing w:after="0" w:line="18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3.03(a) to the Company's Registration Statement on Form S-4 filed on April 13, 2015.</w:t>
      </w:r>
    </w:p>
    <w:p>
      <w:pPr>
        <w:spacing w:after="0" w:line="103" w:lineRule="exact"/>
        <w:rPr>
          <w:sz w:val="20"/>
          <w:szCs w:val="20"/>
          <w:color w:val="auto"/>
        </w:rPr>
      </w:pPr>
    </w:p>
    <w:p>
      <w:pPr>
        <w:sectPr>
          <w:pgSz w:w="11900" w:h="16838" w:orient="portrait"/>
          <w:cols w:equalWidth="0" w:num="2">
            <w:col w:w="6580" w:space="500"/>
            <w:col w:w="4260"/>
          </w:cols>
          <w:pgMar w:left="280" w:top="1148" w:right="27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620" w:type="dxa"/>
            <w:vAlign w:val="bottom"/>
          </w:tcPr>
          <w:p>
            <w:pPr>
              <w:jc w:val="right"/>
              <w:ind w:right="339"/>
              <w:spacing w:after="0"/>
              <w:rPr>
                <w:sz w:val="20"/>
                <w:szCs w:val="20"/>
                <w:color w:val="auto"/>
              </w:rPr>
            </w:pPr>
            <w:r>
              <w:rPr>
                <w:rFonts w:ascii="Arial" w:cs="Arial" w:eastAsia="Arial" w:hAnsi="Arial"/>
                <w:sz w:val="16"/>
                <w:szCs w:val="16"/>
                <w:color w:val="auto"/>
                <w:w w:val="80"/>
              </w:rPr>
              <w:t>3.5</w:t>
            </w:r>
          </w:p>
        </w:tc>
        <w:tc>
          <w:tcPr>
            <w:tcW w:w="5840" w:type="dxa"/>
            <w:vAlign w:val="bottom"/>
          </w:tcPr>
          <w:p>
            <w:pPr>
              <w:ind w:left="420"/>
              <w:spacing w:after="0"/>
              <w:rPr>
                <w:sz w:val="20"/>
                <w:szCs w:val="20"/>
                <w:color w:val="auto"/>
              </w:rPr>
            </w:pPr>
            <w:r>
              <w:rPr>
                <w:rFonts w:ascii="Arial" w:cs="Arial" w:eastAsia="Arial" w:hAnsi="Arial"/>
                <w:sz w:val="16"/>
                <w:szCs w:val="16"/>
                <w:color w:val="auto"/>
              </w:rPr>
              <w:t>Certificate of Amendment of Certificate of Formation of NRG Yield LLC.</w:t>
            </w:r>
          </w:p>
        </w:tc>
        <w:tc>
          <w:tcPr>
            <w:tcW w:w="4340" w:type="dxa"/>
            <w:vAlign w:val="bottom"/>
            <w:vMerge w:val="restart"/>
          </w:tcPr>
          <w:p>
            <w:pPr>
              <w:ind w:left="620"/>
              <w:spacing w:after="0"/>
              <w:rPr>
                <w:sz w:val="20"/>
                <w:szCs w:val="20"/>
                <w:color w:val="auto"/>
              </w:rPr>
            </w:pPr>
            <w:r>
              <w:rPr>
                <w:rFonts w:ascii="Arial" w:cs="Arial" w:eastAsia="Arial" w:hAnsi="Arial"/>
                <w:sz w:val="16"/>
                <w:szCs w:val="16"/>
                <w:color w:val="auto"/>
                <w:w w:val="92"/>
              </w:rPr>
              <w:t>Incorporated herein by reference to Exhibit 3.03(b) to the</w:t>
            </w:r>
          </w:p>
        </w:tc>
        <w:tc>
          <w:tcPr>
            <w:tcW w:w="0" w:type="dxa"/>
            <w:vAlign w:val="bottom"/>
          </w:tcPr>
          <w:p>
            <w:pPr>
              <w:spacing w:after="0"/>
              <w:rPr>
                <w:sz w:val="1"/>
                <w:szCs w:val="1"/>
                <w:color w:val="auto"/>
              </w:rPr>
            </w:pPr>
          </w:p>
        </w:tc>
      </w:tr>
      <w:tr>
        <w:trPr>
          <w:trHeight w:val="81"/>
        </w:trPr>
        <w:tc>
          <w:tcPr>
            <w:tcW w:w="620" w:type="dxa"/>
            <w:vAlign w:val="bottom"/>
          </w:tcPr>
          <w:p>
            <w:pPr>
              <w:spacing w:after="0"/>
              <w:rPr>
                <w:sz w:val="7"/>
                <w:szCs w:val="7"/>
                <w:color w:val="auto"/>
              </w:rPr>
            </w:pPr>
          </w:p>
        </w:tc>
        <w:tc>
          <w:tcPr>
            <w:tcW w:w="5840" w:type="dxa"/>
            <w:vAlign w:val="bottom"/>
          </w:tcPr>
          <w:p>
            <w:pPr>
              <w:spacing w:after="0"/>
              <w:rPr>
                <w:sz w:val="7"/>
                <w:szCs w:val="7"/>
                <w:color w:val="auto"/>
              </w:rPr>
            </w:pPr>
          </w:p>
        </w:tc>
        <w:tc>
          <w:tcPr>
            <w:tcW w:w="4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auto"/>
        </w:rPr>
        <w:t>Company's Registration Statement on Form S-4 filed on April 13,</w:t>
      </w:r>
    </w:p>
    <w:p>
      <w:pPr>
        <w:spacing w:after="0" w:line="42"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2015.</w:t>
      </w:r>
    </w:p>
    <w:p>
      <w:pPr>
        <w:sectPr>
          <w:pgSz w:w="11900" w:h="16838" w:orient="portrait"/>
          <w:cols w:equalWidth="0" w:num="1">
            <w:col w:w="11340"/>
          </w:cols>
          <w:pgMar w:left="280" w:top="1148" w:right="279" w:bottom="1440" w:gutter="0" w:footer="0" w:header="0"/>
          <w:type w:val="continuous"/>
        </w:sectPr>
      </w:pP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 w:type="dxa"/>
            <w:vAlign w:val="bottom"/>
          </w:tcPr>
          <w:p>
            <w:pPr>
              <w:jc w:val="right"/>
              <w:ind w:right="339"/>
              <w:spacing w:after="0"/>
              <w:rPr>
                <w:sz w:val="20"/>
                <w:szCs w:val="20"/>
                <w:color w:val="auto"/>
              </w:rPr>
            </w:pPr>
            <w:r>
              <w:rPr>
                <w:rFonts w:ascii="Arial" w:cs="Arial" w:eastAsia="Arial" w:hAnsi="Arial"/>
                <w:sz w:val="16"/>
                <w:szCs w:val="16"/>
                <w:color w:val="auto"/>
                <w:w w:val="80"/>
              </w:rPr>
              <w:t>3.6</w:t>
            </w:r>
          </w:p>
        </w:tc>
        <w:tc>
          <w:tcPr>
            <w:tcW w:w="6280" w:type="dxa"/>
            <w:vAlign w:val="bottom"/>
          </w:tcPr>
          <w:p>
            <w:pPr>
              <w:ind w:left="420"/>
              <w:spacing w:after="0"/>
              <w:rPr>
                <w:sz w:val="20"/>
                <w:szCs w:val="20"/>
                <w:color w:val="auto"/>
              </w:rPr>
            </w:pPr>
            <w:r>
              <w:rPr>
                <w:rFonts w:ascii="Arial" w:cs="Arial" w:eastAsia="Arial" w:hAnsi="Arial"/>
                <w:sz w:val="16"/>
                <w:szCs w:val="16"/>
                <w:color w:val="auto"/>
                <w:w w:val="95"/>
              </w:rPr>
              <w:t>Third Amended and Restated Limited Liability Company Agreement of NRG Yield LLC,</w:t>
            </w:r>
          </w:p>
        </w:tc>
      </w:tr>
      <w:tr>
        <w:trPr>
          <w:trHeight w:val="206"/>
        </w:trPr>
        <w:tc>
          <w:tcPr>
            <w:tcW w:w="620" w:type="dxa"/>
            <w:vAlign w:val="bottom"/>
          </w:tcPr>
          <w:p>
            <w:pPr>
              <w:spacing w:after="0"/>
              <w:rPr>
                <w:sz w:val="17"/>
                <w:szCs w:val="17"/>
                <w:color w:val="auto"/>
              </w:rPr>
            </w:pPr>
          </w:p>
        </w:tc>
        <w:tc>
          <w:tcPr>
            <w:tcW w:w="6280" w:type="dxa"/>
            <w:vAlign w:val="bottom"/>
          </w:tcPr>
          <w:p>
            <w:pPr>
              <w:ind w:left="420"/>
              <w:spacing w:after="0"/>
              <w:rPr>
                <w:sz w:val="20"/>
                <w:szCs w:val="20"/>
                <w:color w:val="auto"/>
              </w:rPr>
            </w:pPr>
            <w:r>
              <w:rPr>
                <w:rFonts w:ascii="Arial" w:cs="Arial" w:eastAsia="Arial" w:hAnsi="Arial"/>
                <w:sz w:val="16"/>
                <w:szCs w:val="16"/>
                <w:color w:val="auto"/>
              </w:rPr>
              <w:t>dated as of May 14, 2015.</w:t>
            </w:r>
          </w:p>
        </w:tc>
      </w:tr>
      <w:tr>
        <w:trPr>
          <w:trHeight w:val="415"/>
        </w:trPr>
        <w:tc>
          <w:tcPr>
            <w:tcW w:w="620" w:type="dxa"/>
            <w:vAlign w:val="bottom"/>
          </w:tcPr>
          <w:p>
            <w:pPr>
              <w:jc w:val="right"/>
              <w:ind w:right="339"/>
              <w:spacing w:after="0"/>
              <w:rPr>
                <w:sz w:val="20"/>
                <w:szCs w:val="20"/>
                <w:color w:val="auto"/>
              </w:rPr>
            </w:pPr>
            <w:r>
              <w:rPr>
                <w:rFonts w:ascii="Arial" w:cs="Arial" w:eastAsia="Arial" w:hAnsi="Arial"/>
                <w:sz w:val="16"/>
                <w:szCs w:val="16"/>
                <w:color w:val="auto"/>
                <w:w w:val="80"/>
              </w:rPr>
              <w:t>4.1</w:t>
            </w:r>
          </w:p>
        </w:tc>
        <w:tc>
          <w:tcPr>
            <w:tcW w:w="6280" w:type="dxa"/>
            <w:vAlign w:val="bottom"/>
          </w:tcPr>
          <w:p>
            <w:pPr>
              <w:ind w:left="420"/>
              <w:spacing w:after="0"/>
              <w:rPr>
                <w:sz w:val="20"/>
                <w:szCs w:val="20"/>
                <w:color w:val="auto"/>
              </w:rPr>
            </w:pPr>
            <w:r>
              <w:rPr>
                <w:rFonts w:ascii="Arial" w:cs="Arial" w:eastAsia="Arial" w:hAnsi="Arial"/>
                <w:sz w:val="16"/>
                <w:szCs w:val="16"/>
                <w:color w:val="auto"/>
                <w:w w:val="99"/>
              </w:rPr>
              <w:t>Indenture, dated August 5, 2014, among NRG Yield Operating LLC, the guarantors</w:t>
            </w:r>
          </w:p>
        </w:tc>
      </w:tr>
      <w:tr>
        <w:trPr>
          <w:trHeight w:val="206"/>
        </w:trPr>
        <w:tc>
          <w:tcPr>
            <w:tcW w:w="620" w:type="dxa"/>
            <w:vAlign w:val="bottom"/>
          </w:tcPr>
          <w:p>
            <w:pPr>
              <w:spacing w:after="0"/>
              <w:rPr>
                <w:sz w:val="17"/>
                <w:szCs w:val="17"/>
                <w:color w:val="auto"/>
              </w:rPr>
            </w:pPr>
          </w:p>
        </w:tc>
        <w:tc>
          <w:tcPr>
            <w:tcW w:w="6280" w:type="dxa"/>
            <w:vAlign w:val="bottom"/>
          </w:tcPr>
          <w:p>
            <w:pPr>
              <w:ind w:left="420"/>
              <w:spacing w:after="0"/>
              <w:rPr>
                <w:sz w:val="20"/>
                <w:szCs w:val="20"/>
                <w:color w:val="auto"/>
              </w:rPr>
            </w:pPr>
            <w:r>
              <w:rPr>
                <w:rFonts w:ascii="Arial" w:cs="Arial" w:eastAsia="Arial" w:hAnsi="Arial"/>
                <w:sz w:val="16"/>
                <w:szCs w:val="16"/>
                <w:color w:val="auto"/>
              </w:rPr>
              <w:t>named therein and Law Debenture Trust Company of New York.</w:t>
            </w:r>
          </w:p>
        </w:tc>
      </w:tr>
      <w:tr>
        <w:trPr>
          <w:trHeight w:val="257"/>
        </w:trPr>
        <w:tc>
          <w:tcPr>
            <w:tcW w:w="620" w:type="dxa"/>
            <w:vAlign w:val="bottom"/>
          </w:tcPr>
          <w:p>
            <w:pPr>
              <w:jc w:val="right"/>
              <w:ind w:right="339"/>
              <w:spacing w:after="0"/>
              <w:rPr>
                <w:sz w:val="20"/>
                <w:szCs w:val="20"/>
                <w:color w:val="auto"/>
              </w:rPr>
            </w:pPr>
            <w:r>
              <w:rPr>
                <w:rFonts w:ascii="Arial" w:cs="Arial" w:eastAsia="Arial" w:hAnsi="Arial"/>
                <w:sz w:val="16"/>
                <w:szCs w:val="16"/>
                <w:color w:val="auto"/>
                <w:w w:val="80"/>
              </w:rPr>
              <w:t>4.2</w:t>
            </w:r>
          </w:p>
        </w:tc>
        <w:tc>
          <w:tcPr>
            <w:tcW w:w="6280" w:type="dxa"/>
            <w:vAlign w:val="bottom"/>
          </w:tcPr>
          <w:p>
            <w:pPr>
              <w:ind w:left="420"/>
              <w:spacing w:after="0"/>
              <w:rPr>
                <w:sz w:val="20"/>
                <w:szCs w:val="20"/>
                <w:color w:val="auto"/>
              </w:rPr>
            </w:pPr>
            <w:r>
              <w:rPr>
                <w:rFonts w:ascii="Arial" w:cs="Arial" w:eastAsia="Arial" w:hAnsi="Arial"/>
                <w:sz w:val="16"/>
                <w:szCs w:val="16"/>
                <w:color w:val="auto"/>
              </w:rPr>
              <w:t>Form of 5.375% Senior Note due 2024.</w:t>
            </w:r>
          </w:p>
        </w:tc>
      </w:tr>
      <w:tr>
        <w:trPr>
          <w:trHeight w:val="455"/>
        </w:trPr>
        <w:tc>
          <w:tcPr>
            <w:tcW w:w="620" w:type="dxa"/>
            <w:vAlign w:val="bottom"/>
          </w:tcPr>
          <w:p>
            <w:pPr>
              <w:jc w:val="right"/>
              <w:ind w:right="339"/>
              <w:spacing w:after="0"/>
              <w:rPr>
                <w:sz w:val="20"/>
                <w:szCs w:val="20"/>
                <w:color w:val="auto"/>
              </w:rPr>
            </w:pPr>
            <w:r>
              <w:rPr>
                <w:rFonts w:ascii="Arial" w:cs="Arial" w:eastAsia="Arial" w:hAnsi="Arial"/>
                <w:sz w:val="16"/>
                <w:szCs w:val="16"/>
                <w:color w:val="auto"/>
                <w:w w:val="80"/>
              </w:rPr>
              <w:t>4.3</w:t>
            </w:r>
          </w:p>
        </w:tc>
        <w:tc>
          <w:tcPr>
            <w:tcW w:w="6280" w:type="dxa"/>
            <w:vAlign w:val="bottom"/>
          </w:tcPr>
          <w:p>
            <w:pPr>
              <w:ind w:left="420"/>
              <w:spacing w:after="0"/>
              <w:rPr>
                <w:sz w:val="20"/>
                <w:szCs w:val="20"/>
                <w:color w:val="auto"/>
              </w:rPr>
            </w:pPr>
            <w:r>
              <w:rPr>
                <w:rFonts w:ascii="Arial" w:cs="Arial" w:eastAsia="Arial" w:hAnsi="Arial"/>
                <w:sz w:val="16"/>
                <w:szCs w:val="16"/>
                <w:color w:val="auto"/>
                <w:w w:val="92"/>
              </w:rPr>
              <w:t>Registration Rights Agreement, dated August 5, 2014, among NRG Yield Operating LLC,</w:t>
            </w:r>
          </w:p>
        </w:tc>
      </w:tr>
      <w:tr>
        <w:trPr>
          <w:trHeight w:val="203"/>
        </w:trPr>
        <w:tc>
          <w:tcPr>
            <w:tcW w:w="620" w:type="dxa"/>
            <w:vAlign w:val="bottom"/>
          </w:tcPr>
          <w:p>
            <w:pPr>
              <w:spacing w:after="0"/>
              <w:rPr>
                <w:sz w:val="17"/>
                <w:szCs w:val="17"/>
                <w:color w:val="auto"/>
              </w:rPr>
            </w:pPr>
          </w:p>
        </w:tc>
        <w:tc>
          <w:tcPr>
            <w:tcW w:w="6280" w:type="dxa"/>
            <w:vAlign w:val="bottom"/>
          </w:tcPr>
          <w:p>
            <w:pPr>
              <w:ind w:left="420"/>
              <w:spacing w:after="0"/>
              <w:rPr>
                <w:sz w:val="20"/>
                <w:szCs w:val="20"/>
                <w:color w:val="auto"/>
              </w:rPr>
            </w:pPr>
            <w:r>
              <w:rPr>
                <w:rFonts w:ascii="Arial" w:cs="Arial" w:eastAsia="Arial" w:hAnsi="Arial"/>
                <w:sz w:val="16"/>
                <w:szCs w:val="16"/>
                <w:color w:val="auto"/>
                <w:w w:val="92"/>
              </w:rPr>
              <w:t>the guarantors named therein and Merrill Lynch, Pierce, Fenner &amp; Smith Incorporated, as</w:t>
            </w:r>
          </w:p>
        </w:tc>
      </w:tr>
      <w:tr>
        <w:trPr>
          <w:trHeight w:val="206"/>
        </w:trPr>
        <w:tc>
          <w:tcPr>
            <w:tcW w:w="620" w:type="dxa"/>
            <w:vAlign w:val="bottom"/>
          </w:tcPr>
          <w:p>
            <w:pPr>
              <w:spacing w:after="0"/>
              <w:rPr>
                <w:sz w:val="17"/>
                <w:szCs w:val="17"/>
                <w:color w:val="auto"/>
              </w:rPr>
            </w:pPr>
          </w:p>
        </w:tc>
        <w:tc>
          <w:tcPr>
            <w:tcW w:w="6280" w:type="dxa"/>
            <w:vAlign w:val="bottom"/>
          </w:tcPr>
          <w:p>
            <w:pPr>
              <w:ind w:left="420"/>
              <w:spacing w:after="0"/>
              <w:rPr>
                <w:sz w:val="20"/>
                <w:szCs w:val="20"/>
                <w:color w:val="auto"/>
              </w:rPr>
            </w:pPr>
            <w:r>
              <w:rPr>
                <w:rFonts w:ascii="Arial" w:cs="Arial" w:eastAsia="Arial" w:hAnsi="Arial"/>
                <w:sz w:val="16"/>
                <w:szCs w:val="16"/>
                <w:color w:val="auto"/>
              </w:rPr>
              <w:t>representative of the initial purchasers.</w:t>
            </w:r>
          </w:p>
        </w:tc>
      </w:tr>
      <w:tr>
        <w:trPr>
          <w:trHeight w:val="492"/>
        </w:trPr>
        <w:tc>
          <w:tcPr>
            <w:tcW w:w="620" w:type="dxa"/>
            <w:vAlign w:val="bottom"/>
          </w:tcPr>
          <w:p>
            <w:pPr>
              <w:spacing w:after="0"/>
              <w:rPr>
                <w:sz w:val="24"/>
                <w:szCs w:val="24"/>
                <w:color w:val="auto"/>
              </w:rPr>
            </w:pPr>
          </w:p>
        </w:tc>
        <w:tc>
          <w:tcPr>
            <w:tcW w:w="6280" w:type="dxa"/>
            <w:vAlign w:val="bottom"/>
          </w:tcPr>
          <w:p>
            <w:pPr>
              <w:ind w:left="4920"/>
              <w:spacing w:after="0"/>
              <w:rPr>
                <w:sz w:val="20"/>
                <w:szCs w:val="20"/>
                <w:color w:val="auto"/>
              </w:rPr>
            </w:pPr>
            <w:r>
              <w:rPr>
                <w:rFonts w:ascii="Arial" w:cs="Arial" w:eastAsia="Arial" w:hAnsi="Arial"/>
                <w:sz w:val="18"/>
                <w:szCs w:val="18"/>
                <w:color w:val="auto"/>
              </w:rPr>
              <w:t>117</w:t>
            </w: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60"/>
        <w:spacing w:after="0" w:line="369" w:lineRule="auto"/>
        <w:rPr>
          <w:sz w:val="20"/>
          <w:szCs w:val="20"/>
          <w:color w:val="auto"/>
        </w:rPr>
      </w:pPr>
      <w:r>
        <w:rPr>
          <w:rFonts w:ascii="Arial" w:cs="Arial" w:eastAsia="Arial" w:hAnsi="Arial"/>
          <w:sz w:val="14"/>
          <w:szCs w:val="14"/>
          <w:color w:val="auto"/>
        </w:rPr>
        <w:t>Incorporated herein by reference to Exhibit 10.4 to NRG Yield, Inc.'s Current Report on Form 8-K filed on May 15, 2015.</w:t>
      </w:r>
    </w:p>
    <w:p>
      <w:pPr>
        <w:spacing w:after="0" w:line="45" w:lineRule="exact"/>
        <w:rPr>
          <w:sz w:val="20"/>
          <w:szCs w:val="20"/>
          <w:color w:val="auto"/>
        </w:rPr>
      </w:pPr>
    </w:p>
    <w:p>
      <w:pPr>
        <w:ind w:right="240"/>
        <w:spacing w:after="0" w:line="342" w:lineRule="auto"/>
        <w:rPr>
          <w:sz w:val="20"/>
          <w:szCs w:val="20"/>
          <w:color w:val="auto"/>
        </w:rPr>
      </w:pPr>
      <w:r>
        <w:rPr>
          <w:rFonts w:ascii="Arial" w:cs="Arial" w:eastAsia="Arial" w:hAnsi="Arial"/>
          <w:sz w:val="14"/>
          <w:szCs w:val="14"/>
          <w:color w:val="auto"/>
        </w:rPr>
        <w:t>Incorporated herein by reference to Exhibit 4.1 to NRG Yield, Inc.'s Current Report on Form 8-K filed on August 5, 2014.</w:t>
      </w:r>
    </w:p>
    <w:p>
      <w:pPr>
        <w:ind w:right="240"/>
        <w:spacing w:after="0" w:line="342" w:lineRule="auto"/>
        <w:rPr>
          <w:sz w:val="20"/>
          <w:szCs w:val="20"/>
          <w:color w:val="auto"/>
        </w:rPr>
      </w:pPr>
      <w:r>
        <w:rPr>
          <w:rFonts w:ascii="Arial" w:cs="Arial" w:eastAsia="Arial" w:hAnsi="Arial"/>
          <w:sz w:val="14"/>
          <w:szCs w:val="14"/>
          <w:color w:val="auto"/>
        </w:rPr>
        <w:t>Incorporated herein by reference to Exhibit 4.2 to NRG Yield, Inc.'s Current Report on Form 8-K filed on August 5, 2014.</w:t>
      </w:r>
    </w:p>
    <w:p>
      <w:pPr>
        <w:ind w:right="240"/>
        <w:spacing w:after="0" w:line="369" w:lineRule="auto"/>
        <w:rPr>
          <w:sz w:val="20"/>
          <w:szCs w:val="20"/>
          <w:color w:val="auto"/>
        </w:rPr>
      </w:pPr>
      <w:r>
        <w:rPr>
          <w:rFonts w:ascii="Arial" w:cs="Arial" w:eastAsia="Arial" w:hAnsi="Arial"/>
          <w:sz w:val="14"/>
          <w:szCs w:val="14"/>
          <w:color w:val="auto"/>
        </w:rPr>
        <w:t>Incorporated herein by reference to Exhibit 4.3 to NRG Yield, Inc.'s Current Report on Form 8-K filed on August 5, 2014.</w:t>
      </w:r>
    </w:p>
    <w:p>
      <w:pPr>
        <w:sectPr>
          <w:pgSz w:w="11900" w:h="16838" w:orient="portrait"/>
          <w:cols w:equalWidth="0" w:num="2">
            <w:col w:w="6900" w:space="180"/>
            <w:col w:w="4260"/>
          </w:cols>
          <w:pgMar w:left="280" w:top="1148" w:right="27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20"/>
                <w:szCs w:val="20"/>
                <w:color w:val="auto"/>
              </w:rPr>
            </w:pPr>
            <w:r>
              <w:rPr>
                <w:rFonts w:ascii="Arial" w:cs="Arial" w:eastAsia="Arial" w:hAnsi="Arial"/>
                <w:sz w:val="16"/>
                <w:szCs w:val="16"/>
                <w:color w:val="auto"/>
              </w:rPr>
              <w:t>4.4</w:t>
            </w:r>
          </w:p>
        </w:tc>
        <w:tc>
          <w:tcPr>
            <w:tcW w:w="6140" w:type="dxa"/>
            <w:vAlign w:val="bottom"/>
          </w:tcPr>
          <w:p>
            <w:pPr>
              <w:ind w:left="340"/>
              <w:spacing w:after="0"/>
              <w:rPr>
                <w:sz w:val="20"/>
                <w:szCs w:val="20"/>
                <w:color w:val="auto"/>
              </w:rPr>
            </w:pPr>
            <w:r>
              <w:rPr>
                <w:rFonts w:ascii="Arial" w:cs="Arial" w:eastAsia="Arial" w:hAnsi="Arial"/>
                <w:sz w:val="16"/>
                <w:szCs w:val="16"/>
                <w:color w:val="auto"/>
                <w:w w:val="95"/>
              </w:rPr>
              <w:t>Supplemental Indenture, dated as of November 7, 2014, among NRG Yield Operating</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w w:val="95"/>
              </w:rPr>
              <w:t>LLC, the guarantors named therein and Law Debenture Trust Company of New York.</w:t>
            </w:r>
          </w:p>
        </w:tc>
        <w:tc>
          <w:tcPr>
            <w:tcW w:w="0" w:type="dxa"/>
            <w:vAlign w:val="bottom"/>
          </w:tcPr>
          <w:p>
            <w:pPr>
              <w:spacing w:after="0"/>
              <w:rPr>
                <w:sz w:val="1"/>
                <w:szCs w:val="1"/>
                <w:color w:val="auto"/>
              </w:rPr>
            </w:pPr>
          </w:p>
        </w:tc>
      </w:tr>
      <w:tr>
        <w:trPr>
          <w:trHeight w:val="266"/>
        </w:trPr>
        <w:tc>
          <w:tcPr>
            <w:tcW w:w="700" w:type="dxa"/>
            <w:vAlign w:val="bottom"/>
          </w:tcPr>
          <w:p>
            <w:pPr>
              <w:spacing w:after="0"/>
              <w:rPr>
                <w:sz w:val="20"/>
                <w:szCs w:val="20"/>
                <w:color w:val="auto"/>
              </w:rPr>
            </w:pPr>
            <w:r>
              <w:rPr>
                <w:rFonts w:ascii="Arial" w:cs="Arial" w:eastAsia="Arial" w:hAnsi="Arial"/>
                <w:sz w:val="16"/>
                <w:szCs w:val="16"/>
                <w:color w:val="auto"/>
              </w:rPr>
              <w:t>4.5</w:t>
            </w:r>
          </w:p>
        </w:tc>
        <w:tc>
          <w:tcPr>
            <w:tcW w:w="6140" w:type="dxa"/>
            <w:vAlign w:val="bottom"/>
          </w:tcPr>
          <w:p>
            <w:pPr>
              <w:ind w:left="340"/>
              <w:spacing w:after="0"/>
              <w:rPr>
                <w:sz w:val="20"/>
                <w:szCs w:val="20"/>
                <w:color w:val="auto"/>
              </w:rPr>
            </w:pPr>
            <w:r>
              <w:rPr>
                <w:rFonts w:ascii="Arial" w:cs="Arial" w:eastAsia="Arial" w:hAnsi="Arial"/>
                <w:sz w:val="16"/>
                <w:szCs w:val="16"/>
                <w:color w:val="auto"/>
                <w:w w:val="95"/>
              </w:rPr>
              <w:t>Supplemental Indenture, dated as of February 25, 2015, among NRG Yield Operating</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w w:val="95"/>
              </w:rPr>
              <w:t>LLC, the guarantors named therein and Law Debenture Trust Company of New York.</w:t>
            </w:r>
          </w:p>
        </w:tc>
        <w:tc>
          <w:tcPr>
            <w:tcW w:w="0" w:type="dxa"/>
            <w:vAlign w:val="bottom"/>
          </w:tcPr>
          <w:p>
            <w:pPr>
              <w:spacing w:after="0"/>
              <w:rPr>
                <w:sz w:val="1"/>
                <w:szCs w:val="1"/>
                <w:color w:val="auto"/>
              </w:rPr>
            </w:pPr>
          </w:p>
        </w:tc>
      </w:tr>
      <w:tr>
        <w:trPr>
          <w:trHeight w:val="405"/>
        </w:trPr>
        <w:tc>
          <w:tcPr>
            <w:tcW w:w="700" w:type="dxa"/>
            <w:vAlign w:val="bottom"/>
          </w:tcPr>
          <w:p>
            <w:pPr>
              <w:spacing w:after="0"/>
              <w:rPr>
                <w:sz w:val="20"/>
                <w:szCs w:val="20"/>
                <w:color w:val="auto"/>
              </w:rPr>
            </w:pPr>
            <w:r>
              <w:rPr>
                <w:rFonts w:ascii="Arial" w:cs="Arial" w:eastAsia="Arial" w:hAnsi="Arial"/>
                <w:sz w:val="16"/>
                <w:szCs w:val="16"/>
                <w:color w:val="auto"/>
              </w:rPr>
              <w:t>4.6</w:t>
            </w:r>
          </w:p>
        </w:tc>
        <w:tc>
          <w:tcPr>
            <w:tcW w:w="6140" w:type="dxa"/>
            <w:vAlign w:val="bottom"/>
            <w:vMerge w:val="restart"/>
          </w:tcPr>
          <w:p>
            <w:pPr>
              <w:ind w:left="340"/>
              <w:spacing w:after="0"/>
              <w:rPr>
                <w:sz w:val="20"/>
                <w:szCs w:val="20"/>
                <w:color w:val="auto"/>
              </w:rPr>
            </w:pPr>
            <w:r>
              <w:rPr>
                <w:rFonts w:ascii="Arial" w:cs="Arial" w:eastAsia="Arial" w:hAnsi="Arial"/>
                <w:sz w:val="16"/>
                <w:szCs w:val="16"/>
                <w:color w:val="auto"/>
                <w:w w:val="94"/>
              </w:rPr>
              <w:t>Third Supplemental Indenture, dated as of April 10, 2015, among NRG Yield Operating</w:t>
            </w: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6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w w:val="97"/>
              </w:rPr>
              <w:t>LLC, NRG Yield LLC, the other guarantors named therein and Law Debenture Trust</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rPr>
              <w:t>Company of New York.</w:t>
            </w:r>
          </w:p>
        </w:tc>
        <w:tc>
          <w:tcPr>
            <w:tcW w:w="0" w:type="dxa"/>
            <w:vAlign w:val="bottom"/>
          </w:tcPr>
          <w:p>
            <w:pPr>
              <w:spacing w:after="0"/>
              <w:rPr>
                <w:sz w:val="1"/>
                <w:szCs w:val="1"/>
                <w:color w:val="auto"/>
              </w:rPr>
            </w:pPr>
          </w:p>
        </w:tc>
      </w:tr>
      <w:tr>
        <w:trPr>
          <w:trHeight w:val="338"/>
        </w:trPr>
        <w:tc>
          <w:tcPr>
            <w:tcW w:w="700" w:type="dxa"/>
            <w:vAlign w:val="bottom"/>
          </w:tcPr>
          <w:p>
            <w:pPr>
              <w:spacing w:after="0"/>
              <w:rPr>
                <w:sz w:val="20"/>
                <w:szCs w:val="20"/>
                <w:color w:val="auto"/>
              </w:rPr>
            </w:pPr>
            <w:r>
              <w:rPr>
                <w:rFonts w:ascii="Arial" w:cs="Arial" w:eastAsia="Arial" w:hAnsi="Arial"/>
                <w:sz w:val="16"/>
                <w:szCs w:val="16"/>
                <w:color w:val="auto"/>
              </w:rPr>
              <w:t>4.7</w:t>
            </w:r>
          </w:p>
        </w:tc>
        <w:tc>
          <w:tcPr>
            <w:tcW w:w="6140" w:type="dxa"/>
            <w:vAlign w:val="bottom"/>
            <w:vMerge w:val="restart"/>
          </w:tcPr>
          <w:p>
            <w:pPr>
              <w:ind w:left="340"/>
              <w:spacing w:after="0"/>
              <w:rPr>
                <w:sz w:val="20"/>
                <w:szCs w:val="20"/>
                <w:color w:val="auto"/>
              </w:rPr>
            </w:pPr>
            <w:r>
              <w:rPr>
                <w:rFonts w:ascii="Arial" w:cs="Arial" w:eastAsia="Arial" w:hAnsi="Arial"/>
                <w:sz w:val="16"/>
                <w:szCs w:val="16"/>
                <w:color w:val="auto"/>
                <w:w w:val="94"/>
              </w:rPr>
              <w:t>Fourth Supplemental Indenture, dated as of May 8, 2015, among NRG Yield Operating</w:t>
            </w: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6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w w:val="95"/>
              </w:rPr>
              <w:t>LLC, the guarantors named therein and Law Debenture Trust Company of New York.</w:t>
            </w:r>
          </w:p>
        </w:tc>
        <w:tc>
          <w:tcPr>
            <w:tcW w:w="0" w:type="dxa"/>
            <w:vAlign w:val="bottom"/>
          </w:tcPr>
          <w:p>
            <w:pPr>
              <w:spacing w:after="0"/>
              <w:rPr>
                <w:sz w:val="1"/>
                <w:szCs w:val="1"/>
                <w:color w:val="auto"/>
              </w:rPr>
            </w:pPr>
          </w:p>
        </w:tc>
      </w:tr>
      <w:tr>
        <w:trPr>
          <w:trHeight w:val="338"/>
        </w:trPr>
        <w:tc>
          <w:tcPr>
            <w:tcW w:w="700" w:type="dxa"/>
            <w:vAlign w:val="bottom"/>
          </w:tcPr>
          <w:p>
            <w:pPr>
              <w:spacing w:after="0"/>
              <w:rPr>
                <w:sz w:val="20"/>
                <w:szCs w:val="20"/>
                <w:color w:val="auto"/>
              </w:rPr>
            </w:pPr>
            <w:r>
              <w:rPr>
                <w:rFonts w:ascii="Arial" w:cs="Arial" w:eastAsia="Arial" w:hAnsi="Arial"/>
                <w:sz w:val="16"/>
                <w:szCs w:val="16"/>
                <w:color w:val="auto"/>
              </w:rPr>
              <w:t>4.8</w:t>
            </w:r>
          </w:p>
        </w:tc>
        <w:tc>
          <w:tcPr>
            <w:tcW w:w="6140" w:type="dxa"/>
            <w:vAlign w:val="bottom"/>
            <w:vMerge w:val="restart"/>
          </w:tcPr>
          <w:p>
            <w:pPr>
              <w:ind w:left="340"/>
              <w:spacing w:after="0"/>
              <w:rPr>
                <w:sz w:val="20"/>
                <w:szCs w:val="20"/>
                <w:color w:val="auto"/>
              </w:rPr>
            </w:pPr>
            <w:r>
              <w:rPr>
                <w:rFonts w:ascii="Arial" w:cs="Arial" w:eastAsia="Arial" w:hAnsi="Arial"/>
                <w:sz w:val="16"/>
                <w:szCs w:val="16"/>
                <w:color w:val="auto"/>
                <w:w w:val="93"/>
              </w:rPr>
              <w:t>Indenture, dated June 29, 2015, among NRG Yield, Inc., NRG Yield Operating LLC and</w:t>
            </w: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6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w w:val="92"/>
              </w:rPr>
              <w:t>NRG Yield LLC, as Guarantors, and Wilmington Trust, National Association, as Trustee.</w:t>
            </w:r>
          </w:p>
        </w:tc>
        <w:tc>
          <w:tcPr>
            <w:tcW w:w="0" w:type="dxa"/>
            <w:vAlign w:val="bottom"/>
          </w:tcPr>
          <w:p>
            <w:pPr>
              <w:spacing w:after="0"/>
              <w:rPr>
                <w:sz w:val="1"/>
                <w:szCs w:val="1"/>
                <w:color w:val="auto"/>
              </w:rPr>
            </w:pPr>
          </w:p>
        </w:tc>
      </w:tr>
      <w:tr>
        <w:trPr>
          <w:trHeight w:val="338"/>
        </w:trPr>
        <w:tc>
          <w:tcPr>
            <w:tcW w:w="700" w:type="dxa"/>
            <w:vAlign w:val="bottom"/>
          </w:tcPr>
          <w:p>
            <w:pPr>
              <w:spacing w:after="0"/>
              <w:rPr>
                <w:sz w:val="20"/>
                <w:szCs w:val="20"/>
                <w:color w:val="auto"/>
              </w:rPr>
            </w:pPr>
            <w:r>
              <w:rPr>
                <w:rFonts w:ascii="Arial" w:cs="Arial" w:eastAsia="Arial" w:hAnsi="Arial"/>
                <w:sz w:val="16"/>
                <w:szCs w:val="16"/>
                <w:color w:val="auto"/>
              </w:rPr>
              <w:t>4.9</w:t>
            </w:r>
          </w:p>
        </w:tc>
        <w:tc>
          <w:tcPr>
            <w:tcW w:w="6140" w:type="dxa"/>
            <w:vAlign w:val="bottom"/>
            <w:vMerge w:val="restart"/>
          </w:tcPr>
          <w:p>
            <w:pPr>
              <w:ind w:left="340"/>
              <w:spacing w:after="0"/>
              <w:rPr>
                <w:sz w:val="20"/>
                <w:szCs w:val="20"/>
                <w:color w:val="auto"/>
              </w:rPr>
            </w:pPr>
            <w:r>
              <w:rPr>
                <w:rFonts w:ascii="Arial" w:cs="Arial" w:eastAsia="Arial" w:hAnsi="Arial"/>
                <w:sz w:val="16"/>
                <w:szCs w:val="16"/>
                <w:color w:val="auto"/>
              </w:rPr>
              <w:t>Form of 3.25% Convertible Senior Note due 2020.</w:t>
            </w: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6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7"/>
        </w:trPr>
        <w:tc>
          <w:tcPr>
            <w:tcW w:w="700" w:type="dxa"/>
            <w:vAlign w:val="bottom"/>
          </w:tcPr>
          <w:p>
            <w:pPr>
              <w:spacing w:after="0"/>
              <w:rPr>
                <w:sz w:val="20"/>
                <w:szCs w:val="20"/>
                <w:color w:val="auto"/>
              </w:rPr>
            </w:pPr>
            <w:r>
              <w:rPr>
                <w:rFonts w:ascii="Arial" w:cs="Arial" w:eastAsia="Arial" w:hAnsi="Arial"/>
                <w:sz w:val="16"/>
                <w:szCs w:val="16"/>
                <w:color w:val="auto"/>
              </w:rPr>
              <w:t>10.1</w:t>
            </w:r>
          </w:p>
        </w:tc>
        <w:tc>
          <w:tcPr>
            <w:tcW w:w="6140" w:type="dxa"/>
            <w:vAlign w:val="bottom"/>
          </w:tcPr>
          <w:p>
            <w:pPr>
              <w:ind w:left="340"/>
              <w:spacing w:after="0"/>
              <w:rPr>
                <w:sz w:val="20"/>
                <w:szCs w:val="20"/>
                <w:color w:val="auto"/>
              </w:rPr>
            </w:pPr>
            <w:r>
              <w:rPr>
                <w:rFonts w:ascii="Arial" w:cs="Arial" w:eastAsia="Arial" w:hAnsi="Arial"/>
                <w:sz w:val="16"/>
                <w:szCs w:val="16"/>
                <w:color w:val="auto"/>
                <w:w w:val="90"/>
              </w:rPr>
              <w:t>Amended and Restated Registration Rights Agreement, dated as of May 14, 2015, by and</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rPr>
              <w:t>between NRG Energy, Inc. and NRG Yield, Inc.</w:t>
            </w:r>
          </w:p>
        </w:tc>
        <w:tc>
          <w:tcPr>
            <w:tcW w:w="0" w:type="dxa"/>
            <w:vAlign w:val="bottom"/>
          </w:tcPr>
          <w:p>
            <w:pPr>
              <w:spacing w:after="0"/>
              <w:rPr>
                <w:sz w:val="1"/>
                <w:szCs w:val="1"/>
                <w:color w:val="auto"/>
              </w:rPr>
            </w:pPr>
          </w:p>
        </w:tc>
      </w:tr>
      <w:tr>
        <w:trPr>
          <w:trHeight w:val="253"/>
        </w:trPr>
        <w:tc>
          <w:tcPr>
            <w:tcW w:w="700" w:type="dxa"/>
            <w:vAlign w:val="bottom"/>
          </w:tcPr>
          <w:p>
            <w:pPr>
              <w:spacing w:after="0"/>
              <w:rPr>
                <w:sz w:val="20"/>
                <w:szCs w:val="20"/>
                <w:color w:val="auto"/>
              </w:rPr>
            </w:pPr>
            <w:r>
              <w:rPr>
                <w:rFonts w:ascii="Arial" w:cs="Arial" w:eastAsia="Arial" w:hAnsi="Arial"/>
                <w:sz w:val="16"/>
                <w:szCs w:val="16"/>
                <w:color w:val="auto"/>
              </w:rPr>
              <w:t>10.2</w:t>
            </w:r>
          </w:p>
        </w:tc>
        <w:tc>
          <w:tcPr>
            <w:tcW w:w="6140" w:type="dxa"/>
            <w:vAlign w:val="bottom"/>
          </w:tcPr>
          <w:p>
            <w:pPr>
              <w:ind w:left="340"/>
              <w:spacing w:after="0"/>
              <w:rPr>
                <w:sz w:val="20"/>
                <w:szCs w:val="20"/>
                <w:color w:val="auto"/>
              </w:rPr>
            </w:pPr>
            <w:r>
              <w:rPr>
                <w:rFonts w:ascii="Arial" w:cs="Arial" w:eastAsia="Arial" w:hAnsi="Arial"/>
                <w:sz w:val="16"/>
                <w:szCs w:val="16"/>
                <w:color w:val="auto"/>
                <w:w w:val="92"/>
              </w:rPr>
              <w:t>Amended and Restated Exchange Agreement, dated as of May 14, 2015, by and among</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rPr>
              <w:t>NRG Energy, Inc., NRG Yield, Inc. and NRG Yield LLC.</w:t>
            </w:r>
          </w:p>
        </w:tc>
        <w:tc>
          <w:tcPr>
            <w:tcW w:w="0" w:type="dxa"/>
            <w:vAlign w:val="bottom"/>
          </w:tcPr>
          <w:p>
            <w:pPr>
              <w:spacing w:after="0"/>
              <w:rPr>
                <w:sz w:val="1"/>
                <w:szCs w:val="1"/>
                <w:color w:val="auto"/>
              </w:rPr>
            </w:pPr>
          </w:p>
        </w:tc>
      </w:tr>
      <w:tr>
        <w:trPr>
          <w:trHeight w:val="257"/>
        </w:trPr>
        <w:tc>
          <w:tcPr>
            <w:tcW w:w="700" w:type="dxa"/>
            <w:vAlign w:val="bottom"/>
          </w:tcPr>
          <w:p>
            <w:pPr>
              <w:spacing w:after="0"/>
              <w:rPr>
                <w:sz w:val="20"/>
                <w:szCs w:val="20"/>
                <w:color w:val="auto"/>
              </w:rPr>
            </w:pPr>
            <w:r>
              <w:rPr>
                <w:rFonts w:ascii="Arial" w:cs="Arial" w:eastAsia="Arial" w:hAnsi="Arial"/>
                <w:sz w:val="16"/>
                <w:szCs w:val="16"/>
                <w:color w:val="auto"/>
              </w:rPr>
              <w:t>10.3</w:t>
            </w:r>
          </w:p>
        </w:tc>
        <w:tc>
          <w:tcPr>
            <w:tcW w:w="6140" w:type="dxa"/>
            <w:vAlign w:val="bottom"/>
            <w:vMerge w:val="restart"/>
          </w:tcPr>
          <w:p>
            <w:pPr>
              <w:ind w:left="340"/>
              <w:spacing w:after="0"/>
              <w:rPr>
                <w:sz w:val="20"/>
                <w:szCs w:val="20"/>
                <w:color w:val="auto"/>
              </w:rPr>
            </w:pPr>
            <w:r>
              <w:rPr>
                <w:rFonts w:ascii="Arial" w:cs="Arial" w:eastAsia="Arial" w:hAnsi="Arial"/>
                <w:sz w:val="16"/>
                <w:szCs w:val="16"/>
                <w:color w:val="auto"/>
                <w:w w:val="93"/>
              </w:rPr>
              <w:t>Amended and Restated Right of First Offer Agreement, dated as of March 12, 2015, by</w:t>
            </w: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6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rPr>
              <w:t>and between NRG Energy, Inc. and NRG Yield, Inc.</w:t>
            </w:r>
          </w:p>
        </w:tc>
        <w:tc>
          <w:tcPr>
            <w:tcW w:w="0" w:type="dxa"/>
            <w:vAlign w:val="bottom"/>
          </w:tcPr>
          <w:p>
            <w:pPr>
              <w:spacing w:after="0"/>
              <w:rPr>
                <w:sz w:val="1"/>
                <w:szCs w:val="1"/>
                <w:color w:val="auto"/>
              </w:rPr>
            </w:pPr>
          </w:p>
        </w:tc>
      </w:tr>
      <w:tr>
        <w:trPr>
          <w:trHeight w:val="334"/>
        </w:trPr>
        <w:tc>
          <w:tcPr>
            <w:tcW w:w="700" w:type="dxa"/>
            <w:vAlign w:val="bottom"/>
          </w:tcPr>
          <w:p>
            <w:pPr>
              <w:spacing w:after="0"/>
              <w:rPr>
                <w:sz w:val="20"/>
                <w:szCs w:val="20"/>
                <w:color w:val="auto"/>
              </w:rPr>
            </w:pPr>
            <w:r>
              <w:rPr>
                <w:rFonts w:ascii="Arial" w:cs="Arial" w:eastAsia="Arial" w:hAnsi="Arial"/>
                <w:sz w:val="16"/>
                <w:szCs w:val="16"/>
                <w:color w:val="auto"/>
              </w:rPr>
              <w:t>10.4</w:t>
            </w:r>
          </w:p>
        </w:tc>
        <w:tc>
          <w:tcPr>
            <w:tcW w:w="6140" w:type="dxa"/>
            <w:vAlign w:val="bottom"/>
          </w:tcPr>
          <w:p>
            <w:pPr>
              <w:ind w:left="340"/>
              <w:spacing w:after="0"/>
              <w:rPr>
                <w:sz w:val="20"/>
                <w:szCs w:val="20"/>
                <w:color w:val="auto"/>
              </w:rPr>
            </w:pPr>
            <w:r>
              <w:rPr>
                <w:rFonts w:ascii="Arial" w:cs="Arial" w:eastAsia="Arial" w:hAnsi="Arial"/>
                <w:sz w:val="16"/>
                <w:szCs w:val="16"/>
                <w:color w:val="auto"/>
                <w:w w:val="97"/>
              </w:rPr>
              <w:t>Management Services Agreement, dated as of July 22, 2013, by and between NRG</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rPr>
              <w:t>Energy, Inc., NRG Yield, Inc., NRG Yield LLC and NRG Yield Operating LLC.</w:t>
            </w:r>
          </w:p>
        </w:tc>
        <w:tc>
          <w:tcPr>
            <w:tcW w:w="0" w:type="dxa"/>
            <w:vAlign w:val="bottom"/>
          </w:tcPr>
          <w:p>
            <w:pPr>
              <w:spacing w:after="0"/>
              <w:rPr>
                <w:sz w:val="1"/>
                <w:szCs w:val="1"/>
                <w:color w:val="auto"/>
              </w:rPr>
            </w:pPr>
          </w:p>
        </w:tc>
      </w:tr>
      <w:tr>
        <w:trPr>
          <w:trHeight w:val="253"/>
        </w:trPr>
        <w:tc>
          <w:tcPr>
            <w:tcW w:w="700" w:type="dxa"/>
            <w:vAlign w:val="bottom"/>
          </w:tcPr>
          <w:p>
            <w:pPr>
              <w:spacing w:after="0"/>
              <w:rPr>
                <w:sz w:val="20"/>
                <w:szCs w:val="20"/>
                <w:color w:val="auto"/>
              </w:rPr>
            </w:pPr>
            <w:r>
              <w:rPr>
                <w:rFonts w:ascii="Arial" w:cs="Arial" w:eastAsia="Arial" w:hAnsi="Arial"/>
                <w:sz w:val="16"/>
                <w:szCs w:val="16"/>
                <w:color w:val="auto"/>
              </w:rPr>
              <w:t>10.5</w:t>
            </w:r>
          </w:p>
        </w:tc>
        <w:tc>
          <w:tcPr>
            <w:tcW w:w="6140" w:type="dxa"/>
            <w:vAlign w:val="bottom"/>
          </w:tcPr>
          <w:p>
            <w:pPr>
              <w:ind w:left="340"/>
              <w:spacing w:after="0"/>
              <w:rPr>
                <w:sz w:val="20"/>
                <w:szCs w:val="20"/>
                <w:color w:val="auto"/>
              </w:rPr>
            </w:pPr>
            <w:r>
              <w:rPr>
                <w:rFonts w:ascii="Arial" w:cs="Arial" w:eastAsia="Arial" w:hAnsi="Arial"/>
                <w:sz w:val="16"/>
                <w:szCs w:val="16"/>
                <w:color w:val="auto"/>
              </w:rPr>
              <w:t>Trademark License Agreement, dated as of July 22, 2013, by and between NRG</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rPr>
              <w:t>Energy, Inc. and NRG Yield, Inc.</w:t>
            </w:r>
          </w:p>
        </w:tc>
        <w:tc>
          <w:tcPr>
            <w:tcW w:w="0" w:type="dxa"/>
            <w:vAlign w:val="bottom"/>
          </w:tcPr>
          <w:p>
            <w:pPr>
              <w:spacing w:after="0"/>
              <w:rPr>
                <w:sz w:val="1"/>
                <w:szCs w:val="1"/>
                <w:color w:val="auto"/>
              </w:rPr>
            </w:pPr>
          </w:p>
        </w:tc>
      </w:tr>
      <w:tr>
        <w:trPr>
          <w:trHeight w:val="253"/>
        </w:trPr>
        <w:tc>
          <w:tcPr>
            <w:tcW w:w="700" w:type="dxa"/>
            <w:vAlign w:val="bottom"/>
          </w:tcPr>
          <w:p>
            <w:pPr>
              <w:spacing w:after="0"/>
              <w:rPr>
                <w:sz w:val="20"/>
                <w:szCs w:val="20"/>
                <w:color w:val="auto"/>
              </w:rPr>
            </w:pPr>
            <w:r>
              <w:rPr>
                <w:rFonts w:ascii="Arial" w:cs="Arial" w:eastAsia="Arial" w:hAnsi="Arial"/>
                <w:sz w:val="16"/>
                <w:szCs w:val="16"/>
                <w:color w:val="auto"/>
              </w:rPr>
              <w:t>10.6</w:t>
            </w:r>
          </w:p>
        </w:tc>
        <w:tc>
          <w:tcPr>
            <w:tcW w:w="6140" w:type="dxa"/>
            <w:vAlign w:val="bottom"/>
          </w:tcPr>
          <w:p>
            <w:pPr>
              <w:ind w:left="340"/>
              <w:spacing w:after="0"/>
              <w:rPr>
                <w:sz w:val="20"/>
                <w:szCs w:val="20"/>
                <w:color w:val="auto"/>
              </w:rPr>
            </w:pPr>
            <w:r>
              <w:rPr>
                <w:rFonts w:ascii="Arial" w:cs="Arial" w:eastAsia="Arial" w:hAnsi="Arial"/>
                <w:sz w:val="16"/>
                <w:szCs w:val="16"/>
                <w:color w:val="auto"/>
                <w:w w:val="91"/>
              </w:rPr>
              <w:t>Loan Guarantee Agreement, dated as of September 30, 2011, by and among High Plains</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w w:val="93"/>
              </w:rPr>
              <w:t>Ranch II, LLC, as borrower, the U.S. Department of Energy, as guarantor, and the U.S.</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rPr>
              <w:t>Department of Energy, as loan servicer.</w:t>
            </w:r>
          </w:p>
        </w:tc>
        <w:tc>
          <w:tcPr>
            <w:tcW w:w="0" w:type="dxa"/>
            <w:vAlign w:val="bottom"/>
          </w:tcPr>
          <w:p>
            <w:pPr>
              <w:spacing w:after="0"/>
              <w:rPr>
                <w:sz w:val="1"/>
                <w:szCs w:val="1"/>
                <w:color w:val="auto"/>
              </w:rPr>
            </w:pPr>
          </w:p>
        </w:tc>
      </w:tr>
      <w:tr>
        <w:trPr>
          <w:trHeight w:val="253"/>
        </w:trPr>
        <w:tc>
          <w:tcPr>
            <w:tcW w:w="700" w:type="dxa"/>
            <w:vAlign w:val="bottom"/>
          </w:tcPr>
          <w:p>
            <w:pPr>
              <w:spacing w:after="0"/>
              <w:rPr>
                <w:sz w:val="20"/>
                <w:szCs w:val="20"/>
                <w:color w:val="auto"/>
              </w:rPr>
            </w:pPr>
            <w:r>
              <w:rPr>
                <w:rFonts w:ascii="Arial" w:cs="Arial" w:eastAsia="Arial" w:hAnsi="Arial"/>
                <w:sz w:val="16"/>
                <w:szCs w:val="16"/>
                <w:color w:val="auto"/>
              </w:rPr>
              <w:t>10.7</w:t>
            </w:r>
          </w:p>
        </w:tc>
        <w:tc>
          <w:tcPr>
            <w:tcW w:w="6140" w:type="dxa"/>
            <w:vAlign w:val="bottom"/>
          </w:tcPr>
          <w:p>
            <w:pPr>
              <w:ind w:left="340"/>
              <w:spacing w:after="0"/>
              <w:rPr>
                <w:sz w:val="20"/>
                <w:szCs w:val="20"/>
                <w:color w:val="auto"/>
              </w:rPr>
            </w:pPr>
            <w:r>
              <w:rPr>
                <w:rFonts w:ascii="Arial" w:cs="Arial" w:eastAsia="Arial" w:hAnsi="Arial"/>
                <w:sz w:val="16"/>
                <w:szCs w:val="16"/>
                <w:color w:val="auto"/>
                <w:w w:val="95"/>
              </w:rPr>
              <w:t>Operation and Maintenance Agreement, dated as of January 31, 2011, by and among</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rPr>
              <w:t>Avenal Solar Holdings LLC and NRG Energy Services LLC.</w:t>
            </w:r>
          </w:p>
        </w:tc>
        <w:tc>
          <w:tcPr>
            <w:tcW w:w="0" w:type="dxa"/>
            <w:vAlign w:val="bottom"/>
          </w:tcPr>
          <w:p>
            <w:pPr>
              <w:spacing w:after="0"/>
              <w:rPr>
                <w:sz w:val="1"/>
                <w:szCs w:val="1"/>
                <w:color w:val="auto"/>
              </w:rPr>
            </w:pPr>
          </w:p>
        </w:tc>
      </w:tr>
      <w:tr>
        <w:trPr>
          <w:trHeight w:val="455"/>
        </w:trPr>
        <w:tc>
          <w:tcPr>
            <w:tcW w:w="700" w:type="dxa"/>
            <w:vAlign w:val="bottom"/>
          </w:tcPr>
          <w:p>
            <w:pPr>
              <w:spacing w:after="0"/>
              <w:rPr>
                <w:sz w:val="20"/>
                <w:szCs w:val="20"/>
                <w:color w:val="auto"/>
              </w:rPr>
            </w:pPr>
            <w:r>
              <w:rPr>
                <w:rFonts w:ascii="Arial" w:cs="Arial" w:eastAsia="Arial" w:hAnsi="Arial"/>
                <w:sz w:val="16"/>
                <w:szCs w:val="16"/>
                <w:color w:val="auto"/>
              </w:rPr>
              <w:t>10.8</w:t>
            </w:r>
          </w:p>
        </w:tc>
        <w:tc>
          <w:tcPr>
            <w:tcW w:w="6140" w:type="dxa"/>
            <w:vAlign w:val="bottom"/>
          </w:tcPr>
          <w:p>
            <w:pPr>
              <w:ind w:left="340"/>
              <w:spacing w:after="0"/>
              <w:rPr>
                <w:sz w:val="20"/>
                <w:szCs w:val="20"/>
                <w:color w:val="auto"/>
              </w:rPr>
            </w:pPr>
            <w:r>
              <w:rPr>
                <w:rFonts w:ascii="Arial" w:cs="Arial" w:eastAsia="Arial" w:hAnsi="Arial"/>
                <w:sz w:val="16"/>
                <w:szCs w:val="16"/>
                <w:color w:val="auto"/>
                <w:w w:val="92"/>
              </w:rPr>
              <w:t>Asset Management Agreement, dated as of August 30, 2012, by and among NRG Solar</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rPr>
              <w:t>Avra Valley LLC and NRG Solar Asset Management LLC.</w:t>
            </w:r>
          </w:p>
        </w:tc>
        <w:tc>
          <w:tcPr>
            <w:tcW w:w="0" w:type="dxa"/>
            <w:vAlign w:val="bottom"/>
          </w:tcPr>
          <w:p>
            <w:pPr>
              <w:spacing w:after="0"/>
              <w:rPr>
                <w:sz w:val="1"/>
                <w:szCs w:val="1"/>
                <w:color w:val="auto"/>
              </w:rPr>
            </w:pPr>
          </w:p>
        </w:tc>
      </w:tr>
      <w:tr>
        <w:trPr>
          <w:trHeight w:val="455"/>
        </w:trPr>
        <w:tc>
          <w:tcPr>
            <w:tcW w:w="700" w:type="dxa"/>
            <w:vAlign w:val="bottom"/>
          </w:tcPr>
          <w:p>
            <w:pPr>
              <w:spacing w:after="0"/>
              <w:rPr>
                <w:sz w:val="20"/>
                <w:szCs w:val="20"/>
                <w:color w:val="auto"/>
              </w:rPr>
            </w:pPr>
            <w:r>
              <w:rPr>
                <w:rFonts w:ascii="Arial" w:cs="Arial" w:eastAsia="Arial" w:hAnsi="Arial"/>
                <w:sz w:val="16"/>
                <w:szCs w:val="16"/>
                <w:color w:val="auto"/>
              </w:rPr>
              <w:t>10.9</w:t>
            </w:r>
          </w:p>
        </w:tc>
        <w:tc>
          <w:tcPr>
            <w:tcW w:w="6140" w:type="dxa"/>
            <w:vAlign w:val="bottom"/>
          </w:tcPr>
          <w:p>
            <w:pPr>
              <w:ind w:left="340"/>
              <w:spacing w:after="0"/>
              <w:rPr>
                <w:sz w:val="20"/>
                <w:szCs w:val="20"/>
                <w:color w:val="auto"/>
              </w:rPr>
            </w:pPr>
            <w:r>
              <w:rPr>
                <w:rFonts w:ascii="Arial" w:cs="Arial" w:eastAsia="Arial" w:hAnsi="Arial"/>
                <w:sz w:val="16"/>
                <w:szCs w:val="16"/>
                <w:color w:val="auto"/>
                <w:w w:val="91"/>
              </w:rPr>
              <w:t>Operation and Maintenance Agreement, dated as of August 1, 2012, by and among NRG</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rPr>
              <w:t>Energy Services LLC and NRG Solar Borrego I LLC.</w:t>
            </w:r>
          </w:p>
        </w:tc>
        <w:tc>
          <w:tcPr>
            <w:tcW w:w="0" w:type="dxa"/>
            <w:vAlign w:val="bottom"/>
          </w:tcPr>
          <w:p>
            <w:pPr>
              <w:spacing w:after="0"/>
              <w:rPr>
                <w:sz w:val="1"/>
                <w:szCs w:val="1"/>
                <w:color w:val="auto"/>
              </w:rPr>
            </w:pPr>
          </w:p>
        </w:tc>
      </w:tr>
      <w:tr>
        <w:trPr>
          <w:trHeight w:val="455"/>
        </w:trPr>
        <w:tc>
          <w:tcPr>
            <w:tcW w:w="700" w:type="dxa"/>
            <w:vAlign w:val="bottom"/>
          </w:tcPr>
          <w:p>
            <w:pPr>
              <w:spacing w:after="0"/>
              <w:rPr>
                <w:sz w:val="20"/>
                <w:szCs w:val="20"/>
                <w:color w:val="auto"/>
              </w:rPr>
            </w:pPr>
            <w:r>
              <w:rPr>
                <w:rFonts w:ascii="Arial" w:cs="Arial" w:eastAsia="Arial" w:hAnsi="Arial"/>
                <w:sz w:val="16"/>
                <w:szCs w:val="16"/>
                <w:color w:val="auto"/>
              </w:rPr>
              <w:t>10.10</w:t>
            </w:r>
          </w:p>
        </w:tc>
        <w:tc>
          <w:tcPr>
            <w:tcW w:w="6140" w:type="dxa"/>
            <w:vAlign w:val="bottom"/>
          </w:tcPr>
          <w:p>
            <w:pPr>
              <w:ind w:left="340"/>
              <w:spacing w:after="0"/>
              <w:rPr>
                <w:sz w:val="20"/>
                <w:szCs w:val="20"/>
                <w:color w:val="auto"/>
              </w:rPr>
            </w:pPr>
            <w:r>
              <w:rPr>
                <w:rFonts w:ascii="Arial" w:cs="Arial" w:eastAsia="Arial" w:hAnsi="Arial"/>
                <w:sz w:val="16"/>
                <w:szCs w:val="16"/>
                <w:color w:val="auto"/>
                <w:w w:val="93"/>
              </w:rPr>
              <w:t>Asset Management Agreement, dated as of March 15, 2012, by and among NRG Solar</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rPr>
              <w:t>Alpine LLC and NRG Solar Asset Management LLC.</w:t>
            </w:r>
          </w:p>
        </w:tc>
        <w:tc>
          <w:tcPr>
            <w:tcW w:w="0" w:type="dxa"/>
            <w:vAlign w:val="bottom"/>
          </w:tcPr>
          <w:p>
            <w:pPr>
              <w:spacing w:after="0"/>
              <w:rPr>
                <w:sz w:val="1"/>
                <w:szCs w:val="1"/>
                <w:color w:val="auto"/>
              </w:rPr>
            </w:pPr>
          </w:p>
        </w:tc>
      </w:tr>
      <w:tr>
        <w:trPr>
          <w:trHeight w:val="455"/>
        </w:trPr>
        <w:tc>
          <w:tcPr>
            <w:tcW w:w="700" w:type="dxa"/>
            <w:vAlign w:val="bottom"/>
          </w:tcPr>
          <w:p>
            <w:pPr>
              <w:spacing w:after="0"/>
              <w:rPr>
                <w:sz w:val="20"/>
                <w:szCs w:val="20"/>
                <w:color w:val="auto"/>
              </w:rPr>
            </w:pPr>
            <w:r>
              <w:rPr>
                <w:rFonts w:ascii="Arial" w:cs="Arial" w:eastAsia="Arial" w:hAnsi="Arial"/>
                <w:sz w:val="16"/>
                <w:szCs w:val="16"/>
                <w:color w:val="auto"/>
              </w:rPr>
              <w:t>10.11</w:t>
            </w:r>
          </w:p>
        </w:tc>
        <w:tc>
          <w:tcPr>
            <w:tcW w:w="6140" w:type="dxa"/>
            <w:vAlign w:val="bottom"/>
          </w:tcPr>
          <w:p>
            <w:pPr>
              <w:ind w:left="340"/>
              <w:spacing w:after="0"/>
              <w:rPr>
                <w:sz w:val="20"/>
                <w:szCs w:val="20"/>
                <w:color w:val="auto"/>
              </w:rPr>
            </w:pPr>
            <w:r>
              <w:rPr>
                <w:rFonts w:ascii="Arial" w:cs="Arial" w:eastAsia="Arial" w:hAnsi="Arial"/>
                <w:sz w:val="16"/>
                <w:szCs w:val="16"/>
                <w:color w:val="auto"/>
                <w:w w:val="92"/>
              </w:rPr>
              <w:t>Operation and Maintenance Agreement, dated as of September 30, 2011, by and among</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rPr>
              <w:t>NRG Energy Services LLC and High Plains Ranch II, LLC.</w:t>
            </w:r>
          </w:p>
        </w:tc>
        <w:tc>
          <w:tcPr>
            <w:tcW w:w="0" w:type="dxa"/>
            <w:vAlign w:val="bottom"/>
          </w:tcPr>
          <w:p>
            <w:pPr>
              <w:spacing w:after="0"/>
              <w:rPr>
                <w:sz w:val="1"/>
                <w:szCs w:val="1"/>
                <w:color w:val="auto"/>
              </w:rPr>
            </w:pPr>
          </w:p>
        </w:tc>
      </w:tr>
      <w:tr>
        <w:trPr>
          <w:trHeight w:val="455"/>
        </w:trPr>
        <w:tc>
          <w:tcPr>
            <w:tcW w:w="700" w:type="dxa"/>
            <w:vAlign w:val="bottom"/>
          </w:tcPr>
          <w:p>
            <w:pPr>
              <w:spacing w:after="0"/>
              <w:rPr>
                <w:sz w:val="20"/>
                <w:szCs w:val="20"/>
                <w:color w:val="auto"/>
              </w:rPr>
            </w:pPr>
            <w:r>
              <w:rPr>
                <w:rFonts w:ascii="Arial" w:cs="Arial" w:eastAsia="Arial" w:hAnsi="Arial"/>
                <w:sz w:val="16"/>
                <w:szCs w:val="16"/>
                <w:color w:val="auto"/>
              </w:rPr>
              <w:t>10.12</w:t>
            </w:r>
          </w:p>
        </w:tc>
        <w:tc>
          <w:tcPr>
            <w:tcW w:w="6140" w:type="dxa"/>
            <w:vAlign w:val="bottom"/>
          </w:tcPr>
          <w:p>
            <w:pPr>
              <w:ind w:left="340"/>
              <w:spacing w:after="0"/>
              <w:rPr>
                <w:sz w:val="20"/>
                <w:szCs w:val="20"/>
                <w:color w:val="auto"/>
              </w:rPr>
            </w:pPr>
            <w:r>
              <w:rPr>
                <w:rFonts w:ascii="Arial" w:cs="Arial" w:eastAsia="Arial" w:hAnsi="Arial"/>
                <w:sz w:val="16"/>
                <w:szCs w:val="16"/>
                <w:color w:val="auto"/>
                <w:w w:val="95"/>
              </w:rPr>
              <w:t>Project Administration Agreement, dated as of August 16, 2010, by and among South</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rPr>
              <w:t>Trent Wind LLC and NRG Texas Power LLC.</w:t>
            </w:r>
          </w:p>
        </w:tc>
        <w:tc>
          <w:tcPr>
            <w:tcW w:w="0" w:type="dxa"/>
            <w:vAlign w:val="bottom"/>
          </w:tcPr>
          <w:p>
            <w:pPr>
              <w:spacing w:after="0"/>
              <w:rPr>
                <w:sz w:val="1"/>
                <w:szCs w:val="1"/>
                <w:color w:val="auto"/>
              </w:rPr>
            </w:pPr>
          </w:p>
        </w:tc>
      </w:tr>
      <w:tr>
        <w:trPr>
          <w:trHeight w:val="455"/>
        </w:trPr>
        <w:tc>
          <w:tcPr>
            <w:tcW w:w="700" w:type="dxa"/>
            <w:vAlign w:val="bottom"/>
          </w:tcPr>
          <w:p>
            <w:pPr>
              <w:spacing w:after="0"/>
              <w:rPr>
                <w:sz w:val="20"/>
                <w:szCs w:val="20"/>
                <w:color w:val="auto"/>
              </w:rPr>
            </w:pPr>
            <w:r>
              <w:rPr>
                <w:rFonts w:ascii="Arial" w:cs="Arial" w:eastAsia="Arial" w:hAnsi="Arial"/>
                <w:sz w:val="16"/>
                <w:szCs w:val="16"/>
                <w:color w:val="auto"/>
              </w:rPr>
              <w:t>10.13</w:t>
            </w:r>
          </w:p>
        </w:tc>
        <w:tc>
          <w:tcPr>
            <w:tcW w:w="6140" w:type="dxa"/>
            <w:vAlign w:val="bottom"/>
          </w:tcPr>
          <w:p>
            <w:pPr>
              <w:ind w:left="340"/>
              <w:spacing w:after="0"/>
              <w:rPr>
                <w:sz w:val="20"/>
                <w:szCs w:val="20"/>
                <w:color w:val="auto"/>
              </w:rPr>
            </w:pPr>
            <w:r>
              <w:rPr>
                <w:rFonts w:ascii="Arial" w:cs="Arial" w:eastAsia="Arial" w:hAnsi="Arial"/>
                <w:sz w:val="16"/>
                <w:szCs w:val="16"/>
                <w:color w:val="auto"/>
                <w:w w:val="99"/>
              </w:rPr>
              <w:t>Operation and Maintenance Agreement, dated as of April 24, 2009, by and among</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rPr>
              <w:t>GenConn Devon LLC and Devon Power LLC.</w:t>
            </w:r>
          </w:p>
        </w:tc>
        <w:tc>
          <w:tcPr>
            <w:tcW w:w="0" w:type="dxa"/>
            <w:vAlign w:val="bottom"/>
          </w:tcPr>
          <w:p>
            <w:pPr>
              <w:spacing w:after="0"/>
              <w:rPr>
                <w:sz w:val="1"/>
                <w:szCs w:val="1"/>
                <w:color w:val="auto"/>
              </w:rPr>
            </w:pPr>
          </w:p>
        </w:tc>
      </w:tr>
      <w:tr>
        <w:trPr>
          <w:trHeight w:val="253"/>
        </w:trPr>
        <w:tc>
          <w:tcPr>
            <w:tcW w:w="700" w:type="dxa"/>
            <w:vAlign w:val="bottom"/>
          </w:tcPr>
          <w:p>
            <w:pPr>
              <w:spacing w:after="0"/>
              <w:rPr>
                <w:sz w:val="20"/>
                <w:szCs w:val="20"/>
                <w:color w:val="auto"/>
              </w:rPr>
            </w:pPr>
            <w:r>
              <w:rPr>
                <w:rFonts w:ascii="Arial" w:cs="Arial" w:eastAsia="Arial" w:hAnsi="Arial"/>
                <w:sz w:val="16"/>
                <w:szCs w:val="16"/>
                <w:color w:val="auto"/>
              </w:rPr>
              <w:t>10.14</w:t>
            </w:r>
          </w:p>
        </w:tc>
        <w:tc>
          <w:tcPr>
            <w:tcW w:w="6140" w:type="dxa"/>
            <w:vAlign w:val="bottom"/>
          </w:tcPr>
          <w:p>
            <w:pPr>
              <w:ind w:left="340"/>
              <w:spacing w:after="0"/>
              <w:rPr>
                <w:sz w:val="20"/>
                <w:szCs w:val="20"/>
                <w:color w:val="auto"/>
              </w:rPr>
            </w:pPr>
            <w:r>
              <w:rPr>
                <w:rFonts w:ascii="Arial" w:cs="Arial" w:eastAsia="Arial" w:hAnsi="Arial"/>
                <w:sz w:val="16"/>
                <w:szCs w:val="16"/>
                <w:color w:val="auto"/>
                <w:w w:val="99"/>
              </w:rPr>
              <w:t>Operation and Maintenance Agreement, dated as of April 24, 2009, by and among</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140" w:type="dxa"/>
            <w:vAlign w:val="bottom"/>
          </w:tcPr>
          <w:p>
            <w:pPr>
              <w:ind w:left="340"/>
              <w:spacing w:after="0"/>
              <w:rPr>
                <w:sz w:val="20"/>
                <w:szCs w:val="20"/>
                <w:color w:val="auto"/>
              </w:rPr>
            </w:pPr>
            <w:r>
              <w:rPr>
                <w:rFonts w:ascii="Arial" w:cs="Arial" w:eastAsia="Arial" w:hAnsi="Arial"/>
                <w:sz w:val="16"/>
                <w:szCs w:val="16"/>
                <w:color w:val="auto"/>
              </w:rPr>
              <w:t>GenConn Middletown LLC and Middletown Power LLC.</w:t>
            </w:r>
          </w:p>
        </w:tc>
        <w:tc>
          <w:tcPr>
            <w:tcW w:w="0" w:type="dxa"/>
            <w:vAlign w:val="bottom"/>
          </w:tcPr>
          <w:p>
            <w:pPr>
              <w:spacing w:after="0"/>
              <w:rPr>
                <w:sz w:val="1"/>
                <w:szCs w:val="1"/>
                <w:color w:val="auto"/>
              </w:rPr>
            </w:pPr>
          </w:p>
        </w:tc>
      </w:tr>
      <w:tr>
        <w:trPr>
          <w:trHeight w:val="492"/>
        </w:trPr>
        <w:tc>
          <w:tcPr>
            <w:tcW w:w="700" w:type="dxa"/>
            <w:vAlign w:val="bottom"/>
          </w:tcPr>
          <w:p>
            <w:pPr>
              <w:spacing w:after="0"/>
              <w:rPr>
                <w:sz w:val="24"/>
                <w:szCs w:val="24"/>
                <w:color w:val="auto"/>
              </w:rPr>
            </w:pPr>
          </w:p>
        </w:tc>
        <w:tc>
          <w:tcPr>
            <w:tcW w:w="6140" w:type="dxa"/>
            <w:vAlign w:val="bottom"/>
          </w:tcPr>
          <w:p>
            <w:pPr>
              <w:ind w:left="48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120"/>
        <w:spacing w:after="0" w:line="369" w:lineRule="auto"/>
        <w:rPr>
          <w:sz w:val="20"/>
          <w:szCs w:val="20"/>
          <w:color w:val="auto"/>
        </w:rPr>
      </w:pPr>
      <w:r>
        <w:rPr>
          <w:rFonts w:ascii="Arial" w:cs="Arial" w:eastAsia="Arial" w:hAnsi="Arial"/>
          <w:sz w:val="14"/>
          <w:szCs w:val="14"/>
          <w:color w:val="auto"/>
        </w:rPr>
        <w:t>Incorporated herein by reference to Exhibit 4.1 to NRG Yield, Inc.'s Current Report on Form 8-K filed on November 13, 2014.</w:t>
      </w:r>
    </w:p>
    <w:p>
      <w:pPr>
        <w:spacing w:after="0" w:line="45" w:lineRule="exact"/>
        <w:rPr>
          <w:sz w:val="20"/>
          <w:szCs w:val="20"/>
          <w:color w:val="auto"/>
        </w:rPr>
      </w:pPr>
    </w:p>
    <w:p>
      <w:pPr>
        <w:jc w:val="both"/>
        <w:ind w:right="220"/>
        <w:spacing w:after="0" w:line="369" w:lineRule="auto"/>
        <w:rPr>
          <w:sz w:val="20"/>
          <w:szCs w:val="20"/>
          <w:color w:val="auto"/>
        </w:rPr>
      </w:pPr>
      <w:r>
        <w:rPr>
          <w:rFonts w:ascii="Arial" w:cs="Arial" w:eastAsia="Arial" w:hAnsi="Arial"/>
          <w:sz w:val="14"/>
          <w:szCs w:val="14"/>
          <w:color w:val="auto"/>
        </w:rPr>
        <w:t>Incorporated herein by reference to Exhibit 4.1 to NRG Yield, Inc.'s Current Report on Form 8-K filed on February 27, 2015.</w:t>
      </w:r>
    </w:p>
    <w:p>
      <w:pPr>
        <w:spacing w:after="0" w:line="126"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4.07 to the Company's Registration Statement on Form S-4 filed on April 13, 2015.</w:t>
      </w:r>
    </w:p>
    <w:p>
      <w:pPr>
        <w:spacing w:after="0" w:line="184" w:lineRule="exact"/>
        <w:rPr>
          <w:sz w:val="20"/>
          <w:szCs w:val="20"/>
          <w:color w:val="auto"/>
        </w:rPr>
      </w:pPr>
    </w:p>
    <w:p>
      <w:pPr>
        <w:ind w:right="240"/>
        <w:spacing w:after="0" w:line="369" w:lineRule="auto"/>
        <w:rPr>
          <w:sz w:val="20"/>
          <w:szCs w:val="20"/>
          <w:color w:val="auto"/>
        </w:rPr>
      </w:pPr>
      <w:r>
        <w:rPr>
          <w:rFonts w:ascii="Arial" w:cs="Arial" w:eastAsia="Arial" w:hAnsi="Arial"/>
          <w:sz w:val="14"/>
          <w:szCs w:val="14"/>
          <w:color w:val="auto"/>
        </w:rPr>
        <w:t>Incorporated herein by reference to Exhibit 4.1 to NRG Yield, Inc.'s Current Report on Form 8-K filed on May 8, 2015.</w:t>
      </w:r>
    </w:p>
    <w:p>
      <w:pPr>
        <w:spacing w:after="0" w:line="126" w:lineRule="exact"/>
        <w:rPr>
          <w:sz w:val="20"/>
          <w:szCs w:val="20"/>
          <w:color w:val="auto"/>
        </w:rPr>
      </w:pPr>
    </w:p>
    <w:p>
      <w:pPr>
        <w:ind w:right="240"/>
        <w:spacing w:after="0" w:line="369" w:lineRule="auto"/>
        <w:rPr>
          <w:sz w:val="20"/>
          <w:szCs w:val="20"/>
          <w:color w:val="auto"/>
        </w:rPr>
      </w:pPr>
      <w:r>
        <w:rPr>
          <w:rFonts w:ascii="Arial" w:cs="Arial" w:eastAsia="Arial" w:hAnsi="Arial"/>
          <w:sz w:val="14"/>
          <w:szCs w:val="14"/>
          <w:color w:val="auto"/>
        </w:rPr>
        <w:t>Incorporated herein by reference to Exhibit 4.1 to NRG Yield, Inc.'s Current Report on Form 8-K filed on June 29, 2015.</w:t>
      </w:r>
    </w:p>
    <w:p>
      <w:pPr>
        <w:spacing w:after="0" w:line="126" w:lineRule="exact"/>
        <w:rPr>
          <w:sz w:val="20"/>
          <w:szCs w:val="20"/>
          <w:color w:val="auto"/>
        </w:rPr>
      </w:pPr>
    </w:p>
    <w:p>
      <w:pPr>
        <w:ind w:right="240"/>
        <w:spacing w:after="0" w:line="353" w:lineRule="auto"/>
        <w:rPr>
          <w:sz w:val="20"/>
          <w:szCs w:val="20"/>
          <w:color w:val="auto"/>
        </w:rPr>
      </w:pPr>
      <w:r>
        <w:rPr>
          <w:rFonts w:ascii="Arial" w:cs="Arial" w:eastAsia="Arial" w:hAnsi="Arial"/>
          <w:sz w:val="14"/>
          <w:szCs w:val="14"/>
          <w:color w:val="auto"/>
        </w:rPr>
        <w:t>Incorporated herein by reference to Exhibit 4.2 to NRG Yield, Inc.'s Current Report on Form 8-K filed on June 29, 2015</w:t>
      </w:r>
      <w:r>
        <w:rPr>
          <w:rFonts w:ascii="Arial" w:cs="Arial" w:eastAsia="Arial" w:hAnsi="Arial"/>
          <w:sz w:val="18"/>
          <w:szCs w:val="18"/>
          <w:color w:val="auto"/>
        </w:rPr>
        <w:t>.</w:t>
      </w:r>
    </w:p>
    <w:p>
      <w:pPr>
        <w:spacing w:after="0" w:line="39" w:lineRule="exact"/>
        <w:rPr>
          <w:sz w:val="20"/>
          <w:szCs w:val="20"/>
          <w:color w:val="auto"/>
        </w:rPr>
      </w:pPr>
    </w:p>
    <w:p>
      <w:pPr>
        <w:ind w:right="160"/>
        <w:spacing w:after="0" w:line="342" w:lineRule="auto"/>
        <w:rPr>
          <w:sz w:val="20"/>
          <w:szCs w:val="20"/>
          <w:color w:val="auto"/>
        </w:rPr>
      </w:pPr>
      <w:r>
        <w:rPr>
          <w:rFonts w:ascii="Arial" w:cs="Arial" w:eastAsia="Arial" w:hAnsi="Arial"/>
          <w:sz w:val="14"/>
          <w:szCs w:val="14"/>
          <w:color w:val="auto"/>
        </w:rPr>
        <w:t>Incorporated herein by reference to Exhibit 10.2 to NRG Yield, Inc.'s Current Report on Form 8-K filed on May 15, 2015.</w:t>
      </w:r>
    </w:p>
    <w:p>
      <w:pPr>
        <w:ind w:right="160"/>
        <w:spacing w:after="0" w:line="369" w:lineRule="auto"/>
        <w:rPr>
          <w:sz w:val="20"/>
          <w:szCs w:val="20"/>
          <w:color w:val="auto"/>
        </w:rPr>
      </w:pPr>
      <w:r>
        <w:rPr>
          <w:rFonts w:ascii="Arial" w:cs="Arial" w:eastAsia="Arial" w:hAnsi="Arial"/>
          <w:sz w:val="14"/>
          <w:szCs w:val="14"/>
          <w:color w:val="auto"/>
        </w:rPr>
        <w:t>Incorporated herein by reference to Exhibit 10.1 to NRG Yield, Inc.'s Current Report on Form 8-K filed on May 15, 2015.</w:t>
      </w:r>
    </w:p>
    <w:p>
      <w:pPr>
        <w:spacing w:after="0" w:line="126" w:lineRule="exact"/>
        <w:rPr>
          <w:sz w:val="20"/>
          <w:szCs w:val="20"/>
          <w:color w:val="auto"/>
        </w:rPr>
      </w:pPr>
    </w:p>
    <w:p>
      <w:pPr>
        <w:ind w:right="160"/>
        <w:spacing w:after="0" w:line="342" w:lineRule="auto"/>
        <w:rPr>
          <w:sz w:val="20"/>
          <w:szCs w:val="20"/>
          <w:color w:val="auto"/>
        </w:rPr>
      </w:pPr>
      <w:r>
        <w:rPr>
          <w:rFonts w:ascii="Arial" w:cs="Arial" w:eastAsia="Arial" w:hAnsi="Arial"/>
          <w:sz w:val="14"/>
          <w:szCs w:val="14"/>
          <w:color w:val="auto"/>
        </w:rPr>
        <w:t>Incorporated herein by reference to Exhibit 10.1 to NRG Yield, Inc.'s Current Report on Form 8-K filed on March 12, 2015.</w:t>
      </w:r>
    </w:p>
    <w:p>
      <w:pPr>
        <w:ind w:right="160"/>
        <w:spacing w:after="0" w:line="342" w:lineRule="auto"/>
        <w:rPr>
          <w:sz w:val="20"/>
          <w:szCs w:val="20"/>
          <w:color w:val="auto"/>
        </w:rPr>
      </w:pPr>
      <w:r>
        <w:rPr>
          <w:rFonts w:ascii="Arial" w:cs="Arial" w:eastAsia="Arial" w:hAnsi="Arial"/>
          <w:sz w:val="14"/>
          <w:szCs w:val="14"/>
          <w:color w:val="auto"/>
        </w:rPr>
        <w:t>Incorporated herein by reference to Exhibit 10.4 to NRG Yield, Inc.'s Current Report on Form 8-K filed on July 26, 2013.</w:t>
      </w:r>
    </w:p>
    <w:p>
      <w:pPr>
        <w:ind w:right="160"/>
        <w:spacing w:after="0" w:line="342" w:lineRule="auto"/>
        <w:rPr>
          <w:sz w:val="20"/>
          <w:szCs w:val="20"/>
          <w:color w:val="auto"/>
        </w:rPr>
      </w:pPr>
      <w:r>
        <w:rPr>
          <w:rFonts w:ascii="Arial" w:cs="Arial" w:eastAsia="Arial" w:hAnsi="Arial"/>
          <w:sz w:val="14"/>
          <w:szCs w:val="14"/>
          <w:color w:val="auto"/>
        </w:rPr>
        <w:t>Incorporated herein by reference to Exhibit 10.5 to NRG Yield, Inc.'s Current Report on Form 8-K filed on July 26, 2013.</w:t>
      </w:r>
    </w:p>
    <w:p>
      <w:pPr>
        <w:spacing w:after="0" w:line="278" w:lineRule="auto"/>
        <w:rPr>
          <w:sz w:val="20"/>
          <w:szCs w:val="20"/>
          <w:color w:val="auto"/>
        </w:rPr>
      </w:pPr>
      <w:r>
        <w:rPr>
          <w:rFonts w:ascii="Arial" w:cs="Arial" w:eastAsia="Arial" w:hAnsi="Arial"/>
          <w:sz w:val="16"/>
          <w:szCs w:val="16"/>
          <w:color w:val="auto"/>
        </w:rPr>
        <w:t>Incorporated herein by reference to Exhibit 10.8 to NRG Yield, Inc.'s Draft Registration Statement on Form S-1 filed on February 13, 2013.</w:t>
      </w:r>
    </w:p>
    <w:p>
      <w:pPr>
        <w:spacing w:after="0" w:line="2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10.11 to NRG Yield, Inc.'s Draft Registration Statement on Form S-1 filed on February 13, 2013.</w:t>
      </w:r>
    </w:p>
    <w:p>
      <w:pPr>
        <w:spacing w:after="0" w:line="2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Incorporated herein by reference to Exhibit 10.12 to NRG Yield, Inc.'s Draft Registration Statement on Form S-1 filed on February 13, 2013.</w:t>
      </w:r>
    </w:p>
    <w:p>
      <w:pPr>
        <w:spacing w:after="0" w:line="2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Incorporated herein by reference to Exhibit 10.13 to NRG Yield, Inc.'s Draft Registration Statement on Form S-1 filed on February 13, 2013.</w:t>
      </w:r>
    </w:p>
    <w:p>
      <w:pPr>
        <w:spacing w:after="0" w:line="2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Incorporated herein by reference to Exhibit 10.14 to NRG Yield, Inc.'s Draft Registration Statement on Form S-1 filed on February 13, 2013.</w:t>
      </w:r>
    </w:p>
    <w:p>
      <w:pPr>
        <w:spacing w:after="0" w:line="2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Incorporated herein by reference to Exhibit 10.15 to NRG Yield, Inc.'s Draft Registration Statement on Form S-1 filed on February 13, 2013.</w:t>
      </w:r>
    </w:p>
    <w:p>
      <w:pPr>
        <w:spacing w:after="0" w:line="2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Incorporated herein by reference to Exhibit 10.16 to NRG Yield, Inc.'s Draft Registration Statement on Form S-1 filed on February 13, 2013.</w:t>
      </w:r>
    </w:p>
    <w:p>
      <w:pPr>
        <w:spacing w:after="0" w:line="22" w:lineRule="exact"/>
        <w:rPr>
          <w:sz w:val="20"/>
          <w:szCs w:val="20"/>
          <w:color w:val="auto"/>
        </w:rPr>
      </w:pPr>
    </w:p>
    <w:p>
      <w:pPr>
        <w:jc w:val="both"/>
        <w:ind w:right="80"/>
        <w:spacing w:after="0" w:line="342" w:lineRule="auto"/>
        <w:rPr>
          <w:sz w:val="20"/>
          <w:szCs w:val="20"/>
          <w:color w:val="auto"/>
        </w:rPr>
      </w:pPr>
      <w:r>
        <w:rPr>
          <w:rFonts w:ascii="Arial" w:cs="Arial" w:eastAsia="Arial" w:hAnsi="Arial"/>
          <w:sz w:val="14"/>
          <w:szCs w:val="14"/>
          <w:color w:val="auto"/>
        </w:rPr>
        <w:t>Incorporated herein by reference to Exhibit 10.15 to NRG Yield, Inc.'s Registration Statement on Form S-1 filed on June 6, 2013.</w:t>
      </w:r>
    </w:p>
    <w:p>
      <w:pPr>
        <w:jc w:val="both"/>
        <w:ind w:right="80"/>
        <w:spacing w:after="0" w:line="369" w:lineRule="auto"/>
        <w:rPr>
          <w:sz w:val="20"/>
          <w:szCs w:val="20"/>
          <w:color w:val="auto"/>
        </w:rPr>
      </w:pPr>
      <w:r>
        <w:rPr>
          <w:rFonts w:ascii="Arial" w:cs="Arial" w:eastAsia="Arial" w:hAnsi="Arial"/>
          <w:sz w:val="14"/>
          <w:szCs w:val="14"/>
          <w:color w:val="auto"/>
        </w:rPr>
        <w:t>Incorporated herein by reference to Exhibit 10.16 to NRG Yield, Inc.'s Registration Statement on Form S-1 filed on June 7, 2013.</w:t>
      </w:r>
    </w:p>
    <w:p>
      <w:pPr>
        <w:sectPr>
          <w:pgSz w:w="11900" w:h="16838" w:orient="portrait"/>
          <w:cols w:equalWidth="0" w:num="2">
            <w:col w:w="6840" w:space="240"/>
            <w:col w:w="4260"/>
          </w:cols>
          <w:pgMar w:left="280" w:top="1048" w:right="27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3"/>
        </w:trPr>
        <w:tc>
          <w:tcPr>
            <w:tcW w:w="760" w:type="dxa"/>
            <w:vAlign w:val="bottom"/>
          </w:tcPr>
          <w:p>
            <w:pPr>
              <w:spacing w:after="0"/>
              <w:rPr>
                <w:sz w:val="20"/>
                <w:szCs w:val="20"/>
                <w:color w:val="auto"/>
              </w:rPr>
            </w:pPr>
            <w:r>
              <w:rPr>
                <w:rFonts w:ascii="Arial" w:cs="Arial" w:eastAsia="Arial" w:hAnsi="Arial"/>
                <w:sz w:val="16"/>
                <w:szCs w:val="16"/>
                <w:color w:val="auto"/>
              </w:rPr>
              <w:t>10.15</w:t>
            </w:r>
          </w:p>
        </w:tc>
        <w:tc>
          <w:tcPr>
            <w:tcW w:w="6120" w:type="dxa"/>
            <w:vAlign w:val="bottom"/>
          </w:tcPr>
          <w:p>
            <w:pPr>
              <w:ind w:left="280"/>
              <w:spacing w:after="0"/>
              <w:rPr>
                <w:sz w:val="20"/>
                <w:szCs w:val="20"/>
                <w:color w:val="auto"/>
              </w:rPr>
            </w:pPr>
            <w:r>
              <w:rPr>
                <w:rFonts w:ascii="Arial" w:cs="Arial" w:eastAsia="Arial" w:hAnsi="Arial"/>
                <w:sz w:val="16"/>
                <w:szCs w:val="16"/>
                <w:color w:val="auto"/>
                <w:w w:val="97"/>
              </w:rPr>
              <w:t>Administrative Services Agreement, dated as of April 2, 2009, by and among GenOn</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w w:val="96"/>
              </w:rPr>
              <w:t>Energy Services, LLC (formerly Mirant Services, LLC) and NRG Marsh Landing, LLC</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rPr>
              <w:t>(formerly Mirant Marsh Landing, LLC.</w:t>
            </w:r>
          </w:p>
        </w:tc>
        <w:tc>
          <w:tcPr>
            <w:tcW w:w="0" w:type="dxa"/>
            <w:vAlign w:val="bottom"/>
          </w:tcPr>
          <w:p>
            <w:pPr>
              <w:spacing w:after="0"/>
              <w:rPr>
                <w:sz w:val="1"/>
                <w:szCs w:val="1"/>
                <w:color w:val="auto"/>
              </w:rPr>
            </w:pPr>
          </w:p>
        </w:tc>
      </w:tr>
      <w:tr>
        <w:trPr>
          <w:trHeight w:val="253"/>
        </w:trPr>
        <w:tc>
          <w:tcPr>
            <w:tcW w:w="760" w:type="dxa"/>
            <w:vAlign w:val="bottom"/>
          </w:tcPr>
          <w:p>
            <w:pPr>
              <w:spacing w:after="0"/>
              <w:rPr>
                <w:sz w:val="20"/>
                <w:szCs w:val="20"/>
                <w:color w:val="auto"/>
              </w:rPr>
            </w:pPr>
            <w:r>
              <w:rPr>
                <w:rFonts w:ascii="Arial" w:cs="Arial" w:eastAsia="Arial" w:hAnsi="Arial"/>
                <w:sz w:val="16"/>
                <w:szCs w:val="16"/>
                <w:color w:val="auto"/>
              </w:rPr>
              <w:t>10.16†</w:t>
            </w:r>
          </w:p>
        </w:tc>
        <w:tc>
          <w:tcPr>
            <w:tcW w:w="6120" w:type="dxa"/>
            <w:vAlign w:val="bottom"/>
          </w:tcPr>
          <w:p>
            <w:pPr>
              <w:ind w:left="280"/>
              <w:spacing w:after="0"/>
              <w:rPr>
                <w:sz w:val="20"/>
                <w:szCs w:val="20"/>
                <w:color w:val="auto"/>
              </w:rPr>
            </w:pPr>
            <w:r>
              <w:rPr>
                <w:rFonts w:ascii="Arial" w:cs="Arial" w:eastAsia="Arial" w:hAnsi="Arial"/>
                <w:sz w:val="16"/>
                <w:szCs w:val="16"/>
                <w:color w:val="auto"/>
                <w:w w:val="92"/>
              </w:rPr>
              <w:t>NRG Yield, Inc. Amended and Restated 2013 Equity Incentive Plan, dated as of May 14,</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57"/>
        </w:trPr>
        <w:tc>
          <w:tcPr>
            <w:tcW w:w="760" w:type="dxa"/>
            <w:vAlign w:val="bottom"/>
          </w:tcPr>
          <w:p>
            <w:pPr>
              <w:spacing w:after="0"/>
              <w:rPr>
                <w:sz w:val="20"/>
                <w:szCs w:val="20"/>
                <w:color w:val="auto"/>
              </w:rPr>
            </w:pPr>
            <w:r>
              <w:rPr>
                <w:rFonts w:ascii="Arial" w:cs="Arial" w:eastAsia="Arial" w:hAnsi="Arial"/>
                <w:sz w:val="16"/>
                <w:szCs w:val="16"/>
                <w:color w:val="auto"/>
              </w:rPr>
              <w:t>10.17</w:t>
            </w:r>
          </w:p>
        </w:tc>
        <w:tc>
          <w:tcPr>
            <w:tcW w:w="6120" w:type="dxa"/>
            <w:vAlign w:val="bottom"/>
          </w:tcPr>
          <w:p>
            <w:pPr>
              <w:ind w:left="280"/>
              <w:spacing w:after="0"/>
              <w:rPr>
                <w:sz w:val="20"/>
                <w:szCs w:val="20"/>
                <w:color w:val="auto"/>
              </w:rPr>
            </w:pPr>
            <w:r>
              <w:rPr>
                <w:rFonts w:ascii="Arial" w:cs="Arial" w:eastAsia="Arial" w:hAnsi="Arial"/>
                <w:sz w:val="16"/>
                <w:szCs w:val="16"/>
                <w:color w:val="auto"/>
              </w:rPr>
              <w:t>Form of Indemnification Agreement.</w:t>
            </w:r>
          </w:p>
        </w:tc>
        <w:tc>
          <w:tcPr>
            <w:tcW w:w="0" w:type="dxa"/>
            <w:vAlign w:val="bottom"/>
          </w:tcPr>
          <w:p>
            <w:pPr>
              <w:spacing w:after="0"/>
              <w:rPr>
                <w:sz w:val="1"/>
                <w:szCs w:val="1"/>
                <w:color w:val="auto"/>
              </w:rPr>
            </w:pPr>
          </w:p>
        </w:tc>
      </w:tr>
      <w:tr>
        <w:trPr>
          <w:trHeight w:val="658"/>
        </w:trPr>
        <w:tc>
          <w:tcPr>
            <w:tcW w:w="760" w:type="dxa"/>
            <w:vAlign w:val="bottom"/>
          </w:tcPr>
          <w:p>
            <w:pPr>
              <w:spacing w:after="0"/>
              <w:rPr>
                <w:sz w:val="20"/>
                <w:szCs w:val="20"/>
                <w:color w:val="auto"/>
              </w:rPr>
            </w:pPr>
            <w:r>
              <w:rPr>
                <w:rFonts w:ascii="Arial" w:cs="Arial" w:eastAsia="Arial" w:hAnsi="Arial"/>
                <w:sz w:val="16"/>
                <w:szCs w:val="16"/>
                <w:color w:val="auto"/>
              </w:rPr>
              <w:t>10.18.1</w:t>
            </w:r>
          </w:p>
        </w:tc>
        <w:tc>
          <w:tcPr>
            <w:tcW w:w="6120" w:type="dxa"/>
            <w:vAlign w:val="bottom"/>
          </w:tcPr>
          <w:p>
            <w:pPr>
              <w:ind w:left="280"/>
              <w:spacing w:after="0"/>
              <w:rPr>
                <w:sz w:val="20"/>
                <w:szCs w:val="20"/>
                <w:color w:val="auto"/>
              </w:rPr>
            </w:pPr>
            <w:r>
              <w:rPr>
                <w:rFonts w:ascii="Arial" w:cs="Arial" w:eastAsia="Arial" w:hAnsi="Arial"/>
                <w:sz w:val="16"/>
                <w:szCs w:val="16"/>
                <w:color w:val="auto"/>
                <w:w w:val="96"/>
              </w:rPr>
              <w:t>Amended and Restated Credit Agreement, dated April 25, 2014, by and among NRG</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w w:val="94"/>
              </w:rPr>
              <w:t>Yield Operating LLC, NRG Yield LLC, Royal Bank of Canada, as Administrative Agent,</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w w:val="91"/>
              </w:rPr>
              <w:t>the lenders party thereto, Royal Bank of Canada, Goldman Sachs Bank USA and Bank of</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w w:val="93"/>
              </w:rPr>
              <w:t>America, N.A., as L/C Issuers and RBC Capital Markets as Sole Left Lead Arranger and</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rPr>
              <w:t>Sole Left Lead Book Runner.</w:t>
            </w:r>
          </w:p>
        </w:tc>
        <w:tc>
          <w:tcPr>
            <w:tcW w:w="0" w:type="dxa"/>
            <w:vAlign w:val="bottom"/>
          </w:tcPr>
          <w:p>
            <w:pPr>
              <w:spacing w:after="0"/>
              <w:rPr>
                <w:sz w:val="1"/>
                <w:szCs w:val="1"/>
                <w:color w:val="auto"/>
              </w:rPr>
            </w:pPr>
          </w:p>
        </w:tc>
      </w:tr>
      <w:tr>
        <w:trPr>
          <w:trHeight w:val="257"/>
        </w:trPr>
        <w:tc>
          <w:tcPr>
            <w:tcW w:w="760" w:type="dxa"/>
            <w:vAlign w:val="bottom"/>
          </w:tcPr>
          <w:p>
            <w:pPr>
              <w:spacing w:after="0"/>
              <w:rPr>
                <w:sz w:val="20"/>
                <w:szCs w:val="20"/>
                <w:color w:val="auto"/>
              </w:rPr>
            </w:pPr>
            <w:r>
              <w:rPr>
                <w:rFonts w:ascii="Arial" w:cs="Arial" w:eastAsia="Arial" w:hAnsi="Arial"/>
                <w:sz w:val="16"/>
                <w:szCs w:val="16"/>
                <w:color w:val="auto"/>
              </w:rPr>
              <w:t>10.18.2</w:t>
            </w:r>
          </w:p>
        </w:tc>
        <w:tc>
          <w:tcPr>
            <w:tcW w:w="6120" w:type="dxa"/>
            <w:vAlign w:val="bottom"/>
            <w:vMerge w:val="restart"/>
          </w:tcPr>
          <w:p>
            <w:pPr>
              <w:ind w:left="280"/>
              <w:spacing w:after="0"/>
              <w:rPr>
                <w:sz w:val="20"/>
                <w:szCs w:val="20"/>
                <w:color w:val="auto"/>
              </w:rPr>
            </w:pPr>
            <w:r>
              <w:rPr>
                <w:rFonts w:ascii="Arial" w:cs="Arial" w:eastAsia="Arial" w:hAnsi="Arial"/>
                <w:sz w:val="16"/>
                <w:szCs w:val="16"/>
                <w:color w:val="auto"/>
                <w:w w:val="91"/>
              </w:rPr>
              <w:t>First Amendment to Amended &amp; Restated Credit Agreement, dated June 26, 2015, by and</w:t>
            </w:r>
          </w:p>
        </w:tc>
        <w:tc>
          <w:tcPr>
            <w:tcW w:w="0" w:type="dxa"/>
            <w:vAlign w:val="bottom"/>
          </w:tcPr>
          <w:p>
            <w:pPr>
              <w:spacing w:after="0"/>
              <w:rPr>
                <w:sz w:val="1"/>
                <w:szCs w:val="1"/>
                <w:color w:val="auto"/>
              </w:rPr>
            </w:pPr>
          </w:p>
        </w:tc>
      </w:tr>
      <w:tr>
        <w:trPr>
          <w:trHeight w:val="77"/>
        </w:trPr>
        <w:tc>
          <w:tcPr>
            <w:tcW w:w="760" w:type="dxa"/>
            <w:vAlign w:val="bottom"/>
          </w:tcPr>
          <w:p>
            <w:pPr>
              <w:spacing w:after="0"/>
              <w:rPr>
                <w:sz w:val="6"/>
                <w:szCs w:val="6"/>
                <w:color w:val="auto"/>
              </w:rPr>
            </w:pPr>
          </w:p>
        </w:tc>
        <w:tc>
          <w:tcPr>
            <w:tcW w:w="6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w w:val="99"/>
              </w:rPr>
              <w:t>among NRG Yield Operating LLC, NRG Yield LLC, Royal Bank of Canada and the</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rPr>
              <w:t>Lenders party thereto.</w:t>
            </w:r>
          </w:p>
        </w:tc>
        <w:tc>
          <w:tcPr>
            <w:tcW w:w="0" w:type="dxa"/>
            <w:vAlign w:val="bottom"/>
          </w:tcPr>
          <w:p>
            <w:pPr>
              <w:spacing w:after="0"/>
              <w:rPr>
                <w:sz w:val="1"/>
                <w:szCs w:val="1"/>
                <w:color w:val="auto"/>
              </w:rPr>
            </w:pPr>
          </w:p>
        </w:tc>
      </w:tr>
      <w:tr>
        <w:trPr>
          <w:trHeight w:val="536"/>
        </w:trPr>
        <w:tc>
          <w:tcPr>
            <w:tcW w:w="760" w:type="dxa"/>
            <w:vAlign w:val="bottom"/>
          </w:tcPr>
          <w:p>
            <w:pPr>
              <w:spacing w:after="0"/>
              <w:rPr>
                <w:sz w:val="20"/>
                <w:szCs w:val="20"/>
                <w:color w:val="auto"/>
              </w:rPr>
            </w:pPr>
            <w:r>
              <w:rPr>
                <w:rFonts w:ascii="Arial" w:cs="Arial" w:eastAsia="Arial" w:hAnsi="Arial"/>
                <w:sz w:val="16"/>
                <w:szCs w:val="16"/>
                <w:color w:val="auto"/>
              </w:rPr>
              <w:t>10.19.1</w:t>
            </w:r>
          </w:p>
        </w:tc>
        <w:tc>
          <w:tcPr>
            <w:tcW w:w="6120" w:type="dxa"/>
            <w:vAlign w:val="bottom"/>
          </w:tcPr>
          <w:p>
            <w:pPr>
              <w:ind w:left="280"/>
              <w:spacing w:after="0"/>
              <w:rPr>
                <w:sz w:val="20"/>
                <w:szCs w:val="20"/>
                <w:color w:val="auto"/>
              </w:rPr>
            </w:pPr>
            <w:r>
              <w:rPr>
                <w:rFonts w:ascii="Arial" w:cs="Arial" w:eastAsia="Arial" w:hAnsi="Arial"/>
                <w:sz w:val="16"/>
                <w:szCs w:val="16"/>
                <w:color w:val="auto"/>
                <w:w w:val="95"/>
              </w:rPr>
              <w:t>Credit Agreement, dated as of August 23, 2011, among NRG West Holdings LLC, ING</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rPr>
              <w:t>Capital LLC, Union Bank, N.A., Mizuho Corporate Bank, Ltd., RBS Securities Inc.,</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w w:val="94"/>
              </w:rPr>
              <w:t>Credit Agricole Corporate and Investment Bank, and each of lenders and issuing banks</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rPr>
              <w:t>thereto.*</w:t>
            </w:r>
          </w:p>
        </w:tc>
        <w:tc>
          <w:tcPr>
            <w:tcW w:w="0" w:type="dxa"/>
            <w:vAlign w:val="bottom"/>
          </w:tcPr>
          <w:p>
            <w:pPr>
              <w:spacing w:after="0"/>
              <w:rPr>
                <w:sz w:val="1"/>
                <w:szCs w:val="1"/>
                <w:color w:val="auto"/>
              </w:rPr>
            </w:pPr>
          </w:p>
        </w:tc>
      </w:tr>
      <w:tr>
        <w:trPr>
          <w:trHeight w:val="253"/>
        </w:trPr>
        <w:tc>
          <w:tcPr>
            <w:tcW w:w="760" w:type="dxa"/>
            <w:vAlign w:val="bottom"/>
          </w:tcPr>
          <w:p>
            <w:pPr>
              <w:spacing w:after="0"/>
              <w:rPr>
                <w:sz w:val="20"/>
                <w:szCs w:val="20"/>
                <w:color w:val="auto"/>
              </w:rPr>
            </w:pPr>
            <w:r>
              <w:rPr>
                <w:rFonts w:ascii="Arial" w:cs="Arial" w:eastAsia="Arial" w:hAnsi="Arial"/>
                <w:sz w:val="16"/>
                <w:szCs w:val="16"/>
                <w:color w:val="auto"/>
              </w:rPr>
              <w:t>10.19.2</w:t>
            </w:r>
          </w:p>
        </w:tc>
        <w:tc>
          <w:tcPr>
            <w:tcW w:w="6120" w:type="dxa"/>
            <w:vAlign w:val="bottom"/>
          </w:tcPr>
          <w:p>
            <w:pPr>
              <w:ind w:left="280"/>
              <w:spacing w:after="0"/>
              <w:rPr>
                <w:sz w:val="20"/>
                <w:szCs w:val="20"/>
                <w:color w:val="auto"/>
              </w:rPr>
            </w:pPr>
            <w:r>
              <w:rPr>
                <w:rFonts w:ascii="Arial" w:cs="Arial" w:eastAsia="Arial" w:hAnsi="Arial"/>
                <w:sz w:val="16"/>
                <w:szCs w:val="16"/>
                <w:color w:val="auto"/>
                <w:w w:val="91"/>
              </w:rPr>
              <w:t>Amendment No. 1 to the Credit Agreement, dated October 7, 2011, by and between NRG</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rPr>
              <w:t>West Holdings LLC and Credit Agricole Corporate and Investment Bank.</w:t>
            </w:r>
          </w:p>
        </w:tc>
        <w:tc>
          <w:tcPr>
            <w:tcW w:w="0" w:type="dxa"/>
            <w:vAlign w:val="bottom"/>
          </w:tcPr>
          <w:p>
            <w:pPr>
              <w:spacing w:after="0"/>
              <w:rPr>
                <w:sz w:val="1"/>
                <w:szCs w:val="1"/>
                <w:color w:val="auto"/>
              </w:rPr>
            </w:pPr>
          </w:p>
        </w:tc>
      </w:tr>
      <w:tr>
        <w:trPr>
          <w:trHeight w:val="253"/>
        </w:trPr>
        <w:tc>
          <w:tcPr>
            <w:tcW w:w="760" w:type="dxa"/>
            <w:vAlign w:val="bottom"/>
          </w:tcPr>
          <w:p>
            <w:pPr>
              <w:spacing w:after="0"/>
              <w:rPr>
                <w:sz w:val="20"/>
                <w:szCs w:val="20"/>
                <w:color w:val="auto"/>
              </w:rPr>
            </w:pPr>
            <w:r>
              <w:rPr>
                <w:rFonts w:ascii="Arial" w:cs="Arial" w:eastAsia="Arial" w:hAnsi="Arial"/>
                <w:sz w:val="16"/>
                <w:szCs w:val="16"/>
                <w:color w:val="auto"/>
              </w:rPr>
              <w:t>10.19.3</w:t>
            </w:r>
          </w:p>
        </w:tc>
        <w:tc>
          <w:tcPr>
            <w:tcW w:w="6120" w:type="dxa"/>
            <w:vAlign w:val="bottom"/>
          </w:tcPr>
          <w:p>
            <w:pPr>
              <w:ind w:left="280"/>
              <w:spacing w:after="0"/>
              <w:rPr>
                <w:sz w:val="20"/>
                <w:szCs w:val="20"/>
                <w:color w:val="auto"/>
              </w:rPr>
            </w:pPr>
            <w:r>
              <w:rPr>
                <w:rFonts w:ascii="Arial" w:cs="Arial" w:eastAsia="Arial" w:hAnsi="Arial"/>
                <w:sz w:val="16"/>
                <w:szCs w:val="16"/>
                <w:color w:val="auto"/>
                <w:w w:val="95"/>
              </w:rPr>
              <w:t>Amendment No. 2 to the Credit Agreement, dated February 29, 2012, by and between</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rPr>
              <w:t>NRG West Holdings LLC and Credit Agricole Corporate and Investment Bank.</w:t>
            </w:r>
          </w:p>
        </w:tc>
        <w:tc>
          <w:tcPr>
            <w:tcW w:w="0" w:type="dxa"/>
            <w:vAlign w:val="bottom"/>
          </w:tcPr>
          <w:p>
            <w:pPr>
              <w:spacing w:after="0"/>
              <w:rPr>
                <w:sz w:val="1"/>
                <w:szCs w:val="1"/>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ind w:right="199"/>
              <w:spacing w:after="0"/>
              <w:rPr>
                <w:sz w:val="20"/>
                <w:szCs w:val="20"/>
                <w:color w:val="auto"/>
              </w:rPr>
            </w:pPr>
            <w:r>
              <w:rPr>
                <w:rFonts w:ascii="Arial" w:cs="Arial" w:eastAsia="Arial" w:hAnsi="Arial"/>
                <w:sz w:val="16"/>
                <w:szCs w:val="16"/>
                <w:color w:val="auto"/>
                <w:w w:val="86"/>
              </w:rPr>
              <w:t>10.19.4</w:t>
            </w:r>
          </w:p>
        </w:tc>
        <w:tc>
          <w:tcPr>
            <w:tcW w:w="6120" w:type="dxa"/>
            <w:vAlign w:val="bottom"/>
            <w:vMerge w:val="restart"/>
          </w:tcPr>
          <w:p>
            <w:pPr>
              <w:ind w:left="280"/>
              <w:spacing w:after="0"/>
              <w:rPr>
                <w:sz w:val="20"/>
                <w:szCs w:val="20"/>
                <w:color w:val="auto"/>
              </w:rPr>
            </w:pPr>
            <w:r>
              <w:rPr>
                <w:rFonts w:ascii="Arial" w:cs="Arial" w:eastAsia="Arial" w:hAnsi="Arial"/>
                <w:sz w:val="16"/>
                <w:szCs w:val="16"/>
                <w:color w:val="auto"/>
                <w:w w:val="90"/>
              </w:rPr>
              <w:t>Amendment No. 3 to the Credit Agreement, dated as of January 27, 2014, by and between</w:t>
            </w:r>
          </w:p>
        </w:tc>
        <w:tc>
          <w:tcPr>
            <w:tcW w:w="0" w:type="dxa"/>
            <w:vAlign w:val="bottom"/>
          </w:tcPr>
          <w:p>
            <w:pPr>
              <w:spacing w:after="0"/>
              <w:rPr>
                <w:sz w:val="1"/>
                <w:szCs w:val="1"/>
                <w:color w:val="auto"/>
              </w:rPr>
            </w:pPr>
          </w:p>
        </w:tc>
      </w:tr>
      <w:tr>
        <w:trPr>
          <w:trHeight w:val="77"/>
        </w:trPr>
        <w:tc>
          <w:tcPr>
            <w:tcW w:w="760" w:type="dxa"/>
            <w:vAlign w:val="bottom"/>
          </w:tcPr>
          <w:p>
            <w:pPr>
              <w:spacing w:after="0"/>
              <w:rPr>
                <w:sz w:val="6"/>
                <w:szCs w:val="6"/>
                <w:color w:val="auto"/>
              </w:rPr>
            </w:pPr>
          </w:p>
        </w:tc>
        <w:tc>
          <w:tcPr>
            <w:tcW w:w="6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rPr>
              <w:t>NRG West Holdings LLC and Credit Agricole Corporate and Investment Bank.</w:t>
            </w:r>
          </w:p>
        </w:tc>
        <w:tc>
          <w:tcPr>
            <w:tcW w:w="0" w:type="dxa"/>
            <w:vAlign w:val="bottom"/>
          </w:tcPr>
          <w:p>
            <w:pPr>
              <w:spacing w:after="0"/>
              <w:rPr>
                <w:sz w:val="1"/>
                <w:szCs w:val="1"/>
                <w:color w:val="auto"/>
              </w:rPr>
            </w:pPr>
          </w:p>
        </w:tc>
      </w:tr>
      <w:tr>
        <w:trPr>
          <w:trHeight w:val="338"/>
        </w:trPr>
        <w:tc>
          <w:tcPr>
            <w:tcW w:w="760" w:type="dxa"/>
            <w:vAlign w:val="bottom"/>
          </w:tcPr>
          <w:p>
            <w:pPr>
              <w:jc w:val="right"/>
              <w:ind w:right="199"/>
              <w:spacing w:after="0"/>
              <w:rPr>
                <w:sz w:val="20"/>
                <w:szCs w:val="20"/>
                <w:color w:val="auto"/>
              </w:rPr>
            </w:pPr>
            <w:r>
              <w:rPr>
                <w:rFonts w:ascii="Arial" w:cs="Arial" w:eastAsia="Arial" w:hAnsi="Arial"/>
                <w:sz w:val="16"/>
                <w:szCs w:val="16"/>
                <w:color w:val="auto"/>
                <w:w w:val="86"/>
              </w:rPr>
              <w:t>10.19.5</w:t>
            </w:r>
          </w:p>
        </w:tc>
        <w:tc>
          <w:tcPr>
            <w:tcW w:w="6120" w:type="dxa"/>
            <w:vAlign w:val="bottom"/>
            <w:vMerge w:val="restart"/>
          </w:tcPr>
          <w:p>
            <w:pPr>
              <w:ind w:left="280"/>
              <w:spacing w:after="0"/>
              <w:rPr>
                <w:sz w:val="20"/>
                <w:szCs w:val="20"/>
                <w:color w:val="auto"/>
              </w:rPr>
            </w:pPr>
            <w:r>
              <w:rPr>
                <w:rFonts w:ascii="Arial" w:cs="Arial" w:eastAsia="Arial" w:hAnsi="Arial"/>
                <w:sz w:val="16"/>
                <w:szCs w:val="16"/>
                <w:color w:val="auto"/>
                <w:w w:val="99"/>
              </w:rPr>
              <w:t>Amendment No. 4 to the Credit Agreement and Amendment No. 1 to the Collateral</w:t>
            </w:r>
          </w:p>
        </w:tc>
        <w:tc>
          <w:tcPr>
            <w:tcW w:w="0" w:type="dxa"/>
            <w:vAlign w:val="bottom"/>
          </w:tcPr>
          <w:p>
            <w:pPr>
              <w:spacing w:after="0"/>
              <w:rPr>
                <w:sz w:val="1"/>
                <w:szCs w:val="1"/>
                <w:color w:val="auto"/>
              </w:rPr>
            </w:pPr>
          </w:p>
        </w:tc>
      </w:tr>
      <w:tr>
        <w:trPr>
          <w:trHeight w:val="77"/>
        </w:trPr>
        <w:tc>
          <w:tcPr>
            <w:tcW w:w="760" w:type="dxa"/>
            <w:vAlign w:val="bottom"/>
          </w:tcPr>
          <w:p>
            <w:pPr>
              <w:spacing w:after="0"/>
              <w:rPr>
                <w:sz w:val="6"/>
                <w:szCs w:val="6"/>
                <w:color w:val="auto"/>
              </w:rPr>
            </w:pPr>
          </w:p>
        </w:tc>
        <w:tc>
          <w:tcPr>
            <w:tcW w:w="6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w w:val="97"/>
              </w:rPr>
              <w:t>Agreement, dated as of May 16, 2014, by and between NRG West Holdings LLC, El</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rPr>
              <w:t>Segundo Energy Center LLC and Credit Agricole Corporate and Investment Bank.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both"/>
        <w:spacing w:after="0" w:line="369" w:lineRule="auto"/>
        <w:rPr>
          <w:sz w:val="20"/>
          <w:szCs w:val="20"/>
          <w:color w:val="auto"/>
        </w:rPr>
      </w:pPr>
      <w:r>
        <w:rPr>
          <w:rFonts w:ascii="Arial" w:cs="Arial" w:eastAsia="Arial" w:hAnsi="Arial"/>
          <w:sz w:val="14"/>
          <w:szCs w:val="14"/>
          <w:color w:val="auto"/>
        </w:rPr>
        <w:t>Incorporated herein by reference to Exhibit 10.17 to NRG Yield, Inc.'s Registration Statement on Form S-1 filed on June 7, 2013.</w:t>
      </w:r>
    </w:p>
    <w:p>
      <w:pPr>
        <w:spacing w:after="0" w:line="167" w:lineRule="exact"/>
        <w:rPr>
          <w:sz w:val="20"/>
          <w:szCs w:val="20"/>
          <w:color w:val="auto"/>
        </w:rPr>
      </w:pPr>
    </w:p>
    <w:p>
      <w:pPr>
        <w:ind w:right="80"/>
        <w:spacing w:after="0" w:line="342" w:lineRule="auto"/>
        <w:rPr>
          <w:sz w:val="20"/>
          <w:szCs w:val="20"/>
          <w:color w:val="auto"/>
        </w:rPr>
      </w:pPr>
      <w:r>
        <w:rPr>
          <w:rFonts w:ascii="Arial" w:cs="Arial" w:eastAsia="Arial" w:hAnsi="Arial"/>
          <w:sz w:val="14"/>
          <w:szCs w:val="14"/>
          <w:color w:val="auto"/>
        </w:rPr>
        <w:t>Incorporated herein by reference to Exhibit 10.5 to NRG Yield, Inc.'s Current Report on Form 8-K filed on May 15, 2015.</w:t>
      </w:r>
    </w:p>
    <w:p>
      <w:pPr>
        <w:spacing w:after="0" w:line="278" w:lineRule="auto"/>
        <w:rPr>
          <w:sz w:val="20"/>
          <w:szCs w:val="20"/>
          <w:color w:val="auto"/>
        </w:rPr>
      </w:pPr>
      <w:r>
        <w:rPr>
          <w:rFonts w:ascii="Arial" w:cs="Arial" w:eastAsia="Arial" w:hAnsi="Arial"/>
          <w:sz w:val="16"/>
          <w:szCs w:val="16"/>
          <w:color w:val="auto"/>
        </w:rPr>
        <w:t>Incorporated herein by reference to Exhibit 10.20 to NRG Yield, Inc.'s Registration Statement on Form S-1/A filed on June 21, 2013.</w:t>
      </w:r>
    </w:p>
    <w:p>
      <w:pPr>
        <w:spacing w:after="0" w:line="22" w:lineRule="exact"/>
        <w:rPr>
          <w:sz w:val="20"/>
          <w:szCs w:val="20"/>
          <w:color w:val="auto"/>
        </w:rPr>
      </w:pPr>
    </w:p>
    <w:p>
      <w:pPr>
        <w:ind w:right="140"/>
        <w:spacing w:after="0" w:line="329" w:lineRule="auto"/>
        <w:rPr>
          <w:sz w:val="20"/>
          <w:szCs w:val="20"/>
          <w:color w:val="auto"/>
        </w:rPr>
      </w:pPr>
      <w:r>
        <w:rPr>
          <w:rFonts w:ascii="Arial" w:cs="Arial" w:eastAsia="Arial" w:hAnsi="Arial"/>
          <w:sz w:val="15"/>
          <w:szCs w:val="15"/>
          <w:color w:val="auto"/>
        </w:rPr>
        <w:t>Incorporated by reference to Exhibit 10.1 to NRG Yield, Inc.'s Current Report on Form 8-K filed on April 28, 2014.</w:t>
      </w:r>
    </w:p>
    <w:p>
      <w:pPr>
        <w:spacing w:after="0" w:line="200" w:lineRule="exact"/>
        <w:rPr>
          <w:sz w:val="20"/>
          <w:szCs w:val="20"/>
          <w:color w:val="auto"/>
        </w:rPr>
      </w:pPr>
    </w:p>
    <w:p>
      <w:pPr>
        <w:spacing w:after="0" w:line="394" w:lineRule="exact"/>
        <w:rPr>
          <w:sz w:val="20"/>
          <w:szCs w:val="20"/>
          <w:color w:val="auto"/>
        </w:rPr>
      </w:pPr>
    </w:p>
    <w:p>
      <w:pPr>
        <w:jc w:val="both"/>
        <w:ind w:right="80"/>
        <w:spacing w:after="0" w:line="369" w:lineRule="auto"/>
        <w:rPr>
          <w:sz w:val="20"/>
          <w:szCs w:val="20"/>
          <w:color w:val="auto"/>
        </w:rPr>
      </w:pPr>
      <w:r>
        <w:rPr>
          <w:rFonts w:ascii="Arial" w:cs="Arial" w:eastAsia="Arial" w:hAnsi="Arial"/>
          <w:sz w:val="14"/>
          <w:szCs w:val="14"/>
          <w:color w:val="auto"/>
        </w:rPr>
        <w:t>Incorporated herein by reference to Exhibit 10.9 to NRG Yield, Inc.'s Quarterly Report on Form 10-Q filed on August 4, 2015.</w:t>
      </w:r>
    </w:p>
    <w:p>
      <w:pPr>
        <w:spacing w:after="0" w:line="200" w:lineRule="exact"/>
        <w:rPr>
          <w:sz w:val="20"/>
          <w:szCs w:val="20"/>
          <w:color w:val="auto"/>
        </w:rPr>
      </w:pPr>
    </w:p>
    <w:p>
      <w:pPr>
        <w:spacing w:after="0" w:line="331" w:lineRule="exact"/>
        <w:rPr>
          <w:sz w:val="20"/>
          <w:szCs w:val="20"/>
          <w:color w:val="auto"/>
        </w:rPr>
      </w:pPr>
    </w:p>
    <w:p>
      <w:pPr>
        <w:jc w:val="both"/>
        <w:ind w:right="80"/>
        <w:spacing w:after="0" w:line="369" w:lineRule="auto"/>
        <w:rPr>
          <w:sz w:val="20"/>
          <w:szCs w:val="20"/>
          <w:color w:val="auto"/>
        </w:rPr>
      </w:pPr>
      <w:r>
        <w:rPr>
          <w:rFonts w:ascii="Arial" w:cs="Arial" w:eastAsia="Arial" w:hAnsi="Arial"/>
          <w:sz w:val="14"/>
          <w:szCs w:val="14"/>
          <w:color w:val="auto"/>
        </w:rPr>
        <w:t>Incorporated herein by reference to Exhibit 10.2 to NRG Yield, Inc.'s Quarterly Report on Form 10-Q filed on August 7, 2014.</w:t>
      </w:r>
    </w:p>
    <w:p>
      <w:pPr>
        <w:spacing w:after="0" w:line="369" w:lineRule="exact"/>
        <w:rPr>
          <w:sz w:val="20"/>
          <w:szCs w:val="20"/>
          <w:color w:val="auto"/>
        </w:rPr>
      </w:pPr>
    </w:p>
    <w:p>
      <w:pPr>
        <w:jc w:val="both"/>
        <w:ind w:right="80"/>
        <w:spacing w:after="0" w:line="342" w:lineRule="auto"/>
        <w:rPr>
          <w:sz w:val="20"/>
          <w:szCs w:val="20"/>
          <w:color w:val="auto"/>
        </w:rPr>
      </w:pPr>
      <w:r>
        <w:rPr>
          <w:rFonts w:ascii="Arial" w:cs="Arial" w:eastAsia="Arial" w:hAnsi="Arial"/>
          <w:sz w:val="14"/>
          <w:szCs w:val="14"/>
          <w:color w:val="auto"/>
        </w:rPr>
        <w:t>Incorporated herein by reference to Exhibit 10.3 to NRG Yield, Inc.'s Quarterly Report on Form 10-Q filed on August 7, 2014.</w:t>
      </w:r>
    </w:p>
    <w:p>
      <w:pPr>
        <w:jc w:val="both"/>
        <w:ind w:right="80"/>
        <w:spacing w:after="0" w:line="342" w:lineRule="auto"/>
        <w:rPr>
          <w:sz w:val="20"/>
          <w:szCs w:val="20"/>
          <w:color w:val="auto"/>
        </w:rPr>
      </w:pPr>
      <w:r>
        <w:rPr>
          <w:rFonts w:ascii="Arial" w:cs="Arial" w:eastAsia="Arial" w:hAnsi="Arial"/>
          <w:sz w:val="14"/>
          <w:szCs w:val="14"/>
          <w:color w:val="auto"/>
        </w:rPr>
        <w:t>Incorporated herein by reference to Exhibit 10.4 to NRG Yield, Inc.'s Quarterly Report on Form 10-Q filed on August 7, 2014.</w:t>
      </w:r>
    </w:p>
    <w:p>
      <w:pPr>
        <w:jc w:val="both"/>
        <w:ind w:right="80"/>
        <w:spacing w:after="0" w:line="369" w:lineRule="auto"/>
        <w:rPr>
          <w:sz w:val="20"/>
          <w:szCs w:val="20"/>
          <w:color w:val="auto"/>
        </w:rPr>
      </w:pPr>
      <w:r>
        <w:rPr>
          <w:rFonts w:ascii="Arial" w:cs="Arial" w:eastAsia="Arial" w:hAnsi="Arial"/>
          <w:sz w:val="14"/>
          <w:szCs w:val="14"/>
          <w:color w:val="auto"/>
        </w:rPr>
        <w:t>Incorporated herein by reference to Exhibit 10.6 to NRG Yield, Inc.'s Quarterly Report on Form 10-Q filed on August 4, 2015.</w:t>
      </w:r>
    </w:p>
    <w:p>
      <w:pPr>
        <w:spacing w:after="0" w:line="126" w:lineRule="exact"/>
        <w:rPr>
          <w:sz w:val="20"/>
          <w:szCs w:val="20"/>
          <w:color w:val="auto"/>
        </w:rPr>
      </w:pPr>
    </w:p>
    <w:p>
      <w:pPr>
        <w:jc w:val="both"/>
        <w:ind w:right="80"/>
        <w:spacing w:after="0" w:line="369" w:lineRule="auto"/>
        <w:rPr>
          <w:sz w:val="20"/>
          <w:szCs w:val="20"/>
          <w:color w:val="auto"/>
        </w:rPr>
      </w:pPr>
      <w:r>
        <w:rPr>
          <w:rFonts w:ascii="Arial" w:cs="Arial" w:eastAsia="Arial" w:hAnsi="Arial"/>
          <w:sz w:val="14"/>
          <w:szCs w:val="14"/>
          <w:color w:val="auto"/>
        </w:rPr>
        <w:t>Incorporated herein by reference to Exhibit 10.7 to NRG Yield, Inc.'s Quarterly Report on Form 10-Q filed on August 4, 2015.</w:t>
      </w:r>
    </w:p>
    <w:p>
      <w:pPr>
        <w:spacing w:after="0" w:line="328" w:lineRule="exact"/>
        <w:rPr>
          <w:sz w:val="20"/>
          <w:szCs w:val="20"/>
          <w:color w:val="auto"/>
        </w:rPr>
      </w:pPr>
    </w:p>
    <w:p>
      <w:pPr>
        <w:sectPr>
          <w:pgSz w:w="11900" w:h="16838" w:orient="portrait"/>
          <w:cols w:equalWidth="0" w:num="2">
            <w:col w:w="6880" w:space="200"/>
            <w:col w:w="4180"/>
          </w:cols>
          <w:pgMar w:left="280" w:top="1048" w:right="359" w:bottom="1440" w:gutter="0" w:footer="0" w:header="0"/>
        </w:sectPr>
      </w:pPr>
    </w:p>
    <w:tbl>
      <w:tblPr>
        <w:tblLayout w:type="fixed"/>
        <w:tblInd w:w="0" w:type="dxa"/>
        <w:tblCellMar>
          <w:top w:w="0" w:type="dxa"/>
          <w:left w:w="0" w:type="dxa"/>
          <w:bottom w:w="0" w:type="dxa"/>
          <w:right w:w="0" w:type="dxa"/>
        </w:tblCellMar>
      </w:tblPr>
      <w:tr>
        <w:trPr>
          <w:trHeight w:val="206"/>
        </w:trPr>
        <w:tc>
          <w:tcPr>
            <w:tcW w:w="780" w:type="dxa"/>
            <w:vAlign w:val="bottom"/>
          </w:tcPr>
          <w:p>
            <w:pPr>
              <w:spacing w:after="0"/>
              <w:rPr>
                <w:sz w:val="20"/>
                <w:szCs w:val="20"/>
                <w:color w:val="auto"/>
              </w:rPr>
            </w:pPr>
            <w:r>
              <w:rPr>
                <w:rFonts w:ascii="Arial" w:cs="Arial" w:eastAsia="Arial" w:hAnsi="Arial"/>
                <w:sz w:val="16"/>
                <w:szCs w:val="16"/>
                <w:color w:val="auto"/>
              </w:rPr>
              <w:t>10.19.6</w:t>
            </w:r>
          </w:p>
        </w:tc>
        <w:tc>
          <w:tcPr>
            <w:tcW w:w="6020" w:type="dxa"/>
            <w:vAlign w:val="bottom"/>
            <w:vMerge w:val="restart"/>
          </w:tcPr>
          <w:p>
            <w:pPr>
              <w:ind w:left="260"/>
              <w:spacing w:after="0"/>
              <w:rPr>
                <w:sz w:val="20"/>
                <w:szCs w:val="20"/>
                <w:color w:val="auto"/>
              </w:rPr>
            </w:pPr>
            <w:r>
              <w:rPr>
                <w:rFonts w:ascii="Arial" w:cs="Arial" w:eastAsia="Arial" w:hAnsi="Arial"/>
                <w:sz w:val="16"/>
                <w:szCs w:val="16"/>
                <w:color w:val="auto"/>
                <w:w w:val="93"/>
              </w:rPr>
              <w:t>Amendment No. 5 to the Credit Agreement, dated as of May 29, 2015, by and between</w:t>
            </w:r>
          </w:p>
        </w:tc>
        <w:tc>
          <w:tcPr>
            <w:tcW w:w="0" w:type="dxa"/>
            <w:vAlign w:val="bottom"/>
          </w:tcPr>
          <w:p>
            <w:pPr>
              <w:spacing w:after="0"/>
              <w:rPr>
                <w:sz w:val="1"/>
                <w:szCs w:val="1"/>
                <w:color w:val="auto"/>
              </w:rPr>
            </w:pPr>
          </w:p>
        </w:tc>
      </w:tr>
      <w:tr>
        <w:trPr>
          <w:trHeight w:val="77"/>
        </w:trPr>
        <w:tc>
          <w:tcPr>
            <w:tcW w:w="780" w:type="dxa"/>
            <w:vAlign w:val="bottom"/>
          </w:tcPr>
          <w:p>
            <w:pPr>
              <w:spacing w:after="0"/>
              <w:rPr>
                <w:sz w:val="6"/>
                <w:szCs w:val="6"/>
                <w:color w:val="auto"/>
              </w:rPr>
            </w:pPr>
          </w:p>
        </w:tc>
        <w:tc>
          <w:tcPr>
            <w:tcW w:w="6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6020" w:type="dxa"/>
            <w:vAlign w:val="bottom"/>
          </w:tcPr>
          <w:p>
            <w:pPr>
              <w:ind w:left="260"/>
              <w:spacing w:after="0"/>
              <w:rPr>
                <w:sz w:val="20"/>
                <w:szCs w:val="20"/>
                <w:color w:val="auto"/>
              </w:rPr>
            </w:pPr>
            <w:r>
              <w:rPr>
                <w:rFonts w:ascii="Arial" w:cs="Arial" w:eastAsia="Arial" w:hAnsi="Arial"/>
                <w:sz w:val="16"/>
                <w:szCs w:val="16"/>
                <w:color w:val="auto"/>
              </w:rPr>
              <w:t>NRG West Holdings LLC and ING Capital LLC.</w:t>
            </w:r>
          </w:p>
        </w:tc>
        <w:tc>
          <w:tcPr>
            <w:tcW w:w="0" w:type="dxa"/>
            <w:vAlign w:val="bottom"/>
          </w:tcPr>
          <w:p>
            <w:pPr>
              <w:spacing w:after="0"/>
              <w:rPr>
                <w:sz w:val="1"/>
                <w:szCs w:val="1"/>
                <w:color w:val="auto"/>
              </w:rPr>
            </w:pPr>
          </w:p>
        </w:tc>
      </w:tr>
      <w:tr>
        <w:trPr>
          <w:trHeight w:val="536"/>
        </w:trPr>
        <w:tc>
          <w:tcPr>
            <w:tcW w:w="780" w:type="dxa"/>
            <w:vAlign w:val="bottom"/>
          </w:tcPr>
          <w:p>
            <w:pPr>
              <w:spacing w:after="0"/>
              <w:rPr>
                <w:sz w:val="20"/>
                <w:szCs w:val="20"/>
                <w:color w:val="auto"/>
              </w:rPr>
            </w:pPr>
            <w:r>
              <w:rPr>
                <w:rFonts w:ascii="Arial" w:cs="Arial" w:eastAsia="Arial" w:hAnsi="Arial"/>
                <w:sz w:val="16"/>
                <w:szCs w:val="16"/>
                <w:color w:val="auto"/>
              </w:rPr>
              <w:t>10.20.1</w:t>
            </w:r>
          </w:p>
        </w:tc>
        <w:tc>
          <w:tcPr>
            <w:tcW w:w="6020" w:type="dxa"/>
            <w:vAlign w:val="bottom"/>
          </w:tcPr>
          <w:p>
            <w:pPr>
              <w:ind w:left="260"/>
              <w:spacing w:after="0"/>
              <w:rPr>
                <w:sz w:val="20"/>
                <w:szCs w:val="20"/>
                <w:color w:val="auto"/>
              </w:rPr>
            </w:pPr>
            <w:r>
              <w:rPr>
                <w:rFonts w:ascii="Arial" w:cs="Arial" w:eastAsia="Arial" w:hAnsi="Arial"/>
                <w:sz w:val="16"/>
                <w:szCs w:val="16"/>
                <w:color w:val="auto"/>
                <w:w w:val="96"/>
              </w:rPr>
              <w:t>Amended and Restated Credit Agreement, dated July 17, 2014, by and among NRG</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6020" w:type="dxa"/>
            <w:vAlign w:val="bottom"/>
          </w:tcPr>
          <w:p>
            <w:pPr>
              <w:ind w:left="260"/>
              <w:spacing w:after="0"/>
              <w:rPr>
                <w:sz w:val="20"/>
                <w:szCs w:val="20"/>
                <w:color w:val="auto"/>
              </w:rPr>
            </w:pPr>
            <w:r>
              <w:rPr>
                <w:rFonts w:ascii="Arial" w:cs="Arial" w:eastAsia="Arial" w:hAnsi="Arial"/>
                <w:sz w:val="16"/>
                <w:szCs w:val="16"/>
                <w:color w:val="auto"/>
                <w:w w:val="94"/>
              </w:rPr>
              <w:t>Marsh Landing LLC, The Royal Bank of Scotland Plc, Deutsche Bank Trust Company</w:t>
            </w: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6020" w:type="dxa"/>
            <w:vAlign w:val="bottom"/>
          </w:tcPr>
          <w:p>
            <w:pPr>
              <w:ind w:left="260"/>
              <w:spacing w:after="0"/>
              <w:rPr>
                <w:sz w:val="20"/>
                <w:szCs w:val="20"/>
                <w:color w:val="auto"/>
              </w:rPr>
            </w:pPr>
            <w:r>
              <w:rPr>
                <w:rFonts w:ascii="Arial" w:cs="Arial" w:eastAsia="Arial" w:hAnsi="Arial"/>
                <w:sz w:val="16"/>
                <w:szCs w:val="16"/>
                <w:color w:val="auto"/>
              </w:rPr>
              <w:t>Americas and the lenders party thereto.</w:t>
            </w:r>
          </w:p>
        </w:tc>
        <w:tc>
          <w:tcPr>
            <w:tcW w:w="0" w:type="dxa"/>
            <w:vAlign w:val="bottom"/>
          </w:tcPr>
          <w:p>
            <w:pPr>
              <w:spacing w:after="0"/>
              <w:rPr>
                <w:sz w:val="1"/>
                <w:szCs w:val="1"/>
                <w:color w:val="auto"/>
              </w:rPr>
            </w:pPr>
          </w:p>
        </w:tc>
      </w:tr>
      <w:tr>
        <w:trPr>
          <w:trHeight w:val="253"/>
        </w:trPr>
        <w:tc>
          <w:tcPr>
            <w:tcW w:w="780" w:type="dxa"/>
            <w:vAlign w:val="bottom"/>
          </w:tcPr>
          <w:p>
            <w:pPr>
              <w:spacing w:after="0"/>
              <w:rPr>
                <w:sz w:val="20"/>
                <w:szCs w:val="20"/>
                <w:color w:val="auto"/>
              </w:rPr>
            </w:pPr>
            <w:r>
              <w:rPr>
                <w:rFonts w:ascii="Arial" w:cs="Arial" w:eastAsia="Arial" w:hAnsi="Arial"/>
                <w:sz w:val="16"/>
                <w:szCs w:val="16"/>
                <w:color w:val="auto"/>
              </w:rPr>
              <w:t>10.20.2</w:t>
            </w:r>
          </w:p>
        </w:tc>
        <w:tc>
          <w:tcPr>
            <w:tcW w:w="6020" w:type="dxa"/>
            <w:vAlign w:val="bottom"/>
          </w:tcPr>
          <w:p>
            <w:pPr>
              <w:ind w:left="260"/>
              <w:spacing w:after="0"/>
              <w:rPr>
                <w:sz w:val="20"/>
                <w:szCs w:val="20"/>
                <w:color w:val="auto"/>
              </w:rPr>
            </w:pPr>
            <w:r>
              <w:rPr>
                <w:rFonts w:ascii="Arial" w:cs="Arial" w:eastAsia="Arial" w:hAnsi="Arial"/>
                <w:sz w:val="16"/>
                <w:szCs w:val="16"/>
                <w:color w:val="auto"/>
                <w:w w:val="99"/>
              </w:rPr>
              <w:t>First Amendment to the Credit Agreement and Collateral Agency and Intercreditor</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6020" w:type="dxa"/>
            <w:vAlign w:val="bottom"/>
          </w:tcPr>
          <w:p>
            <w:pPr>
              <w:ind w:left="260"/>
              <w:spacing w:after="0"/>
              <w:rPr>
                <w:sz w:val="20"/>
                <w:szCs w:val="20"/>
                <w:color w:val="auto"/>
              </w:rPr>
            </w:pPr>
            <w:r>
              <w:rPr>
                <w:rFonts w:ascii="Arial" w:cs="Arial" w:eastAsia="Arial" w:hAnsi="Arial"/>
                <w:sz w:val="16"/>
                <w:szCs w:val="16"/>
                <w:color w:val="auto"/>
                <w:w w:val="95"/>
              </w:rPr>
              <w:t>Agreement, dated July 17, 2014, by and among NRG Marsh Landing LLC, The Royal</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6020" w:type="dxa"/>
            <w:vAlign w:val="bottom"/>
          </w:tcPr>
          <w:p>
            <w:pPr>
              <w:ind w:left="260"/>
              <w:spacing w:after="0"/>
              <w:rPr>
                <w:sz w:val="20"/>
                <w:szCs w:val="20"/>
                <w:color w:val="auto"/>
              </w:rPr>
            </w:pPr>
            <w:r>
              <w:rPr>
                <w:rFonts w:ascii="Arial" w:cs="Arial" w:eastAsia="Arial" w:hAnsi="Arial"/>
                <w:sz w:val="16"/>
                <w:szCs w:val="16"/>
                <w:color w:val="auto"/>
                <w:w w:val="94"/>
              </w:rPr>
              <w:t>Bank of Scotland Plc, Deutsche Bank Trust Company Americas and the lenders party</w:t>
            </w: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6020" w:type="dxa"/>
            <w:vAlign w:val="bottom"/>
          </w:tcPr>
          <w:p>
            <w:pPr>
              <w:ind w:left="260"/>
              <w:spacing w:after="0"/>
              <w:rPr>
                <w:sz w:val="20"/>
                <w:szCs w:val="20"/>
                <w:color w:val="auto"/>
              </w:rPr>
            </w:pPr>
            <w:r>
              <w:rPr>
                <w:rFonts w:ascii="Arial" w:cs="Arial" w:eastAsia="Arial" w:hAnsi="Arial"/>
                <w:sz w:val="16"/>
                <w:szCs w:val="16"/>
                <w:color w:val="auto"/>
              </w:rPr>
              <w:t>thereto.</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0"/>
                <w:szCs w:val="20"/>
                <w:color w:val="auto"/>
              </w:rPr>
            </w:pPr>
            <w:r>
              <w:rPr>
                <w:rFonts w:ascii="Arial" w:cs="Arial" w:eastAsia="Arial" w:hAnsi="Arial"/>
                <w:sz w:val="16"/>
                <w:szCs w:val="16"/>
                <w:color w:val="auto"/>
              </w:rPr>
              <w:t>10.21^</w:t>
            </w:r>
          </w:p>
        </w:tc>
        <w:tc>
          <w:tcPr>
            <w:tcW w:w="6020" w:type="dxa"/>
            <w:vAlign w:val="bottom"/>
            <w:vMerge w:val="restart"/>
          </w:tcPr>
          <w:p>
            <w:pPr>
              <w:ind w:left="260"/>
              <w:spacing w:after="0"/>
              <w:rPr>
                <w:sz w:val="20"/>
                <w:szCs w:val="20"/>
                <w:color w:val="auto"/>
              </w:rPr>
            </w:pPr>
            <w:r>
              <w:rPr>
                <w:rFonts w:ascii="Arial" w:cs="Arial" w:eastAsia="Arial" w:hAnsi="Arial"/>
                <w:sz w:val="16"/>
                <w:szCs w:val="16"/>
                <w:color w:val="auto"/>
                <w:w w:val="95"/>
              </w:rPr>
              <w:t>Amended and Restated Limited Liability Company Agreement of NRG RPV Holdco 1</w:t>
            </w:r>
          </w:p>
        </w:tc>
        <w:tc>
          <w:tcPr>
            <w:tcW w:w="0" w:type="dxa"/>
            <w:vAlign w:val="bottom"/>
          </w:tcPr>
          <w:p>
            <w:pPr>
              <w:spacing w:after="0"/>
              <w:rPr>
                <w:sz w:val="1"/>
                <w:szCs w:val="1"/>
                <w:color w:val="auto"/>
              </w:rPr>
            </w:pPr>
          </w:p>
        </w:tc>
      </w:tr>
      <w:tr>
        <w:trPr>
          <w:trHeight w:val="77"/>
        </w:trPr>
        <w:tc>
          <w:tcPr>
            <w:tcW w:w="780" w:type="dxa"/>
            <w:vAlign w:val="bottom"/>
          </w:tcPr>
          <w:p>
            <w:pPr>
              <w:spacing w:after="0"/>
              <w:rPr>
                <w:sz w:val="6"/>
                <w:szCs w:val="6"/>
                <w:color w:val="auto"/>
              </w:rPr>
            </w:pPr>
          </w:p>
        </w:tc>
        <w:tc>
          <w:tcPr>
            <w:tcW w:w="6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6020" w:type="dxa"/>
            <w:vAlign w:val="bottom"/>
          </w:tcPr>
          <w:p>
            <w:pPr>
              <w:ind w:left="260"/>
              <w:spacing w:after="0"/>
              <w:rPr>
                <w:sz w:val="20"/>
                <w:szCs w:val="20"/>
                <w:color w:val="auto"/>
              </w:rPr>
            </w:pPr>
            <w:r>
              <w:rPr>
                <w:rFonts w:ascii="Arial" w:cs="Arial" w:eastAsia="Arial" w:hAnsi="Arial"/>
                <w:sz w:val="16"/>
                <w:szCs w:val="16"/>
                <w:color w:val="auto"/>
              </w:rPr>
              <w:t>LLC, dated as of April 9, 2015.</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Arial" w:cs="Arial" w:eastAsia="Arial" w:hAnsi="Arial"/>
                <w:sz w:val="16"/>
                <w:szCs w:val="16"/>
                <w:color w:val="auto"/>
              </w:rPr>
              <w:t>10.22^</w:t>
            </w:r>
          </w:p>
        </w:tc>
        <w:tc>
          <w:tcPr>
            <w:tcW w:w="6020" w:type="dxa"/>
            <w:vAlign w:val="bottom"/>
            <w:vMerge w:val="restart"/>
          </w:tcPr>
          <w:p>
            <w:pPr>
              <w:ind w:left="260"/>
              <w:spacing w:after="0"/>
              <w:rPr>
                <w:sz w:val="20"/>
                <w:szCs w:val="20"/>
                <w:color w:val="auto"/>
              </w:rPr>
            </w:pPr>
            <w:r>
              <w:rPr>
                <w:rFonts w:ascii="Arial" w:cs="Arial" w:eastAsia="Arial" w:hAnsi="Arial"/>
                <w:sz w:val="16"/>
                <w:szCs w:val="16"/>
                <w:color w:val="auto"/>
                <w:w w:val="93"/>
              </w:rPr>
              <w:t>Amended and Restated Limited Liability Company Agreement of NRG DGPV Holdco 1</w:t>
            </w:r>
          </w:p>
        </w:tc>
        <w:tc>
          <w:tcPr>
            <w:tcW w:w="0" w:type="dxa"/>
            <w:vAlign w:val="bottom"/>
          </w:tcPr>
          <w:p>
            <w:pPr>
              <w:spacing w:after="0"/>
              <w:rPr>
                <w:sz w:val="1"/>
                <w:szCs w:val="1"/>
                <w:color w:val="auto"/>
              </w:rPr>
            </w:pPr>
          </w:p>
        </w:tc>
      </w:tr>
      <w:tr>
        <w:trPr>
          <w:trHeight w:val="77"/>
        </w:trPr>
        <w:tc>
          <w:tcPr>
            <w:tcW w:w="780" w:type="dxa"/>
            <w:vAlign w:val="bottom"/>
          </w:tcPr>
          <w:p>
            <w:pPr>
              <w:spacing w:after="0"/>
              <w:rPr>
                <w:sz w:val="6"/>
                <w:szCs w:val="6"/>
                <w:color w:val="auto"/>
              </w:rPr>
            </w:pPr>
          </w:p>
        </w:tc>
        <w:tc>
          <w:tcPr>
            <w:tcW w:w="6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6020" w:type="dxa"/>
            <w:vAlign w:val="bottom"/>
          </w:tcPr>
          <w:p>
            <w:pPr>
              <w:ind w:left="260"/>
              <w:spacing w:after="0"/>
              <w:rPr>
                <w:sz w:val="20"/>
                <w:szCs w:val="20"/>
                <w:color w:val="auto"/>
              </w:rPr>
            </w:pPr>
            <w:r>
              <w:rPr>
                <w:rFonts w:ascii="Arial" w:cs="Arial" w:eastAsia="Arial" w:hAnsi="Arial"/>
                <w:sz w:val="16"/>
                <w:szCs w:val="16"/>
                <w:color w:val="auto"/>
              </w:rPr>
              <w:t>LLC, dated as of May 8, 2015.</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Arial" w:cs="Arial" w:eastAsia="Arial" w:hAnsi="Arial"/>
                <w:sz w:val="16"/>
                <w:szCs w:val="16"/>
                <w:color w:val="auto"/>
              </w:rPr>
              <w:t>12.1</w:t>
            </w:r>
          </w:p>
        </w:tc>
        <w:tc>
          <w:tcPr>
            <w:tcW w:w="6020" w:type="dxa"/>
            <w:vAlign w:val="bottom"/>
          </w:tcPr>
          <w:p>
            <w:pPr>
              <w:ind w:left="260"/>
              <w:spacing w:after="0"/>
              <w:rPr>
                <w:sz w:val="20"/>
                <w:szCs w:val="20"/>
                <w:color w:val="auto"/>
              </w:rPr>
            </w:pPr>
            <w:r>
              <w:rPr>
                <w:rFonts w:ascii="Arial" w:cs="Arial" w:eastAsia="Arial" w:hAnsi="Arial"/>
                <w:sz w:val="16"/>
                <w:szCs w:val="16"/>
                <w:color w:val="auto"/>
              </w:rPr>
              <w:t>Computation of Ratio of Earnings to Fixed Charges.</w:t>
            </w:r>
          </w:p>
        </w:tc>
        <w:tc>
          <w:tcPr>
            <w:tcW w:w="0" w:type="dxa"/>
            <w:vAlign w:val="bottom"/>
          </w:tcPr>
          <w:p>
            <w:pPr>
              <w:spacing w:after="0"/>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6"/>
                <w:szCs w:val="16"/>
                <w:color w:val="auto"/>
              </w:rPr>
              <w:t>21.1</w:t>
            </w:r>
          </w:p>
        </w:tc>
        <w:tc>
          <w:tcPr>
            <w:tcW w:w="6020" w:type="dxa"/>
            <w:vAlign w:val="bottom"/>
          </w:tcPr>
          <w:p>
            <w:pPr>
              <w:ind w:left="260"/>
              <w:spacing w:after="0"/>
              <w:rPr>
                <w:sz w:val="20"/>
                <w:szCs w:val="20"/>
                <w:color w:val="auto"/>
              </w:rPr>
            </w:pPr>
            <w:r>
              <w:rPr>
                <w:rFonts w:ascii="Arial" w:cs="Arial" w:eastAsia="Arial" w:hAnsi="Arial"/>
                <w:sz w:val="16"/>
                <w:szCs w:val="16"/>
                <w:color w:val="auto"/>
              </w:rPr>
              <w:t>Subsidiaries of NRG Yield LLC.</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6"/>
                <w:szCs w:val="16"/>
                <w:color w:val="auto"/>
              </w:rPr>
              <w:t>31.1</w:t>
            </w:r>
          </w:p>
        </w:tc>
        <w:tc>
          <w:tcPr>
            <w:tcW w:w="6020" w:type="dxa"/>
            <w:vAlign w:val="bottom"/>
          </w:tcPr>
          <w:p>
            <w:pPr>
              <w:ind w:left="260"/>
              <w:spacing w:after="0"/>
              <w:rPr>
                <w:sz w:val="20"/>
                <w:szCs w:val="20"/>
                <w:color w:val="auto"/>
              </w:rPr>
            </w:pPr>
            <w:r>
              <w:rPr>
                <w:rFonts w:ascii="Arial" w:cs="Arial" w:eastAsia="Arial" w:hAnsi="Arial"/>
                <w:sz w:val="16"/>
                <w:szCs w:val="16"/>
                <w:color w:val="auto"/>
              </w:rPr>
              <w:t>Rule 13a-14(a)/15d-14(a) certification of Mauricio Gutierrez.</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6"/>
                <w:szCs w:val="16"/>
                <w:color w:val="auto"/>
              </w:rPr>
              <w:t>31.2</w:t>
            </w:r>
          </w:p>
        </w:tc>
        <w:tc>
          <w:tcPr>
            <w:tcW w:w="6020" w:type="dxa"/>
            <w:vAlign w:val="bottom"/>
          </w:tcPr>
          <w:p>
            <w:pPr>
              <w:ind w:left="260"/>
              <w:spacing w:after="0"/>
              <w:rPr>
                <w:sz w:val="20"/>
                <w:szCs w:val="20"/>
                <w:color w:val="auto"/>
              </w:rPr>
            </w:pPr>
            <w:r>
              <w:rPr>
                <w:rFonts w:ascii="Arial" w:cs="Arial" w:eastAsia="Arial" w:hAnsi="Arial"/>
                <w:sz w:val="16"/>
                <w:szCs w:val="16"/>
                <w:color w:val="auto"/>
              </w:rPr>
              <w:t>Rule 13a-14(a)/15d-14(a) certification of Kirkland B. Andrews.</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6"/>
                <w:szCs w:val="16"/>
                <w:color w:val="auto"/>
              </w:rPr>
              <w:t>31.3</w:t>
            </w:r>
          </w:p>
        </w:tc>
        <w:tc>
          <w:tcPr>
            <w:tcW w:w="6020" w:type="dxa"/>
            <w:vAlign w:val="bottom"/>
          </w:tcPr>
          <w:p>
            <w:pPr>
              <w:ind w:left="260"/>
              <w:spacing w:after="0"/>
              <w:rPr>
                <w:sz w:val="20"/>
                <w:szCs w:val="20"/>
                <w:color w:val="auto"/>
              </w:rPr>
            </w:pPr>
            <w:r>
              <w:rPr>
                <w:rFonts w:ascii="Arial" w:cs="Arial" w:eastAsia="Arial" w:hAnsi="Arial"/>
                <w:sz w:val="16"/>
                <w:szCs w:val="16"/>
                <w:color w:val="auto"/>
              </w:rPr>
              <w:t>Rule 13a-14(a)/15d-14(a) certification of David Callen.</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6"/>
                <w:szCs w:val="16"/>
                <w:color w:val="auto"/>
              </w:rPr>
              <w:t>32</w:t>
            </w:r>
          </w:p>
        </w:tc>
        <w:tc>
          <w:tcPr>
            <w:tcW w:w="6020" w:type="dxa"/>
            <w:vAlign w:val="bottom"/>
          </w:tcPr>
          <w:p>
            <w:pPr>
              <w:ind w:left="260"/>
              <w:spacing w:after="0"/>
              <w:rPr>
                <w:sz w:val="20"/>
                <w:szCs w:val="20"/>
                <w:color w:val="auto"/>
              </w:rPr>
            </w:pPr>
            <w:r>
              <w:rPr>
                <w:rFonts w:ascii="Arial" w:cs="Arial" w:eastAsia="Arial" w:hAnsi="Arial"/>
                <w:sz w:val="16"/>
                <w:szCs w:val="16"/>
                <w:color w:val="auto"/>
              </w:rPr>
              <w:t>Section 1350 Certification.</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6"/>
                <w:szCs w:val="16"/>
                <w:color w:val="auto"/>
              </w:rPr>
              <w:t>101 INS</w:t>
            </w:r>
          </w:p>
        </w:tc>
        <w:tc>
          <w:tcPr>
            <w:tcW w:w="6020" w:type="dxa"/>
            <w:vAlign w:val="bottom"/>
          </w:tcPr>
          <w:p>
            <w:pPr>
              <w:ind w:left="260"/>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492"/>
        </w:trPr>
        <w:tc>
          <w:tcPr>
            <w:tcW w:w="780" w:type="dxa"/>
            <w:vAlign w:val="bottom"/>
          </w:tcPr>
          <w:p>
            <w:pPr>
              <w:spacing w:after="0"/>
              <w:rPr>
                <w:sz w:val="24"/>
                <w:szCs w:val="24"/>
                <w:color w:val="auto"/>
              </w:rPr>
            </w:pPr>
          </w:p>
        </w:tc>
        <w:tc>
          <w:tcPr>
            <w:tcW w:w="6020" w:type="dxa"/>
            <w:vAlign w:val="bottom"/>
          </w:tcPr>
          <w:p>
            <w:pPr>
              <w:ind w:left="47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both"/>
        <w:ind w:right="80"/>
        <w:spacing w:after="0" w:line="369" w:lineRule="auto"/>
        <w:rPr>
          <w:sz w:val="20"/>
          <w:szCs w:val="20"/>
          <w:color w:val="auto"/>
        </w:rPr>
      </w:pPr>
      <w:r>
        <w:rPr>
          <w:rFonts w:ascii="Arial" w:cs="Arial" w:eastAsia="Arial" w:hAnsi="Arial"/>
          <w:sz w:val="14"/>
          <w:szCs w:val="14"/>
          <w:color w:val="auto"/>
        </w:rPr>
        <w:t>Incorporated herein by reference to Exhibit 10.8 to NRG Yield, Inc.'s Quarterly Report on Form 10-Q filed on August 4, 2015.</w:t>
      </w:r>
    </w:p>
    <w:p>
      <w:pPr>
        <w:spacing w:after="0" w:line="329" w:lineRule="exact"/>
        <w:rPr>
          <w:sz w:val="20"/>
          <w:szCs w:val="20"/>
          <w:color w:val="auto"/>
        </w:rPr>
      </w:pPr>
    </w:p>
    <w:p>
      <w:pPr>
        <w:jc w:val="both"/>
        <w:ind w:right="80"/>
        <w:spacing w:after="0" w:line="369" w:lineRule="auto"/>
        <w:rPr>
          <w:sz w:val="20"/>
          <w:szCs w:val="20"/>
          <w:color w:val="auto"/>
        </w:rPr>
      </w:pPr>
      <w:r>
        <w:rPr>
          <w:rFonts w:ascii="Arial" w:cs="Arial" w:eastAsia="Arial" w:hAnsi="Arial"/>
          <w:sz w:val="14"/>
          <w:szCs w:val="14"/>
          <w:color w:val="auto"/>
        </w:rPr>
        <w:t>Incorporated herein by reference to Exhibit 10.5 to NRG Yield, Inc.'s Quarterly Report on Form 10-Q filed on August 7, 2014.</w:t>
      </w:r>
    </w:p>
    <w:p>
      <w:pPr>
        <w:spacing w:after="0" w:line="167" w:lineRule="exact"/>
        <w:rPr>
          <w:sz w:val="20"/>
          <w:szCs w:val="20"/>
          <w:color w:val="auto"/>
        </w:rPr>
      </w:pPr>
    </w:p>
    <w:p>
      <w:pPr>
        <w:jc w:val="both"/>
        <w:ind w:right="80"/>
        <w:spacing w:after="0" w:line="369" w:lineRule="auto"/>
        <w:rPr>
          <w:sz w:val="20"/>
          <w:szCs w:val="20"/>
          <w:color w:val="auto"/>
        </w:rPr>
      </w:pPr>
      <w:r>
        <w:rPr>
          <w:rFonts w:ascii="Arial" w:cs="Arial" w:eastAsia="Arial" w:hAnsi="Arial"/>
          <w:sz w:val="14"/>
          <w:szCs w:val="14"/>
          <w:color w:val="auto"/>
        </w:rPr>
        <w:t>Incorporated herein by reference to Exhibit 10.6 to NRG Yield, Inc.'s Quarterly Report on Form 10-Q filed on August 7, 2014.</w:t>
      </w:r>
    </w:p>
    <w:p>
      <w:pPr>
        <w:spacing w:after="0" w:line="369" w:lineRule="exact"/>
        <w:rPr>
          <w:sz w:val="20"/>
          <w:szCs w:val="20"/>
          <w:color w:val="auto"/>
        </w:rPr>
      </w:pPr>
    </w:p>
    <w:p>
      <w:pPr>
        <w:jc w:val="both"/>
        <w:ind w:right="80"/>
        <w:spacing w:after="0" w:line="369" w:lineRule="auto"/>
        <w:rPr>
          <w:sz w:val="20"/>
          <w:szCs w:val="20"/>
          <w:color w:val="auto"/>
        </w:rPr>
      </w:pPr>
      <w:r>
        <w:rPr>
          <w:rFonts w:ascii="Arial" w:cs="Arial" w:eastAsia="Arial" w:hAnsi="Arial"/>
          <w:sz w:val="14"/>
          <w:szCs w:val="14"/>
          <w:color w:val="auto"/>
        </w:rPr>
        <w:t>Incorporated herein by reference to Exhibit 10.1 to NRG Yield, Inc.'s Quarterly Report on Form 10-Q filed on August 4, 2015.</w:t>
      </w:r>
    </w:p>
    <w:p>
      <w:pPr>
        <w:spacing w:after="0" w:line="329" w:lineRule="exact"/>
        <w:rPr>
          <w:sz w:val="20"/>
          <w:szCs w:val="20"/>
          <w:color w:val="auto"/>
        </w:rPr>
      </w:pPr>
    </w:p>
    <w:p>
      <w:pPr>
        <w:jc w:val="both"/>
        <w:ind w:right="80"/>
        <w:spacing w:after="0" w:line="369" w:lineRule="auto"/>
        <w:rPr>
          <w:sz w:val="20"/>
          <w:szCs w:val="20"/>
          <w:color w:val="auto"/>
        </w:rPr>
      </w:pPr>
      <w:r>
        <w:rPr>
          <w:rFonts w:ascii="Arial" w:cs="Arial" w:eastAsia="Arial" w:hAnsi="Arial"/>
          <w:sz w:val="14"/>
          <w:szCs w:val="14"/>
          <w:color w:val="auto"/>
        </w:rPr>
        <w:t>Incorporated herein by reference to Exhibit 10.2 to NRG Yield, Inc.'s Quarterly Report on Form 10-Q filed on August 4, 2015.</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ectPr>
          <w:pgSz w:w="11900" w:h="16838" w:orient="portrait"/>
          <w:cols w:equalWidth="0" w:num="2">
            <w:col w:w="6800" w:space="280"/>
            <w:col w:w="4180"/>
          </w:cols>
          <w:pgMar w:left="280" w:top="1048" w:right="359" w:bottom="1440" w:gutter="0" w:footer="0" w:header="0"/>
          <w:type w:val="continuous"/>
        </w:sectPr>
      </w:pPr>
    </w:p>
    <w:bookmarkStart w:id="119" w:name="page120"/>
    <w:bookmarkEnd w:id="119"/>
    <w:tbl>
      <w:tblPr>
        <w:tblLayout w:type="fixed"/>
        <w:tblInd w:w="5" w:type="dxa"/>
        <w:tblCellMar>
          <w:top w:w="0" w:type="dxa"/>
          <w:left w:w="0" w:type="dxa"/>
          <w:bottom w:w="0" w:type="dxa"/>
          <w:right w:w="0" w:type="dxa"/>
        </w:tblCellMar>
      </w:tblPr>
      <w:tr>
        <w:trPr>
          <w:trHeight w:val="206"/>
        </w:trPr>
        <w:tc>
          <w:tcPr>
            <w:tcW w:w="260" w:type="dxa"/>
            <w:vAlign w:val="bottom"/>
          </w:tcPr>
          <w:p>
            <w:pPr>
              <w:jc w:val="right"/>
              <w:spacing w:after="0"/>
              <w:rPr>
                <w:sz w:val="20"/>
                <w:szCs w:val="20"/>
                <w:color w:val="auto"/>
              </w:rPr>
            </w:pPr>
            <w:r>
              <w:rPr>
                <w:rFonts w:ascii="Arial" w:cs="Arial" w:eastAsia="Arial" w:hAnsi="Arial"/>
                <w:sz w:val="16"/>
                <w:szCs w:val="16"/>
                <w:color w:val="auto"/>
                <w:w w:val="82"/>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SCH</w:t>
            </w:r>
          </w:p>
        </w:tc>
        <w:tc>
          <w:tcPr>
            <w:tcW w:w="4920" w:type="dxa"/>
            <w:vAlign w:val="bottom"/>
          </w:tcPr>
          <w:p>
            <w:pPr>
              <w:ind w:left="220"/>
              <w:spacing w:after="0"/>
              <w:rPr>
                <w:sz w:val="20"/>
                <w:szCs w:val="20"/>
                <w:color w:val="auto"/>
              </w:rPr>
            </w:pPr>
            <w:r>
              <w:rPr>
                <w:rFonts w:ascii="Arial" w:cs="Arial" w:eastAsia="Arial" w:hAnsi="Arial"/>
                <w:sz w:val="16"/>
                <w:szCs w:val="16"/>
                <w:color w:val="auto"/>
              </w:rPr>
              <w:t>XBRL Taxonomy Extension Schema.</w:t>
            </w:r>
          </w:p>
        </w:tc>
        <w:tc>
          <w:tcPr>
            <w:tcW w:w="2320" w:type="dxa"/>
            <w:vAlign w:val="bottom"/>
          </w:tcPr>
          <w:p>
            <w:pPr>
              <w:ind w:left="1340"/>
              <w:spacing w:after="0"/>
              <w:rPr>
                <w:sz w:val="20"/>
                <w:szCs w:val="20"/>
                <w:color w:val="auto"/>
              </w:rPr>
            </w:pPr>
            <w:r>
              <w:rPr>
                <w:rFonts w:ascii="Arial" w:cs="Arial" w:eastAsia="Arial" w:hAnsi="Arial"/>
                <w:sz w:val="16"/>
                <w:szCs w:val="16"/>
                <w:color w:val="auto"/>
                <w:w w:val="92"/>
              </w:rPr>
              <w:t>Filed herewith.</w:t>
            </w:r>
          </w:p>
        </w:tc>
      </w:tr>
      <w:tr>
        <w:trPr>
          <w:trHeight w:val="270"/>
        </w:trPr>
        <w:tc>
          <w:tcPr>
            <w:tcW w:w="260" w:type="dxa"/>
            <w:vAlign w:val="bottom"/>
          </w:tcPr>
          <w:p>
            <w:pPr>
              <w:jc w:val="right"/>
              <w:spacing w:after="0"/>
              <w:rPr>
                <w:sz w:val="20"/>
                <w:szCs w:val="20"/>
                <w:color w:val="auto"/>
              </w:rPr>
            </w:pPr>
            <w:r>
              <w:rPr>
                <w:rFonts w:ascii="Arial" w:cs="Arial" w:eastAsia="Arial" w:hAnsi="Arial"/>
                <w:sz w:val="16"/>
                <w:szCs w:val="16"/>
                <w:color w:val="auto"/>
                <w:w w:val="82"/>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CAL</w:t>
            </w:r>
          </w:p>
        </w:tc>
        <w:tc>
          <w:tcPr>
            <w:tcW w:w="4920" w:type="dxa"/>
            <w:vAlign w:val="bottom"/>
          </w:tcPr>
          <w:p>
            <w:pPr>
              <w:ind w:left="220"/>
              <w:spacing w:after="0"/>
              <w:rPr>
                <w:sz w:val="20"/>
                <w:szCs w:val="20"/>
                <w:color w:val="auto"/>
              </w:rPr>
            </w:pPr>
            <w:r>
              <w:rPr>
                <w:rFonts w:ascii="Arial" w:cs="Arial" w:eastAsia="Arial" w:hAnsi="Arial"/>
                <w:sz w:val="16"/>
                <w:szCs w:val="16"/>
                <w:color w:val="auto"/>
              </w:rPr>
              <w:t>XBRL Taxonomy Extension Calculation Linkbase.</w:t>
            </w:r>
          </w:p>
        </w:tc>
        <w:tc>
          <w:tcPr>
            <w:tcW w:w="2320" w:type="dxa"/>
            <w:vAlign w:val="bottom"/>
          </w:tcPr>
          <w:p>
            <w:pPr>
              <w:ind w:left="1340"/>
              <w:spacing w:after="0"/>
              <w:rPr>
                <w:sz w:val="20"/>
                <w:szCs w:val="20"/>
                <w:color w:val="auto"/>
              </w:rPr>
            </w:pPr>
            <w:r>
              <w:rPr>
                <w:rFonts w:ascii="Arial" w:cs="Arial" w:eastAsia="Arial" w:hAnsi="Arial"/>
                <w:sz w:val="16"/>
                <w:szCs w:val="16"/>
                <w:color w:val="auto"/>
                <w:w w:val="92"/>
              </w:rPr>
              <w:t>Filed herewith.</w:t>
            </w:r>
          </w:p>
        </w:tc>
      </w:tr>
      <w:tr>
        <w:trPr>
          <w:trHeight w:val="270"/>
        </w:trPr>
        <w:tc>
          <w:tcPr>
            <w:tcW w:w="260" w:type="dxa"/>
            <w:vAlign w:val="bottom"/>
          </w:tcPr>
          <w:p>
            <w:pPr>
              <w:jc w:val="right"/>
              <w:spacing w:after="0"/>
              <w:rPr>
                <w:sz w:val="20"/>
                <w:szCs w:val="20"/>
                <w:color w:val="auto"/>
              </w:rPr>
            </w:pPr>
            <w:r>
              <w:rPr>
                <w:rFonts w:ascii="Arial" w:cs="Arial" w:eastAsia="Arial" w:hAnsi="Arial"/>
                <w:sz w:val="16"/>
                <w:szCs w:val="16"/>
                <w:color w:val="auto"/>
                <w:w w:val="82"/>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DEF</w:t>
            </w:r>
          </w:p>
        </w:tc>
        <w:tc>
          <w:tcPr>
            <w:tcW w:w="4920" w:type="dxa"/>
            <w:vAlign w:val="bottom"/>
          </w:tcPr>
          <w:p>
            <w:pPr>
              <w:ind w:left="220"/>
              <w:spacing w:after="0"/>
              <w:rPr>
                <w:sz w:val="20"/>
                <w:szCs w:val="20"/>
                <w:color w:val="auto"/>
              </w:rPr>
            </w:pPr>
            <w:r>
              <w:rPr>
                <w:rFonts w:ascii="Arial" w:cs="Arial" w:eastAsia="Arial" w:hAnsi="Arial"/>
                <w:sz w:val="16"/>
                <w:szCs w:val="16"/>
                <w:color w:val="auto"/>
              </w:rPr>
              <w:t>XBRL Taxonomy Extension Definition Linkbase.</w:t>
            </w:r>
          </w:p>
        </w:tc>
        <w:tc>
          <w:tcPr>
            <w:tcW w:w="2320" w:type="dxa"/>
            <w:vAlign w:val="bottom"/>
          </w:tcPr>
          <w:p>
            <w:pPr>
              <w:ind w:left="1340"/>
              <w:spacing w:after="0"/>
              <w:rPr>
                <w:sz w:val="20"/>
                <w:szCs w:val="20"/>
                <w:color w:val="auto"/>
              </w:rPr>
            </w:pPr>
            <w:r>
              <w:rPr>
                <w:rFonts w:ascii="Arial" w:cs="Arial" w:eastAsia="Arial" w:hAnsi="Arial"/>
                <w:sz w:val="16"/>
                <w:szCs w:val="16"/>
                <w:color w:val="auto"/>
                <w:w w:val="92"/>
              </w:rPr>
              <w:t>Filed herewith.</w:t>
            </w:r>
          </w:p>
        </w:tc>
      </w:tr>
      <w:tr>
        <w:trPr>
          <w:trHeight w:val="270"/>
        </w:trPr>
        <w:tc>
          <w:tcPr>
            <w:tcW w:w="260" w:type="dxa"/>
            <w:vAlign w:val="bottom"/>
          </w:tcPr>
          <w:p>
            <w:pPr>
              <w:jc w:val="right"/>
              <w:spacing w:after="0"/>
              <w:rPr>
                <w:sz w:val="20"/>
                <w:szCs w:val="20"/>
                <w:color w:val="auto"/>
              </w:rPr>
            </w:pPr>
            <w:r>
              <w:rPr>
                <w:rFonts w:ascii="Arial" w:cs="Arial" w:eastAsia="Arial" w:hAnsi="Arial"/>
                <w:sz w:val="16"/>
                <w:szCs w:val="16"/>
                <w:color w:val="auto"/>
                <w:w w:val="82"/>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LAB</w:t>
            </w:r>
          </w:p>
        </w:tc>
        <w:tc>
          <w:tcPr>
            <w:tcW w:w="4920" w:type="dxa"/>
            <w:vAlign w:val="bottom"/>
          </w:tcPr>
          <w:p>
            <w:pPr>
              <w:ind w:left="220"/>
              <w:spacing w:after="0"/>
              <w:rPr>
                <w:sz w:val="20"/>
                <w:szCs w:val="20"/>
                <w:color w:val="auto"/>
              </w:rPr>
            </w:pPr>
            <w:r>
              <w:rPr>
                <w:rFonts w:ascii="Arial" w:cs="Arial" w:eastAsia="Arial" w:hAnsi="Arial"/>
                <w:sz w:val="16"/>
                <w:szCs w:val="16"/>
                <w:color w:val="auto"/>
              </w:rPr>
              <w:t>XBRL Taxonomy Extension Label Linkbase.</w:t>
            </w:r>
          </w:p>
        </w:tc>
        <w:tc>
          <w:tcPr>
            <w:tcW w:w="2320" w:type="dxa"/>
            <w:vAlign w:val="bottom"/>
          </w:tcPr>
          <w:p>
            <w:pPr>
              <w:ind w:left="1340"/>
              <w:spacing w:after="0"/>
              <w:rPr>
                <w:sz w:val="20"/>
                <w:szCs w:val="20"/>
                <w:color w:val="auto"/>
              </w:rPr>
            </w:pPr>
            <w:r>
              <w:rPr>
                <w:rFonts w:ascii="Arial" w:cs="Arial" w:eastAsia="Arial" w:hAnsi="Arial"/>
                <w:sz w:val="16"/>
                <w:szCs w:val="16"/>
                <w:color w:val="auto"/>
                <w:w w:val="92"/>
              </w:rPr>
              <w:t>Filed herewith.</w:t>
            </w:r>
          </w:p>
        </w:tc>
      </w:tr>
      <w:tr>
        <w:trPr>
          <w:trHeight w:val="270"/>
        </w:trPr>
        <w:tc>
          <w:tcPr>
            <w:tcW w:w="260" w:type="dxa"/>
            <w:vAlign w:val="bottom"/>
          </w:tcPr>
          <w:p>
            <w:pPr>
              <w:jc w:val="right"/>
              <w:spacing w:after="0"/>
              <w:rPr>
                <w:sz w:val="20"/>
                <w:szCs w:val="20"/>
                <w:color w:val="auto"/>
              </w:rPr>
            </w:pPr>
            <w:r>
              <w:rPr>
                <w:rFonts w:ascii="Arial" w:cs="Arial" w:eastAsia="Arial" w:hAnsi="Arial"/>
                <w:sz w:val="16"/>
                <w:szCs w:val="16"/>
                <w:color w:val="auto"/>
                <w:w w:val="82"/>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PRE</w:t>
            </w:r>
          </w:p>
        </w:tc>
        <w:tc>
          <w:tcPr>
            <w:tcW w:w="4920" w:type="dxa"/>
            <w:vAlign w:val="bottom"/>
          </w:tcPr>
          <w:p>
            <w:pPr>
              <w:ind w:left="220"/>
              <w:spacing w:after="0"/>
              <w:rPr>
                <w:sz w:val="20"/>
                <w:szCs w:val="20"/>
                <w:color w:val="auto"/>
              </w:rPr>
            </w:pPr>
            <w:r>
              <w:rPr>
                <w:rFonts w:ascii="Arial" w:cs="Arial" w:eastAsia="Arial" w:hAnsi="Arial"/>
                <w:sz w:val="16"/>
                <w:szCs w:val="16"/>
                <w:color w:val="auto"/>
              </w:rPr>
              <w:t>XBRL Taxonomy Extension Presentation Linkbase.</w:t>
            </w:r>
          </w:p>
        </w:tc>
        <w:tc>
          <w:tcPr>
            <w:tcW w:w="2320" w:type="dxa"/>
            <w:vAlign w:val="bottom"/>
          </w:tcPr>
          <w:p>
            <w:pPr>
              <w:ind w:left="1340"/>
              <w:spacing w:after="0"/>
              <w:rPr>
                <w:sz w:val="20"/>
                <w:szCs w:val="20"/>
                <w:color w:val="auto"/>
              </w:rPr>
            </w:pPr>
            <w:r>
              <w:rPr>
                <w:rFonts w:ascii="Arial" w:cs="Arial" w:eastAsia="Arial" w:hAnsi="Arial"/>
                <w:sz w:val="16"/>
                <w:szCs w:val="16"/>
                <w:color w:val="auto"/>
                <w:w w:val="92"/>
              </w:rPr>
              <w:t>Filed herewith.</w:t>
            </w:r>
          </w:p>
        </w:tc>
      </w:tr>
    </w:tbl>
    <w:p>
      <w:pPr>
        <w:spacing w:after="0" w:line="200" w:lineRule="exact"/>
        <w:rPr>
          <w:sz w:val="20"/>
          <w:szCs w:val="20"/>
          <w:color w:val="auto"/>
        </w:rPr>
      </w:pPr>
    </w:p>
    <w:p>
      <w:pPr>
        <w:spacing w:after="0" w:line="201" w:lineRule="exact"/>
        <w:rPr>
          <w:sz w:val="20"/>
          <w:szCs w:val="20"/>
          <w:color w:val="auto"/>
        </w:rPr>
      </w:pPr>
    </w:p>
    <w:p>
      <w:pPr>
        <w:ind w:left="565" w:hanging="565"/>
        <w:spacing w:after="0"/>
        <w:tabs>
          <w:tab w:leader="none" w:pos="565"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Indicates exhibits that constitute compensatory plans or arrangements.</w:t>
      </w:r>
    </w:p>
    <w:p>
      <w:pPr>
        <w:spacing w:after="0" w:line="86" w:lineRule="exact"/>
        <w:rPr>
          <w:sz w:val="20"/>
          <w:szCs w:val="20"/>
          <w:color w:val="auto"/>
        </w:rPr>
      </w:pPr>
    </w:p>
    <w:p>
      <w:pPr>
        <w:ind w:left="565" w:right="1019" w:hanging="565"/>
        <w:spacing w:after="0" w:line="293" w:lineRule="auto"/>
        <w:tabs>
          <w:tab w:leader="none" w:pos="56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This filing excludes schedules pursuant to Item 601(b)(2) of Regulation S-K, which the registrant agrees to furnish supplementary to the Securities and Exchange Commission upon request by the Commission.</w:t>
      </w:r>
    </w:p>
    <w:p>
      <w:pPr>
        <w:spacing w:after="0" w:line="10" w:lineRule="exact"/>
        <w:rPr>
          <w:sz w:val="20"/>
          <w:szCs w:val="20"/>
          <w:color w:val="auto"/>
        </w:rPr>
      </w:pPr>
    </w:p>
    <w:p>
      <w:pPr>
        <w:ind w:left="565" w:right="1019" w:hanging="565"/>
        <w:spacing w:after="0" w:line="329" w:lineRule="auto"/>
        <w:tabs>
          <w:tab w:leader="none" w:pos="565" w:val="left"/>
        </w:tabs>
        <w:numPr>
          <w:ilvl w:val="0"/>
          <w:numId w:val="76"/>
        </w:numPr>
        <w:rPr>
          <w:rFonts w:ascii="Arial" w:cs="Arial" w:eastAsia="Arial" w:hAnsi="Arial"/>
          <w:sz w:val="15"/>
          <w:szCs w:val="15"/>
          <w:color w:val="auto"/>
        </w:rPr>
      </w:pPr>
      <w:r>
        <w:rPr>
          <w:rFonts w:ascii="Arial" w:cs="Arial" w:eastAsia="Arial" w:hAnsi="Arial"/>
          <w:sz w:val="15"/>
          <w:szCs w:val="15"/>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45"/>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184"/>
          </w:cols>
          <w:pgMar w:left="275" w:top="1062"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NRG YIELD LLC</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(Registrant)</w:t>
      </w:r>
    </w:p>
    <w:p>
      <w:pPr>
        <w:spacing w:after="0" w:line="34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MAURICIO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1012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Mauricio Gutierrez</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Interim Chief Executive Officer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(Principal Executive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29, 2016</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Each person whose signature appears below constitutes and appoints David R. Hill and Brian E. Curci,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the Securities Exchange Act of 1934, this report has been signed by the following persons on behalf of the registrant in the capacities indicated on February 29, 2016.</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Signatures</w:t>
            </w:r>
          </w:p>
        </w:tc>
        <w:tc>
          <w:tcPr>
            <w:tcW w:w="19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5280" w:type="dxa"/>
            <w:vAlign w:val="bottom"/>
            <w:gridSpan w:val="3"/>
          </w:tcPr>
          <w:p>
            <w:pPr>
              <w:jc w:val="center"/>
              <w:ind w:left="730"/>
              <w:spacing w:after="0"/>
              <w:rPr>
                <w:sz w:val="20"/>
                <w:szCs w:val="20"/>
                <w:color w:val="auto"/>
              </w:rPr>
            </w:pPr>
            <w:r>
              <w:rPr>
                <w:rFonts w:ascii="Arial" w:cs="Arial" w:eastAsia="Arial" w:hAnsi="Arial"/>
                <w:sz w:val="18"/>
                <w:szCs w:val="18"/>
                <w:color w:val="auto"/>
                <w:w w:val="97"/>
              </w:rPr>
              <w:t>/s/ MAURICIO GUTIERREZ</w:t>
            </w:r>
          </w:p>
        </w:tc>
        <w:tc>
          <w:tcPr>
            <w:tcW w:w="4320" w:type="dxa"/>
            <w:vAlign w:val="bottom"/>
            <w:gridSpan w:val="3"/>
          </w:tcPr>
          <w:p>
            <w:pPr>
              <w:ind w:left="480"/>
              <w:spacing w:after="0"/>
              <w:rPr>
                <w:sz w:val="20"/>
                <w:szCs w:val="20"/>
                <w:color w:val="auto"/>
              </w:rPr>
            </w:pPr>
            <w:r>
              <w:rPr>
                <w:rFonts w:ascii="Arial" w:cs="Arial" w:eastAsia="Arial" w:hAnsi="Arial"/>
                <w:sz w:val="18"/>
                <w:szCs w:val="18"/>
                <w:i w:val="1"/>
                <w:iCs w:val="1"/>
                <w:color w:val="auto"/>
              </w:rPr>
              <w:t>Interim President and Chief Executive Officer</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320" w:type="dxa"/>
            <w:vAlign w:val="bottom"/>
            <w:gridSpan w:val="3"/>
            <w:vMerge w:val="restart"/>
          </w:tcPr>
          <w:p>
            <w:pPr>
              <w:ind w:left="480"/>
              <w:spacing w:after="0"/>
              <w:rPr>
                <w:sz w:val="20"/>
                <w:szCs w:val="20"/>
                <w:color w:val="auto"/>
              </w:rPr>
            </w:pPr>
            <w:r>
              <w:rPr>
                <w:rFonts w:ascii="Arial" w:cs="Arial" w:eastAsia="Arial" w:hAnsi="Arial"/>
                <w:sz w:val="18"/>
                <w:szCs w:val="18"/>
                <w:i w:val="1"/>
                <w:iCs w:val="1"/>
                <w:color w:val="auto"/>
              </w:rPr>
              <w:t>of NRG Yield LLC (Principal Executive Officer)</w:t>
            </w:r>
          </w:p>
        </w:tc>
        <w:tc>
          <w:tcPr>
            <w:tcW w:w="0" w:type="dxa"/>
            <w:vAlign w:val="bottom"/>
          </w:tcPr>
          <w:p>
            <w:pPr>
              <w:spacing w:after="0"/>
              <w:rPr>
                <w:sz w:val="1"/>
                <w:szCs w:val="1"/>
                <w:color w:val="auto"/>
              </w:rPr>
            </w:pPr>
          </w:p>
        </w:tc>
      </w:tr>
      <w:tr>
        <w:trPr>
          <w:trHeight w:val="237"/>
        </w:trPr>
        <w:tc>
          <w:tcPr>
            <w:tcW w:w="5280" w:type="dxa"/>
            <w:vAlign w:val="bottom"/>
            <w:gridSpan w:val="3"/>
          </w:tcPr>
          <w:p>
            <w:pPr>
              <w:jc w:val="center"/>
              <w:ind w:left="730"/>
              <w:spacing w:after="0"/>
              <w:rPr>
                <w:sz w:val="20"/>
                <w:szCs w:val="20"/>
                <w:color w:val="auto"/>
              </w:rPr>
            </w:pPr>
            <w:r>
              <w:rPr>
                <w:rFonts w:ascii="Arial" w:cs="Arial" w:eastAsia="Arial" w:hAnsi="Arial"/>
                <w:sz w:val="18"/>
                <w:szCs w:val="18"/>
                <w:color w:val="auto"/>
                <w:w w:val="93"/>
              </w:rPr>
              <w:t>Mauricio Gutierrez</w:t>
            </w:r>
          </w:p>
        </w:tc>
        <w:tc>
          <w:tcPr>
            <w:tcW w:w="43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gridSpan w:val="3"/>
          </w:tcPr>
          <w:p>
            <w:pPr>
              <w:ind w:left="400"/>
              <w:spacing w:after="0"/>
              <w:rPr>
                <w:sz w:val="20"/>
                <w:szCs w:val="20"/>
                <w:color w:val="auto"/>
              </w:rPr>
            </w:pPr>
            <w:r>
              <w:rPr>
                <w:rFonts w:ascii="Arial" w:cs="Arial" w:eastAsia="Arial" w:hAnsi="Arial"/>
                <w:sz w:val="18"/>
                <w:szCs w:val="18"/>
                <w:color w:val="auto"/>
              </w:rPr>
              <w:t>Date: February 29, 2016</w:t>
            </w:r>
          </w:p>
        </w:tc>
        <w:tc>
          <w:tcPr>
            <w:tcW w:w="3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7"/>
        </w:trPr>
        <w:tc>
          <w:tcPr>
            <w:tcW w:w="2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320" w:type="dxa"/>
            <w:vAlign w:val="bottom"/>
            <w:gridSpan w:val="3"/>
          </w:tcPr>
          <w:p>
            <w:pPr>
              <w:ind w:left="480"/>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c>
          <w:tcPr>
            <w:tcW w:w="0" w:type="dxa"/>
            <w:vAlign w:val="bottom"/>
          </w:tcPr>
          <w:p>
            <w:pPr>
              <w:spacing w:after="0"/>
              <w:rPr>
                <w:sz w:val="1"/>
                <w:szCs w:val="1"/>
                <w:color w:val="auto"/>
              </w:rPr>
            </w:pPr>
          </w:p>
        </w:tc>
      </w:tr>
      <w:tr>
        <w:trPr>
          <w:trHeight w:val="432"/>
        </w:trPr>
        <w:tc>
          <w:tcPr>
            <w:tcW w:w="5280" w:type="dxa"/>
            <w:vAlign w:val="bottom"/>
            <w:gridSpan w:val="3"/>
          </w:tcPr>
          <w:p>
            <w:pPr>
              <w:jc w:val="center"/>
              <w:ind w:left="730"/>
              <w:spacing w:after="0"/>
              <w:rPr>
                <w:sz w:val="20"/>
                <w:szCs w:val="20"/>
                <w:color w:val="auto"/>
              </w:rPr>
            </w:pPr>
            <w:r>
              <w:rPr>
                <w:rFonts w:ascii="Arial" w:cs="Arial" w:eastAsia="Arial" w:hAnsi="Arial"/>
                <w:sz w:val="18"/>
                <w:szCs w:val="18"/>
                <w:color w:val="auto"/>
                <w:w w:val="98"/>
              </w:rPr>
              <w:t>/s/ KIRKLAND B. ANDREWS</w:t>
            </w:r>
          </w:p>
        </w:tc>
        <w:tc>
          <w:tcPr>
            <w:tcW w:w="3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320" w:type="dxa"/>
            <w:vAlign w:val="bottom"/>
            <w:gridSpan w:val="3"/>
            <w:vMerge w:val="restart"/>
          </w:tcPr>
          <w:p>
            <w:pPr>
              <w:ind w:left="480"/>
              <w:spacing w:after="0"/>
              <w:rPr>
                <w:sz w:val="20"/>
                <w:szCs w:val="20"/>
                <w:color w:val="auto"/>
              </w:rPr>
            </w:pPr>
            <w:r>
              <w:rPr>
                <w:rFonts w:ascii="Arial" w:cs="Arial" w:eastAsia="Arial" w:hAnsi="Arial"/>
                <w:sz w:val="18"/>
                <w:szCs w:val="18"/>
                <w:i w:val="1"/>
                <w:iCs w:val="1"/>
                <w:color w:val="auto"/>
              </w:rPr>
              <w:t>of NRG Yield LLC (Principal Financial Officer)</w:t>
            </w:r>
          </w:p>
        </w:tc>
        <w:tc>
          <w:tcPr>
            <w:tcW w:w="0" w:type="dxa"/>
            <w:vAlign w:val="bottom"/>
          </w:tcPr>
          <w:p>
            <w:pPr>
              <w:spacing w:after="0"/>
              <w:rPr>
                <w:sz w:val="1"/>
                <w:szCs w:val="1"/>
                <w:color w:val="auto"/>
              </w:rPr>
            </w:pPr>
          </w:p>
        </w:tc>
      </w:tr>
      <w:tr>
        <w:trPr>
          <w:trHeight w:val="237"/>
        </w:trPr>
        <w:tc>
          <w:tcPr>
            <w:tcW w:w="5280" w:type="dxa"/>
            <w:vAlign w:val="bottom"/>
            <w:gridSpan w:val="3"/>
          </w:tcPr>
          <w:p>
            <w:pPr>
              <w:jc w:val="center"/>
              <w:ind w:left="730"/>
              <w:spacing w:after="0"/>
              <w:rPr>
                <w:sz w:val="20"/>
                <w:szCs w:val="20"/>
                <w:color w:val="auto"/>
              </w:rPr>
            </w:pPr>
            <w:r>
              <w:rPr>
                <w:rFonts w:ascii="Arial" w:cs="Arial" w:eastAsia="Arial" w:hAnsi="Arial"/>
                <w:sz w:val="18"/>
                <w:szCs w:val="18"/>
                <w:color w:val="auto"/>
                <w:w w:val="94"/>
              </w:rPr>
              <w:t>Kirkland B. Andrews</w:t>
            </w:r>
          </w:p>
        </w:tc>
        <w:tc>
          <w:tcPr>
            <w:tcW w:w="43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gridSpan w:val="3"/>
          </w:tcPr>
          <w:p>
            <w:pPr>
              <w:ind w:left="400"/>
              <w:spacing w:after="0"/>
              <w:rPr>
                <w:sz w:val="20"/>
                <w:szCs w:val="20"/>
                <w:color w:val="auto"/>
              </w:rPr>
            </w:pPr>
            <w:r>
              <w:rPr>
                <w:rFonts w:ascii="Arial" w:cs="Arial" w:eastAsia="Arial" w:hAnsi="Arial"/>
                <w:sz w:val="18"/>
                <w:szCs w:val="18"/>
                <w:color w:val="auto"/>
              </w:rPr>
              <w:t>Date: February 29, 2016</w:t>
            </w:r>
          </w:p>
        </w:tc>
        <w:tc>
          <w:tcPr>
            <w:tcW w:w="3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7"/>
        </w:trPr>
        <w:tc>
          <w:tcPr>
            <w:tcW w:w="5280" w:type="dxa"/>
            <w:vAlign w:val="bottom"/>
            <w:gridSpan w:val="3"/>
          </w:tcPr>
          <w:p>
            <w:pPr>
              <w:jc w:val="center"/>
              <w:ind w:left="730"/>
              <w:spacing w:after="0"/>
              <w:rPr>
                <w:sz w:val="20"/>
                <w:szCs w:val="20"/>
                <w:color w:val="auto"/>
              </w:rPr>
            </w:pPr>
            <w:r>
              <w:rPr>
                <w:rFonts w:ascii="Arial" w:cs="Arial" w:eastAsia="Arial" w:hAnsi="Arial"/>
                <w:sz w:val="18"/>
                <w:szCs w:val="18"/>
                <w:color w:val="auto"/>
                <w:w w:val="99"/>
              </w:rPr>
              <w:t>/s/ DAVID CALLEN</w:t>
            </w:r>
          </w:p>
        </w:tc>
        <w:tc>
          <w:tcPr>
            <w:tcW w:w="4320" w:type="dxa"/>
            <w:vAlign w:val="bottom"/>
            <w:gridSpan w:val="3"/>
          </w:tcPr>
          <w:p>
            <w:pPr>
              <w:ind w:left="480"/>
              <w:spacing w:after="0"/>
              <w:rPr>
                <w:sz w:val="20"/>
                <w:szCs w:val="20"/>
                <w:color w:val="auto"/>
              </w:rPr>
            </w:pPr>
            <w:r>
              <w:rPr>
                <w:rFonts w:ascii="Arial" w:cs="Arial" w:eastAsia="Arial" w:hAnsi="Arial"/>
                <w:sz w:val="18"/>
                <w:szCs w:val="18"/>
                <w:i w:val="1"/>
                <w:iCs w:val="1"/>
                <w:color w:val="auto"/>
                <w:w w:val="93"/>
              </w:rPr>
              <w:t>Senior Vice President and Chief Accounting Officer</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320" w:type="dxa"/>
            <w:vAlign w:val="bottom"/>
            <w:gridSpan w:val="3"/>
            <w:vMerge w:val="restart"/>
          </w:tcPr>
          <w:p>
            <w:pPr>
              <w:ind w:left="480"/>
              <w:spacing w:after="0"/>
              <w:rPr>
                <w:sz w:val="20"/>
                <w:szCs w:val="20"/>
                <w:color w:val="auto"/>
              </w:rPr>
            </w:pPr>
            <w:r>
              <w:rPr>
                <w:rFonts w:ascii="Arial" w:cs="Arial" w:eastAsia="Arial" w:hAnsi="Arial"/>
                <w:sz w:val="18"/>
                <w:szCs w:val="18"/>
                <w:i w:val="1"/>
                <w:iCs w:val="1"/>
                <w:color w:val="auto"/>
              </w:rPr>
              <w:t>of NRG Yield LLC (Principal Accounting Officer)</w:t>
            </w:r>
          </w:p>
        </w:tc>
        <w:tc>
          <w:tcPr>
            <w:tcW w:w="0" w:type="dxa"/>
            <w:vAlign w:val="bottom"/>
          </w:tcPr>
          <w:p>
            <w:pPr>
              <w:spacing w:after="0"/>
              <w:rPr>
                <w:sz w:val="1"/>
                <w:szCs w:val="1"/>
                <w:color w:val="auto"/>
              </w:rPr>
            </w:pPr>
          </w:p>
        </w:tc>
      </w:tr>
      <w:tr>
        <w:trPr>
          <w:trHeight w:val="237"/>
        </w:trPr>
        <w:tc>
          <w:tcPr>
            <w:tcW w:w="5280" w:type="dxa"/>
            <w:vAlign w:val="bottom"/>
            <w:gridSpan w:val="3"/>
          </w:tcPr>
          <w:p>
            <w:pPr>
              <w:jc w:val="center"/>
              <w:ind w:left="710"/>
              <w:spacing w:after="0"/>
              <w:rPr>
                <w:sz w:val="20"/>
                <w:szCs w:val="20"/>
                <w:color w:val="auto"/>
              </w:rPr>
            </w:pPr>
            <w:r>
              <w:rPr>
                <w:rFonts w:ascii="Arial" w:cs="Arial" w:eastAsia="Arial" w:hAnsi="Arial"/>
                <w:sz w:val="18"/>
                <w:szCs w:val="18"/>
                <w:color w:val="auto"/>
                <w:w w:val="94"/>
              </w:rPr>
              <w:t>David Callen</w:t>
            </w:r>
          </w:p>
        </w:tc>
        <w:tc>
          <w:tcPr>
            <w:tcW w:w="43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gridSpan w:val="3"/>
          </w:tcPr>
          <w:p>
            <w:pPr>
              <w:ind w:left="400"/>
              <w:spacing w:after="0"/>
              <w:rPr>
                <w:sz w:val="20"/>
                <w:szCs w:val="20"/>
                <w:color w:val="auto"/>
              </w:rPr>
            </w:pPr>
            <w:r>
              <w:rPr>
                <w:rFonts w:ascii="Arial" w:cs="Arial" w:eastAsia="Arial" w:hAnsi="Arial"/>
                <w:sz w:val="18"/>
                <w:szCs w:val="18"/>
                <w:color w:val="auto"/>
              </w:rPr>
              <w:t>Date: February 29, 2016</w:t>
            </w:r>
          </w:p>
        </w:tc>
        <w:tc>
          <w:tcPr>
            <w:tcW w:w="3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7"/>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NRG YIELD, INC.</w:t>
            </w:r>
          </w:p>
        </w:tc>
        <w:tc>
          <w:tcPr>
            <w:tcW w:w="4320" w:type="dxa"/>
            <w:vAlign w:val="bottom"/>
            <w:gridSpan w:val="3"/>
          </w:tcPr>
          <w:p>
            <w:pPr>
              <w:ind w:left="480"/>
              <w:spacing w:after="0"/>
              <w:rPr>
                <w:sz w:val="20"/>
                <w:szCs w:val="20"/>
                <w:color w:val="auto"/>
              </w:rPr>
            </w:pPr>
            <w:r>
              <w:rPr>
                <w:rFonts w:ascii="Arial" w:cs="Arial" w:eastAsia="Arial" w:hAnsi="Arial"/>
                <w:sz w:val="18"/>
                <w:szCs w:val="18"/>
                <w:color w:val="auto"/>
              </w:rPr>
              <w:t>Sole Managing Member</w:t>
            </w:r>
          </w:p>
        </w:tc>
        <w:tc>
          <w:tcPr>
            <w:tcW w:w="0" w:type="dxa"/>
            <w:vAlign w:val="bottom"/>
          </w:tcPr>
          <w:p>
            <w:pPr>
              <w:spacing w:after="0"/>
              <w:rPr>
                <w:sz w:val="1"/>
                <w:szCs w:val="1"/>
                <w:color w:val="auto"/>
              </w:rPr>
            </w:pPr>
          </w:p>
        </w:tc>
      </w:tr>
      <w:tr>
        <w:trPr>
          <w:trHeight w:val="567"/>
        </w:trPr>
        <w:tc>
          <w:tcPr>
            <w:tcW w:w="5280" w:type="dxa"/>
            <w:vAlign w:val="bottom"/>
            <w:gridSpan w:val="3"/>
          </w:tcPr>
          <w:p>
            <w:pPr>
              <w:jc w:val="center"/>
              <w:ind w:left="730"/>
              <w:spacing w:after="0"/>
              <w:rPr>
                <w:sz w:val="20"/>
                <w:szCs w:val="20"/>
                <w:color w:val="auto"/>
              </w:rPr>
            </w:pPr>
            <w:r>
              <w:rPr>
                <w:rFonts w:ascii="Arial" w:cs="Arial" w:eastAsia="Arial" w:hAnsi="Arial"/>
                <w:sz w:val="18"/>
                <w:szCs w:val="18"/>
                <w:color w:val="auto"/>
                <w:w w:val="97"/>
              </w:rPr>
              <w:t>/s/ MAURICIO GUTIERREZ</w:t>
            </w:r>
          </w:p>
        </w:tc>
        <w:tc>
          <w:tcPr>
            <w:tcW w:w="4320" w:type="dxa"/>
            <w:vAlign w:val="bottom"/>
            <w:gridSpan w:val="3"/>
          </w:tcPr>
          <w:p>
            <w:pPr>
              <w:ind w:left="480"/>
              <w:spacing w:after="0"/>
              <w:rPr>
                <w:sz w:val="20"/>
                <w:szCs w:val="20"/>
                <w:color w:val="auto"/>
              </w:rPr>
            </w:pPr>
            <w:r>
              <w:rPr>
                <w:rFonts w:ascii="Arial" w:cs="Arial" w:eastAsia="Arial" w:hAnsi="Arial"/>
                <w:sz w:val="18"/>
                <w:szCs w:val="18"/>
                <w:i w:val="1"/>
                <w:iCs w:val="1"/>
                <w:color w:val="auto"/>
              </w:rPr>
              <w:t>Interim President and Chief Executive Officer</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320" w:type="dxa"/>
            <w:vAlign w:val="bottom"/>
            <w:gridSpan w:val="3"/>
            <w:vMerge w:val="restart"/>
          </w:tcPr>
          <w:p>
            <w:pPr>
              <w:ind w:left="480"/>
              <w:spacing w:after="0"/>
              <w:rPr>
                <w:sz w:val="20"/>
                <w:szCs w:val="20"/>
                <w:color w:val="auto"/>
              </w:rPr>
            </w:pPr>
            <w:r>
              <w:rPr>
                <w:rFonts w:ascii="Arial" w:cs="Arial" w:eastAsia="Arial" w:hAnsi="Arial"/>
                <w:sz w:val="18"/>
                <w:szCs w:val="18"/>
                <w:i w:val="1"/>
                <w:iCs w:val="1"/>
                <w:color w:val="auto"/>
              </w:rPr>
              <w:t>of NRG Yield, Inc.</w:t>
            </w:r>
          </w:p>
        </w:tc>
        <w:tc>
          <w:tcPr>
            <w:tcW w:w="0" w:type="dxa"/>
            <w:vAlign w:val="bottom"/>
          </w:tcPr>
          <w:p>
            <w:pPr>
              <w:spacing w:after="0"/>
              <w:rPr>
                <w:sz w:val="1"/>
                <w:szCs w:val="1"/>
                <w:color w:val="auto"/>
              </w:rPr>
            </w:pPr>
          </w:p>
        </w:tc>
      </w:tr>
      <w:tr>
        <w:trPr>
          <w:trHeight w:val="237"/>
        </w:trPr>
        <w:tc>
          <w:tcPr>
            <w:tcW w:w="5280" w:type="dxa"/>
            <w:vAlign w:val="bottom"/>
            <w:gridSpan w:val="3"/>
          </w:tcPr>
          <w:p>
            <w:pPr>
              <w:jc w:val="center"/>
              <w:ind w:left="730"/>
              <w:spacing w:after="0"/>
              <w:rPr>
                <w:sz w:val="20"/>
                <w:szCs w:val="20"/>
                <w:color w:val="auto"/>
              </w:rPr>
            </w:pPr>
            <w:r>
              <w:rPr>
                <w:rFonts w:ascii="Arial" w:cs="Arial" w:eastAsia="Arial" w:hAnsi="Arial"/>
                <w:sz w:val="18"/>
                <w:szCs w:val="18"/>
                <w:color w:val="auto"/>
                <w:w w:val="93"/>
              </w:rPr>
              <w:t>Mauricio Gutierrez</w:t>
            </w:r>
          </w:p>
        </w:tc>
        <w:tc>
          <w:tcPr>
            <w:tcW w:w="43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gridSpan w:val="3"/>
          </w:tcPr>
          <w:p>
            <w:pPr>
              <w:ind w:left="400"/>
              <w:spacing w:after="0"/>
              <w:rPr>
                <w:sz w:val="20"/>
                <w:szCs w:val="20"/>
                <w:color w:val="auto"/>
              </w:rPr>
            </w:pPr>
            <w:r>
              <w:rPr>
                <w:rFonts w:ascii="Arial" w:cs="Arial" w:eastAsia="Arial" w:hAnsi="Arial"/>
                <w:sz w:val="18"/>
                <w:szCs w:val="18"/>
                <w:color w:val="auto"/>
              </w:rPr>
              <w:t>Date: February 29, 2016</w:t>
            </w:r>
          </w:p>
        </w:tc>
        <w:tc>
          <w:tcPr>
            <w:tcW w:w="3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877" w:right="239" w:bottom="1440" w:gutter="0" w:footer="0" w:header="0"/>
        </w:sectPr>
      </w:pPr>
    </w:p>
    <w:bookmarkStart w:id="121" w:name="page122"/>
    <w:bookmarkEnd w:id="121"/>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1"/>
              </w:rPr>
              <w:t>Title</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98"/>
              </w:rPr>
              <w:t>/s/ KIRKLAND B. ANDREWS</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 of NRG Yield, Inc.</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94"/>
              </w:rPr>
              <w:t>Kirkland B. Andrews</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Sole Managing Member of NRG Yield LLC</w:t>
            </w:r>
          </w:p>
        </w:tc>
        <w:tc>
          <w:tcPr>
            <w:tcW w:w="0" w:type="dxa"/>
            <w:vAlign w:val="bottom"/>
          </w:tcPr>
          <w:p>
            <w:pPr>
              <w:spacing w:after="0"/>
              <w:rPr>
                <w:sz w:val="1"/>
                <w:szCs w:val="1"/>
                <w:color w:val="auto"/>
              </w:rPr>
            </w:pPr>
          </w:p>
        </w:tc>
      </w:tr>
      <w:tr>
        <w:trPr>
          <w:trHeight w:val="567"/>
        </w:trPr>
        <w:tc>
          <w:tcPr>
            <w:tcW w:w="3540" w:type="dxa"/>
            <w:vAlign w:val="bottom"/>
          </w:tcPr>
          <w:p>
            <w:pPr>
              <w:jc w:val="center"/>
              <w:spacing w:after="0"/>
              <w:rPr>
                <w:sz w:val="20"/>
                <w:szCs w:val="20"/>
                <w:color w:val="auto"/>
              </w:rPr>
            </w:pPr>
            <w:r>
              <w:rPr>
                <w:rFonts w:ascii="Arial" w:cs="Arial" w:eastAsia="Arial" w:hAnsi="Arial"/>
                <w:sz w:val="18"/>
                <w:szCs w:val="18"/>
                <w:color w:val="auto"/>
                <w:w w:val="95"/>
              </w:rPr>
              <w:t>/s/ JOHN CHLEBOWSKI</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 of NRG Yield, Inc.</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93"/>
              </w:rPr>
              <w:t>Sole Managing Member of NRG Yield LLC</w:t>
            </w:r>
          </w:p>
        </w:tc>
        <w:tc>
          <w:tcPr>
            <w:tcW w:w="0" w:type="dxa"/>
            <w:vAlign w:val="bottom"/>
          </w:tcPr>
          <w:p>
            <w:pPr>
              <w:spacing w:after="0"/>
              <w:rPr>
                <w:sz w:val="1"/>
                <w:szCs w:val="1"/>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91"/>
              </w:rPr>
              <w:t>John Chlebowski</w:t>
            </w:r>
          </w:p>
        </w:tc>
        <w:tc>
          <w:tcPr>
            <w:tcW w:w="120" w:type="dxa"/>
            <w:vAlign w:val="bottom"/>
          </w:tcPr>
          <w:p>
            <w:pPr>
              <w:spacing w:after="0"/>
              <w:rPr>
                <w:sz w:val="20"/>
                <w:szCs w:val="20"/>
                <w:color w:val="auto"/>
              </w:rPr>
            </w:pPr>
          </w:p>
        </w:tc>
        <w:tc>
          <w:tcPr>
            <w:tcW w:w="5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3540" w:type="dxa"/>
            <w:vAlign w:val="bottom"/>
          </w:tcPr>
          <w:p>
            <w:pPr>
              <w:jc w:val="center"/>
              <w:spacing w:after="0"/>
              <w:rPr>
                <w:sz w:val="20"/>
                <w:szCs w:val="20"/>
                <w:color w:val="auto"/>
              </w:rPr>
            </w:pPr>
            <w:r>
              <w:rPr>
                <w:rFonts w:ascii="Arial" w:cs="Arial" w:eastAsia="Arial" w:hAnsi="Arial"/>
                <w:sz w:val="18"/>
                <w:szCs w:val="18"/>
                <w:color w:val="auto"/>
                <w:w w:val="96"/>
              </w:rPr>
              <w:t>/s/ BRIAN FORD</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 of NRG Yield, Inc.</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92"/>
              </w:rPr>
              <w:t>Brian Ford</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Sole Managing Member of NRG Yield LLC</w:t>
            </w:r>
          </w:p>
        </w:tc>
        <w:tc>
          <w:tcPr>
            <w:tcW w:w="0" w:type="dxa"/>
            <w:vAlign w:val="bottom"/>
          </w:tcPr>
          <w:p>
            <w:pPr>
              <w:spacing w:after="0"/>
              <w:rPr>
                <w:sz w:val="1"/>
                <w:szCs w:val="1"/>
                <w:color w:val="auto"/>
              </w:rPr>
            </w:pPr>
          </w:p>
        </w:tc>
      </w:tr>
      <w:tr>
        <w:trPr>
          <w:trHeight w:val="567"/>
        </w:trPr>
        <w:tc>
          <w:tcPr>
            <w:tcW w:w="3540" w:type="dxa"/>
            <w:vAlign w:val="bottom"/>
          </w:tcPr>
          <w:p>
            <w:pPr>
              <w:ind w:left="780"/>
              <w:spacing w:after="0"/>
              <w:rPr>
                <w:sz w:val="20"/>
                <w:szCs w:val="20"/>
                <w:color w:val="auto"/>
              </w:rPr>
            </w:pPr>
            <w:r>
              <w:rPr>
                <w:rFonts w:ascii="Arial" w:cs="Arial" w:eastAsia="Arial" w:hAnsi="Arial"/>
                <w:sz w:val="18"/>
                <w:szCs w:val="18"/>
                <w:color w:val="auto"/>
              </w:rPr>
              <w:t>/s/ FERRELL MCCLEAN</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 of NRG Yield, Inc.</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92"/>
              </w:rPr>
              <w:t>Ferrell McClean</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Sole Managing Member of NRG Yield LLC</w:t>
            </w:r>
          </w:p>
        </w:tc>
        <w:tc>
          <w:tcPr>
            <w:tcW w:w="0" w:type="dxa"/>
            <w:vAlign w:val="bottom"/>
          </w:tcPr>
          <w:p>
            <w:pPr>
              <w:spacing w:after="0"/>
              <w:rPr>
                <w:sz w:val="1"/>
                <w:szCs w:val="1"/>
                <w:color w:val="auto"/>
              </w:rPr>
            </w:pPr>
          </w:p>
        </w:tc>
      </w:tr>
      <w:tr>
        <w:trPr>
          <w:trHeight w:val="567"/>
        </w:trPr>
        <w:tc>
          <w:tcPr>
            <w:tcW w:w="3540" w:type="dxa"/>
            <w:vAlign w:val="bottom"/>
          </w:tcPr>
          <w:p>
            <w:pPr>
              <w:jc w:val="center"/>
              <w:spacing w:after="0"/>
              <w:rPr>
                <w:sz w:val="20"/>
                <w:szCs w:val="20"/>
                <w:color w:val="auto"/>
              </w:rPr>
            </w:pPr>
            <w:r>
              <w:rPr>
                <w:rFonts w:ascii="Arial" w:cs="Arial" w:eastAsia="Arial" w:hAnsi="Arial"/>
                <w:sz w:val="18"/>
                <w:szCs w:val="18"/>
                <w:color w:val="auto"/>
                <w:w w:val="91"/>
              </w:rPr>
              <w:t>/s/ CHRISTOPHER SOTOS</w:t>
            </w:r>
          </w:p>
        </w:tc>
        <w:tc>
          <w:tcPr>
            <w:tcW w:w="1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 of NRG Yield, Inc.</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90"/>
              </w:rPr>
              <w:t>Christopher Sotos</w:t>
            </w: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Sole Managing Member of NRG Yield LLC</w:t>
            </w:r>
          </w:p>
        </w:tc>
        <w:tc>
          <w:tcPr>
            <w:tcW w:w="0" w:type="dxa"/>
            <w:vAlign w:val="bottom"/>
          </w:tcPr>
          <w:p>
            <w:pPr>
              <w:spacing w:after="0"/>
              <w:rPr>
                <w:sz w:val="1"/>
                <w:szCs w:val="1"/>
                <w:color w:val="auto"/>
              </w:rPr>
            </w:pPr>
          </w:p>
        </w:tc>
      </w:tr>
      <w:tr>
        <w:trPr>
          <w:trHeight w:val="702"/>
        </w:trPr>
        <w:tc>
          <w:tcPr>
            <w:tcW w:w="3540" w:type="dxa"/>
            <w:vAlign w:val="bottom"/>
          </w:tcPr>
          <w:p>
            <w:pPr>
              <w:spacing w:after="0"/>
              <w:rPr>
                <w:sz w:val="24"/>
                <w:szCs w:val="24"/>
                <w:color w:val="auto"/>
              </w:rPr>
            </w:pPr>
          </w:p>
        </w:tc>
        <w:tc>
          <w:tcPr>
            <w:tcW w:w="5480" w:type="dxa"/>
            <w:vAlign w:val="bottom"/>
            <w:gridSpan w:val="2"/>
          </w:tcPr>
          <w:p>
            <w:pPr>
              <w:jc w:val="right"/>
              <w:ind w:right="309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248920</wp:posOffset>
            </wp:positionV>
            <wp:extent cx="14490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34290</wp:posOffset>
            </wp:positionV>
            <wp:extent cx="14490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February 29, 2016</w:t>
      </w:r>
    </w:p>
    <w:p>
      <w:pPr>
        <w:sectPr>
          <w:pgSz w:w="11900" w:h="16838" w:orient="portrait"/>
          <w:cols w:equalWidth="0" w:num="2">
            <w:col w:w="9020" w:space="600"/>
            <w:col w:w="1320"/>
          </w:cols>
          <w:pgMar w:left="240" w:top="1440" w:right="719" w:bottom="1440" w:gutter="0" w:footer="0" w:header="0"/>
        </w:sectPr>
      </w:pPr>
    </w:p>
    <w:bookmarkStart w:id="122" w:name="page123"/>
    <w:bookmarkEnd w:id="122"/>
    <w:p>
      <w:pPr>
        <w:jc w:val="center"/>
        <w:ind w:left="740" w:right="2320"/>
        <w:spacing w:after="0" w:line="266" w:lineRule="auto"/>
        <w:rPr>
          <w:sz w:val="20"/>
          <w:szCs w:val="20"/>
          <w:color w:val="auto"/>
        </w:rPr>
      </w:pPr>
      <w:r>
        <w:rPr>
          <w:rFonts w:ascii="Arial" w:cs="Arial" w:eastAsia="Arial" w:hAnsi="Arial"/>
          <w:sz w:val="18"/>
          <w:szCs w:val="18"/>
          <w:b w:val="1"/>
          <w:bCs w:val="1"/>
          <w:color w:val="auto"/>
        </w:rPr>
        <w:t>Supplemental Information to be Furnished with Reports Filed Pursuant to Section 15(d) of the Act by Registrants Which Have Not Registered Securities Pursuant to Section 12 of the Act</w:t>
      </w:r>
    </w:p>
    <w:p>
      <w:pPr>
        <w:spacing w:after="0" w:line="126"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No annual report or proxy materials has been sent to securities holders and no such report or proxy material is to be furnished to securities holders subsequent to the filing of the annual report on this Form 10-K.</w:t>
      </w:r>
    </w:p>
    <w:p>
      <w:pPr>
        <w:spacing w:after="0" w:line="200" w:lineRule="exact"/>
        <w:rPr>
          <w:sz w:val="20"/>
          <w:szCs w:val="20"/>
          <w:color w:val="auto"/>
        </w:rPr>
      </w:pPr>
    </w:p>
    <w:p>
      <w:pPr>
        <w:spacing w:after="0" w:line="29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880"/>
          </w:cols>
          <w:pgMar w:left="240" w:top="959" w:right="77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OPERATING LLC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For the Year Ended December 31,</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(c)</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(b)(c)</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2012</w:t>
            </w:r>
            <w:r>
              <w:rPr>
                <w:rFonts w:ascii="Arial" w:cs="Arial" w:eastAsia="Arial" w:hAnsi="Arial"/>
                <w:sz w:val="8"/>
                <w:szCs w:val="8"/>
                <w:b w:val="1"/>
                <w:bCs w:val="1"/>
                <w:color w:val="auto"/>
              </w:rPr>
              <w:t>(a)(b)(c)</w:t>
            </w: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 xml:space="preserve">2011 </w:t>
            </w:r>
            <w:r>
              <w:rPr>
                <w:rFonts w:ascii="Arial" w:cs="Arial" w:eastAsia="Arial" w:hAnsi="Arial"/>
                <w:sz w:val="8"/>
                <w:szCs w:val="8"/>
                <w:b w:val="1"/>
                <w:bCs w:val="1"/>
                <w:color w:val="auto"/>
                <w:w w:val="94"/>
              </w:rPr>
              <w:t>(b)(c)</w:t>
            </w:r>
          </w:p>
        </w:tc>
        <w:tc>
          <w:tcPr>
            <w:tcW w:w="0" w:type="dxa"/>
            <w:vAlign w:val="bottom"/>
          </w:tcPr>
          <w:p>
            <w:pPr>
              <w:spacing w:after="0"/>
              <w:rPr>
                <w:sz w:val="1"/>
                <w:szCs w:val="1"/>
                <w:color w:val="auto"/>
              </w:rPr>
            </w:pPr>
          </w:p>
        </w:tc>
      </w:tr>
      <w:tr>
        <w:trPr>
          <w:trHeight w:val="264"/>
        </w:trPr>
        <w:tc>
          <w:tcPr>
            <w:tcW w:w="6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2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ratio)</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0" w:type="dxa"/>
            <w:vAlign w:val="bottom"/>
          </w:tcPr>
          <w:p>
            <w:pPr>
              <w:spacing w:after="0"/>
              <w:rPr>
                <w:sz w:val="22"/>
                <w:szCs w:val="22"/>
                <w:color w:val="auto"/>
              </w:rPr>
            </w:pPr>
          </w:p>
        </w:tc>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Earnings:</w:t>
            </w: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Income from continuing operations before income tax</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Less:</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Equity in earnings of unconsolidated affiliates</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Capitalized interest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b w:val="1"/>
                <w:bCs w:val="1"/>
                <w:color w:val="auto"/>
              </w:rPr>
              <w:t>Add:</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Fixed charges</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Distributions from unconsolidated affiliates</w:t>
            </w:r>
          </w:p>
        </w:tc>
        <w:tc>
          <w:tcPr>
            <w:tcW w:w="18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 w:type="dxa"/>
            <w:vAlign w:val="bottom"/>
          </w:tcPr>
          <w:p>
            <w:pPr>
              <w:spacing w:after="0"/>
              <w:rPr>
                <w:sz w:val="23"/>
                <w:szCs w:val="23"/>
                <w:color w:val="auto"/>
              </w:rPr>
            </w:pPr>
          </w:p>
        </w:tc>
        <w:tc>
          <w:tcPr>
            <w:tcW w:w="5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capitalized interest</w:t>
            </w: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280" w:type="dxa"/>
            <w:vAlign w:val="bottom"/>
            <w:gridSpan w:val="3"/>
          </w:tcPr>
          <w:p>
            <w:pPr>
              <w:ind w:left="600"/>
              <w:spacing w:after="0"/>
              <w:rPr>
                <w:sz w:val="20"/>
                <w:szCs w:val="20"/>
                <w:color w:val="auto"/>
              </w:rPr>
            </w:pPr>
            <w:r>
              <w:rPr>
                <w:rFonts w:ascii="Arial" w:cs="Arial" w:eastAsia="Arial" w:hAnsi="Arial"/>
                <w:sz w:val="18"/>
                <w:szCs w:val="18"/>
                <w:b w:val="1"/>
                <w:bCs w:val="1"/>
                <w:color w:val="auto"/>
              </w:rPr>
              <w:t>Total Earnings: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280" w:type="dxa"/>
            <w:vAlign w:val="bottom"/>
            <w:gridSpan w:val="3"/>
            <w:vMerge w:val="restart"/>
          </w:tcPr>
          <w:p>
            <w:pPr>
              <w:ind w:left="600"/>
              <w:spacing w:after="0"/>
              <w:rPr>
                <w:sz w:val="20"/>
                <w:szCs w:val="20"/>
                <w:color w:val="auto"/>
              </w:rPr>
            </w:pPr>
            <w:r>
              <w:rPr>
                <w:rFonts w:ascii="Arial" w:cs="Arial" w:eastAsia="Arial" w:hAnsi="Arial"/>
                <w:sz w:val="18"/>
                <w:szCs w:val="18"/>
                <w:b w:val="1"/>
                <w:bCs w:val="1"/>
                <w:color w:val="auto"/>
              </w:rPr>
              <w:t>Fixed Charges:</w:t>
            </w: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2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Capitalized interest</w:t>
            </w:r>
          </w:p>
        </w:tc>
        <w:tc>
          <w:tcPr>
            <w:tcW w:w="18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Approximation of interest in rental expense</w:t>
            </w:r>
          </w:p>
        </w:tc>
        <w:tc>
          <w:tcPr>
            <w:tcW w:w="18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24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0" w:type="dxa"/>
            <w:vAlign w:val="bottom"/>
          </w:tcPr>
          <w:p>
            <w:pPr>
              <w:spacing w:after="0"/>
              <w:rPr>
                <w:sz w:val="22"/>
                <w:szCs w:val="22"/>
                <w:color w:val="auto"/>
              </w:rPr>
            </w:pPr>
          </w:p>
        </w:tc>
        <w:tc>
          <w:tcPr>
            <w:tcW w:w="5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Fixed Charges: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6280" w:type="dxa"/>
            <w:vAlign w:val="bottom"/>
            <w:gridSpan w:val="3"/>
          </w:tcPr>
          <w:p>
            <w:pPr>
              <w:ind w:left="600"/>
              <w:spacing w:after="0"/>
              <w:rPr>
                <w:sz w:val="20"/>
                <w:szCs w:val="20"/>
                <w:color w:val="auto"/>
              </w:rPr>
            </w:pPr>
            <w:r>
              <w:rPr>
                <w:rFonts w:ascii="Arial" w:cs="Arial" w:eastAsia="Arial" w:hAnsi="Arial"/>
                <w:sz w:val="18"/>
                <w:szCs w:val="18"/>
                <w:b w:val="1"/>
                <w:bCs w:val="1"/>
                <w:color w:val="auto"/>
              </w:rPr>
              <w:t>Ratio of Earnings to Combined Fixed Charges</w:t>
            </w:r>
          </w:p>
        </w:tc>
        <w:tc>
          <w:tcPr>
            <w:tcW w:w="1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4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660" w:hanging="328"/>
        <w:spacing w:after="0" w:line="210" w:lineRule="auto"/>
        <w:tabs>
          <w:tab w:leader="none" w:pos="660" w:val="left"/>
        </w:tabs>
        <w:numPr>
          <w:ilvl w:val="0"/>
          <w:numId w:val="77"/>
        </w:numPr>
        <w:rPr>
          <w:rFonts w:ascii="Arial" w:cs="Arial" w:eastAsia="Arial" w:hAnsi="Arial"/>
          <w:sz w:val="9"/>
          <w:szCs w:val="9"/>
          <w:color w:val="auto"/>
        </w:rPr>
      </w:pPr>
      <w:r>
        <w:rPr>
          <w:rFonts w:ascii="Arial" w:cs="Arial" w:eastAsia="Arial" w:hAnsi="Arial"/>
          <w:sz w:val="14"/>
          <w:szCs w:val="14"/>
          <w:color w:val="auto"/>
        </w:rPr>
        <w:t>The ratio coverage for the year ended December 31, 2012 was less than 1:1. NRG Yield Operating LLC would have needed to generate additional earnings of $15 million to achieve a ratio coverage of 1:1 for that year.</w:t>
      </w:r>
    </w:p>
    <w:p>
      <w:pPr>
        <w:jc w:val="both"/>
        <w:ind w:left="660" w:hanging="328"/>
        <w:spacing w:after="0" w:line="201" w:lineRule="auto"/>
        <w:tabs>
          <w:tab w:leader="none" w:pos="660" w:val="left"/>
        </w:tabs>
        <w:numPr>
          <w:ilvl w:val="0"/>
          <w:numId w:val="77"/>
        </w:numPr>
        <w:rPr>
          <w:rFonts w:ascii="Arial" w:cs="Arial" w:eastAsia="Arial" w:hAnsi="Arial"/>
          <w:sz w:val="9"/>
          <w:szCs w:val="9"/>
          <w:color w:val="auto"/>
        </w:rPr>
      </w:pPr>
      <w:r>
        <w:rPr>
          <w:rFonts w:ascii="Arial" w:cs="Arial" w:eastAsia="Arial" w:hAnsi="Arial"/>
          <w:sz w:val="14"/>
          <w:szCs w:val="14"/>
          <w:color w:val="auto"/>
        </w:rPr>
        <w:t>For all periods prior to the Yield, Inc.'s initial public offering on July 22, 2013, the accompanying combined financial statements represent the combination of the assets that the Company acquired and were prepared using NRG's historical basis in the assets and liabilities. For the purposes of the combined financial statements, the term "NRG Yield Operating LLC and Subsidiaries" represents the accounting predecessor, or the combination of the acquired businesses. For all periods subsequent to the Yield Inc. initial public offering, the accompanying audited consolidated financial statements represent the consolidated results of the Company.</w:t>
      </w:r>
    </w:p>
    <w:p>
      <w:pPr>
        <w:ind w:left="660" w:hanging="328"/>
        <w:spacing w:after="0"/>
        <w:tabs>
          <w:tab w:leader="none" w:pos="660" w:val="left"/>
        </w:tabs>
        <w:numPr>
          <w:ilvl w:val="0"/>
          <w:numId w:val="77"/>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b w:val="1"/>
                <w:bCs w:val="1"/>
                <w:color w:val="auto"/>
              </w:rPr>
              <w:t>SUBSIDIARIES OF NRG YIELD LLC</w:t>
            </w:r>
          </w:p>
        </w:tc>
      </w:tr>
      <w:tr>
        <w:trPr>
          <w:trHeight w:val="360"/>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Entity Name</w:t>
            </w:r>
          </w:p>
        </w:tc>
        <w:tc>
          <w:tcPr>
            <w:tcW w:w="4240" w:type="dxa"/>
            <w:vAlign w:val="bottom"/>
          </w:tcPr>
          <w:p>
            <w:pPr>
              <w:spacing w:after="0"/>
              <w:rPr>
                <w:sz w:val="24"/>
                <w:szCs w:val="24"/>
                <w:color w:val="auto"/>
              </w:rPr>
            </w:pPr>
          </w:p>
        </w:tc>
        <w:tc>
          <w:tcPr>
            <w:tcW w:w="3180" w:type="dxa"/>
            <w:vAlign w:val="bottom"/>
          </w:tcPr>
          <w:p>
            <w:pPr>
              <w:ind w:left="14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39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84"/>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Adams Community Solar Garden I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Colorado</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Adams Community Solar Garden II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Colorado</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Adams Community Solar Garden III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Colorado</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Adams Community Solar Gardens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Colorado</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Alta Interconnection Management II,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Alta Interconnection Management III,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Alta Interconnection Management,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Alta Realty Holdings,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Alta Realty Investments,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Alta Wind 1-5 Holding Company,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w w:val="97"/>
              </w:rPr>
              <w:t>Alta Wind Asset Management Holdings,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Alta Wind Asset Management,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Alta Wind Company,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Alta Wind Holdings,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Alta Wind I Holding Company,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Alta Wind I,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Alta Wind II Holding Company,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Alta Wind II,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Alta Wind III Holding Company,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Alta Wind III,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Alta Wind IV Holding Company,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Alta Wind IV,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Alta Wind V Holding Company,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Alta Wind V,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Alta Wind X Holding Company,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Alta Wind X,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Alta Wind X-XI TE Holdco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Alta Wind XI Holding Company,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Alta Wind XI,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Apple I REC Holdco 2011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Arapahoe Community Solar Garden I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Colorado</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Avenal Park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Avenal Solar Holdings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Buffalo Bear,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Oklahoma</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BWC Swan Pond River,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Clear View Acres Wind Farm,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Iowa</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Colorado Shared Solar I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Colorado</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Colorado Springs Solar Garden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Colorado</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Continental Energy,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Arizona</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Cy-Hawk Wind Energy,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Iowa</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Denver Community Solar Garden I LLC</w:t>
            </w:r>
          </w:p>
        </w:tc>
        <w:tc>
          <w:tcPr>
            <w:tcW w:w="4240" w:type="dxa"/>
            <w:vAlign w:val="bottom"/>
            <w:tcBorders>
              <w:bottom w:val="single" w:sz="8" w:color="CCEEFF"/>
              <w:right w:val="single" w:sz="8" w:color="C0C0C0"/>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Colorado</w:t>
            </w:r>
          </w:p>
        </w:tc>
      </w:tr>
      <w:tr>
        <w:trPr>
          <w:trHeight w:val="254"/>
        </w:trPr>
        <w:tc>
          <w:tcPr>
            <w:tcW w:w="3940" w:type="dxa"/>
            <w:vAlign w:val="bottom"/>
            <w:tcBorders>
              <w:top w:val="single" w:sz="8" w:color="C0C0C0"/>
              <w:left w:val="single" w:sz="8" w:color="C0C0C0"/>
            </w:tcBorders>
          </w:tcPr>
          <w:p>
            <w:pPr>
              <w:ind w:left="80"/>
              <w:spacing w:after="0"/>
              <w:rPr>
                <w:sz w:val="20"/>
                <w:szCs w:val="20"/>
                <w:color w:val="auto"/>
              </w:rPr>
            </w:pPr>
            <w:r>
              <w:rPr>
                <w:rFonts w:ascii="Arial" w:cs="Arial" w:eastAsia="Arial" w:hAnsi="Arial"/>
                <w:sz w:val="20"/>
                <w:szCs w:val="20"/>
                <w:color w:val="auto"/>
              </w:rPr>
              <w:t>Denver Community Solar Garden II LLC</w:t>
            </w:r>
          </w:p>
        </w:tc>
        <w:tc>
          <w:tcPr>
            <w:tcW w:w="4240" w:type="dxa"/>
            <w:vAlign w:val="bottom"/>
            <w:tcBorders>
              <w:top w:val="single" w:sz="8" w:color="C0C0C0"/>
              <w:right w:val="single" w:sz="8" w:color="C0C0C0"/>
            </w:tcBorders>
          </w:tcPr>
          <w:p>
            <w:pPr>
              <w:spacing w:after="0"/>
              <w:rPr>
                <w:sz w:val="22"/>
                <w:szCs w:val="22"/>
                <w:color w:val="auto"/>
              </w:rPr>
            </w:pPr>
          </w:p>
        </w:tc>
        <w:tc>
          <w:tcPr>
            <w:tcW w:w="3180" w:type="dxa"/>
            <w:vAlign w:val="bottom"/>
          </w:tcPr>
          <w:p>
            <w:pPr>
              <w:ind w:left="140"/>
              <w:spacing w:after="0"/>
              <w:rPr>
                <w:sz w:val="20"/>
                <w:szCs w:val="20"/>
                <w:color w:val="auto"/>
              </w:rPr>
            </w:pPr>
            <w:r>
              <w:rPr>
                <w:rFonts w:ascii="Arial" w:cs="Arial" w:eastAsia="Arial" w:hAnsi="Arial"/>
                <w:sz w:val="20"/>
                <w:szCs w:val="20"/>
                <w:color w:val="auto"/>
              </w:rPr>
              <w:t>Colorado</w:t>
            </w:r>
          </w:p>
        </w:tc>
      </w:tr>
      <w:tr>
        <w:trPr>
          <w:trHeight w:val="23"/>
        </w:trPr>
        <w:tc>
          <w:tcPr>
            <w:tcW w:w="3940" w:type="dxa"/>
            <w:vAlign w:val="bottom"/>
            <w:tcBorders>
              <w:left w:val="single" w:sz="8" w:color="C0C0C0"/>
              <w:bottom w:val="single" w:sz="8" w:color="C0C0C0"/>
            </w:tcBorders>
          </w:tcPr>
          <w:p>
            <w:pPr>
              <w:spacing w:after="0"/>
              <w:rPr>
                <w:sz w:val="2"/>
                <w:szCs w:val="2"/>
                <w:color w:val="auto"/>
              </w:rPr>
            </w:pPr>
          </w:p>
        </w:tc>
        <w:tc>
          <w:tcPr>
            <w:tcW w:w="4240" w:type="dxa"/>
            <w:vAlign w:val="bottom"/>
            <w:tcBorders>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57"/>
        </w:trPr>
        <w:tc>
          <w:tcPr>
            <w:tcW w:w="3940" w:type="dxa"/>
            <w:vAlign w:val="bottom"/>
            <w:tcBorders>
              <w:left w:val="single" w:sz="8" w:color="C0C0C0"/>
              <w:bottom w:val="single" w:sz="8" w:color="CCEEFF"/>
            </w:tcBorders>
            <w:shd w:val="clear" w:color="auto" w:fill="CCEEFF"/>
          </w:tcPr>
          <w:p>
            <w:pPr>
              <w:ind w:left="80"/>
              <w:spacing w:after="0"/>
              <w:rPr>
                <w:sz w:val="20"/>
                <w:szCs w:val="20"/>
                <w:color w:val="auto"/>
              </w:rPr>
            </w:pPr>
            <w:r>
              <w:rPr>
                <w:rFonts w:ascii="Arial" w:cs="Arial" w:eastAsia="Arial" w:hAnsi="Arial"/>
                <w:sz w:val="20"/>
                <w:szCs w:val="20"/>
                <w:color w:val="auto"/>
              </w:rPr>
              <w:t>Desert Sunlight Investment Holdings, LLC</w:t>
            </w:r>
          </w:p>
        </w:tc>
        <w:tc>
          <w:tcPr>
            <w:tcW w:w="4240" w:type="dxa"/>
            <w:vAlign w:val="bottom"/>
            <w:tcBorders>
              <w:bottom w:val="single" w:sz="8" w:color="CCEEFF"/>
              <w:right w:val="single" w:sz="8" w:color="C0C0C0"/>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0"/>
        </w:trPr>
        <w:tc>
          <w:tcPr>
            <w:tcW w:w="3940" w:type="dxa"/>
            <w:vAlign w:val="bottom"/>
            <w:tcBorders>
              <w:left w:val="single" w:sz="8" w:color="C0C0C0"/>
            </w:tcBorders>
            <w:shd w:val="clear" w:color="auto" w:fill="C0C0C0"/>
          </w:tcPr>
          <w:p>
            <w:pPr>
              <w:spacing w:after="0" w:line="20" w:lineRule="exact"/>
              <w:rPr>
                <w:sz w:val="1"/>
                <w:szCs w:val="1"/>
                <w:color w:val="auto"/>
              </w:rPr>
            </w:pPr>
          </w:p>
        </w:tc>
        <w:tc>
          <w:tcPr>
            <w:tcW w:w="4240" w:type="dxa"/>
            <w:vAlign w:val="bottom"/>
            <w:tcBorders>
              <w:right w:val="single" w:sz="8" w:color="C0C0C0"/>
            </w:tcBorders>
            <w:shd w:val="clear" w:color="auto" w:fill="C0C0C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125" w:name="page126"/>
    <w:bookmarkEnd w:id="1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8180" w:type="dxa"/>
            <w:vAlign w:val="bottom"/>
            <w:tcBorders>
              <w:left w:val="single" w:sz="8" w:color="C0C0C0"/>
              <w:bottom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Eagle View Acres Wind Farm, LLC</w:t>
            </w:r>
          </w:p>
        </w:tc>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Iowa</w:t>
            </w:r>
          </w:p>
        </w:tc>
      </w:tr>
      <w:tr>
        <w:trPr>
          <w:trHeight w:val="284"/>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Elbow Creek Wind Project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Texas</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Elkhorn Ridge Wind,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Elk Lake Wind Farm,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Iowa</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El Mirage Energy, LLC</w:t>
            </w:r>
          </w:p>
        </w:tc>
        <w:tc>
          <w:tcPr>
            <w:tcW w:w="3180" w:type="dxa"/>
            <w:vAlign w:val="bottom"/>
          </w:tcPr>
          <w:p>
            <w:pPr>
              <w:ind w:left="140"/>
              <w:spacing w:after="0"/>
              <w:rPr>
                <w:sz w:val="20"/>
                <w:szCs w:val="20"/>
                <w:color w:val="auto"/>
              </w:rPr>
            </w:pPr>
            <w:r>
              <w:rPr>
                <w:rFonts w:ascii="Arial" w:cs="Arial" w:eastAsia="Arial" w:hAnsi="Arial"/>
                <w:sz w:val="20"/>
                <w:szCs w:val="20"/>
                <w:color w:val="auto"/>
              </w:rPr>
              <w:t>Arizona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El Segundo Energy Center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Federal Road Solar 1,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Forward Wind Power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FUSD Energy, LLC</w:t>
            </w:r>
          </w:p>
        </w:tc>
        <w:tc>
          <w:tcPr>
            <w:tcW w:w="3180" w:type="dxa"/>
            <w:vAlign w:val="bottom"/>
          </w:tcPr>
          <w:p>
            <w:pPr>
              <w:ind w:left="140"/>
              <w:spacing w:after="0"/>
              <w:rPr>
                <w:sz w:val="20"/>
                <w:szCs w:val="20"/>
                <w:color w:val="auto"/>
              </w:rPr>
            </w:pPr>
            <w:r>
              <w:rPr>
                <w:rFonts w:ascii="Arial" w:cs="Arial" w:eastAsia="Arial" w:hAnsi="Arial"/>
                <w:sz w:val="20"/>
                <w:szCs w:val="20"/>
                <w:color w:val="auto"/>
              </w:rPr>
              <w:t>Arizona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GCE Holding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Connecticut</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GenConn Devon LLC</w:t>
            </w:r>
          </w:p>
        </w:tc>
        <w:tc>
          <w:tcPr>
            <w:tcW w:w="3180" w:type="dxa"/>
            <w:vAlign w:val="bottom"/>
          </w:tcPr>
          <w:p>
            <w:pPr>
              <w:ind w:left="140"/>
              <w:spacing w:after="0"/>
              <w:rPr>
                <w:sz w:val="20"/>
                <w:szCs w:val="20"/>
                <w:color w:val="auto"/>
              </w:rPr>
            </w:pPr>
            <w:r>
              <w:rPr>
                <w:rFonts w:ascii="Arial" w:cs="Arial" w:eastAsia="Arial" w:hAnsi="Arial"/>
                <w:sz w:val="20"/>
                <w:szCs w:val="20"/>
                <w:color w:val="auto"/>
              </w:rPr>
              <w:t>Connecticut</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GenConn Energy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Connecticut</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GenConn Middletown LLC</w:t>
            </w:r>
          </w:p>
        </w:tc>
        <w:tc>
          <w:tcPr>
            <w:tcW w:w="3180" w:type="dxa"/>
            <w:vAlign w:val="bottom"/>
          </w:tcPr>
          <w:p>
            <w:pPr>
              <w:ind w:left="140"/>
              <w:spacing w:after="0"/>
              <w:rPr>
                <w:sz w:val="20"/>
                <w:szCs w:val="20"/>
                <w:color w:val="auto"/>
              </w:rPr>
            </w:pPr>
            <w:r>
              <w:rPr>
                <w:rFonts w:ascii="Arial" w:cs="Arial" w:eastAsia="Arial" w:hAnsi="Arial"/>
                <w:sz w:val="20"/>
                <w:szCs w:val="20"/>
                <w:color w:val="auto"/>
              </w:rPr>
              <w:t>Connecticut</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Goat Wind, LP</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Texas</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Green Prairie Energy, LLC</w:t>
            </w:r>
          </w:p>
        </w:tc>
        <w:tc>
          <w:tcPr>
            <w:tcW w:w="3180" w:type="dxa"/>
            <w:vAlign w:val="bottom"/>
          </w:tcPr>
          <w:p>
            <w:pPr>
              <w:ind w:left="140"/>
              <w:spacing w:after="0"/>
              <w:rPr>
                <w:sz w:val="20"/>
                <w:szCs w:val="20"/>
                <w:color w:val="auto"/>
              </w:rPr>
            </w:pPr>
            <w:r>
              <w:rPr>
                <w:rFonts w:ascii="Arial" w:cs="Arial" w:eastAsia="Arial" w:hAnsi="Arial"/>
                <w:sz w:val="20"/>
                <w:szCs w:val="20"/>
                <w:color w:val="auto"/>
              </w:rPr>
              <w:t>Iowa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Greene Wind Energy,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Iowa</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Hardin Hilltop Wind, LLC</w:t>
            </w:r>
          </w:p>
        </w:tc>
        <w:tc>
          <w:tcPr>
            <w:tcW w:w="3180" w:type="dxa"/>
            <w:vAlign w:val="bottom"/>
          </w:tcPr>
          <w:p>
            <w:pPr>
              <w:ind w:left="140"/>
              <w:spacing w:after="0"/>
              <w:rPr>
                <w:sz w:val="20"/>
                <w:szCs w:val="20"/>
                <w:color w:val="auto"/>
              </w:rPr>
            </w:pPr>
            <w:r>
              <w:rPr>
                <w:rFonts w:ascii="Arial" w:cs="Arial" w:eastAsia="Arial" w:hAnsi="Arial"/>
                <w:sz w:val="20"/>
                <w:szCs w:val="20"/>
                <w:color w:val="auto"/>
              </w:rPr>
              <w:t>Iowa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Hardin Wind Energy,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Iowa</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Highland Township Wind Farm, LLC</w:t>
            </w:r>
          </w:p>
        </w:tc>
        <w:tc>
          <w:tcPr>
            <w:tcW w:w="3180" w:type="dxa"/>
            <w:vAlign w:val="bottom"/>
          </w:tcPr>
          <w:p>
            <w:pPr>
              <w:ind w:left="140"/>
              <w:spacing w:after="0"/>
              <w:rPr>
                <w:sz w:val="20"/>
                <w:szCs w:val="20"/>
                <w:color w:val="auto"/>
              </w:rPr>
            </w:pPr>
            <w:r>
              <w:rPr>
                <w:rFonts w:ascii="Arial" w:cs="Arial" w:eastAsia="Arial" w:hAnsi="Arial"/>
                <w:sz w:val="20"/>
                <w:szCs w:val="20"/>
                <w:color w:val="auto"/>
              </w:rPr>
              <w:t>Iowa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High Plains Ranch II,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HLE Solar Holdings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HSD Solar Holdings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California</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Laredo Ridge Wind,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Lenape II Solar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Lindberg Field Solar 1,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Longhorn Energy,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Arizona</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Lookout Wind Power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Mission Iowa Wind,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California</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Mission Minnesota Wind II,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Mission Wind Goat Mountain,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Mission Wind Laredo,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Mission Wind New Mexico,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Mission Wind Oklahoma,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Mission Wind PA One,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Mission Wind PA Three,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Mission Wind PA Two,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Mission Wind Pennsylvania,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Mission Wind Texas II,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Mission Wind Texas,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Mission Wind Utah,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Mission Wind Wildorado,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Monster Energy,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Arizona</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Natural Gas Repowering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Alta Vista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CA Fund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5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DGPV 1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0"/>
        </w:trPr>
        <w:tc>
          <w:tcPr>
            <w:tcW w:w="8180" w:type="dxa"/>
            <w:vAlign w:val="bottom"/>
            <w:tcBorders>
              <w:left w:val="single" w:sz="8" w:color="C0C0C0"/>
              <w:right w:val="single" w:sz="8" w:color="C0C0C0"/>
            </w:tcBorders>
            <w:shd w:val="clear" w:color="auto" w:fill="C0C0C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ectPr>
          <w:pgSz w:w="11900" w:h="16838" w:orient="portrait"/>
          <w:cols w:equalWidth="0" w:num="1">
            <w:col w:w="11360"/>
          </w:cols>
          <w:pgMar w:left="280" w:top="734" w:right="259" w:bottom="1440" w:gutter="0" w:footer="0" w:header="0"/>
        </w:sectPr>
      </w:pPr>
    </w:p>
    <w:bookmarkStart w:id="126" w:name="page127"/>
    <w:bookmarkEnd w:id="1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DGPV 2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DGPV 3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DGPV Fund 1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DGPV Fund 2 HoldCo A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DGPV Fund 2 HoldCo B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DGPV Fund 2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DGPV Holdco 1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Electricity Sales Princeton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Elkhorn Holdings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Energy Center Dover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Energy Center Harrisburg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Energy Center HCEC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Energy Center Minneapolis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Energy Center Omaha Holdings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Energy Center Omaha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Energy Center Paxton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Energy Center Phoenix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Energy Center Pittsburgh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Energy Center Princeton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Energy Center San Diego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Energy Center San Francisco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Energy Center Smyrna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Energy Center Tucson LLC</w:t>
            </w:r>
          </w:p>
        </w:tc>
        <w:tc>
          <w:tcPr>
            <w:tcW w:w="3180" w:type="dxa"/>
            <w:vAlign w:val="bottom"/>
          </w:tcPr>
          <w:p>
            <w:pPr>
              <w:ind w:left="140"/>
              <w:spacing w:after="0"/>
              <w:rPr>
                <w:sz w:val="20"/>
                <w:szCs w:val="20"/>
                <w:color w:val="auto"/>
              </w:rPr>
            </w:pPr>
            <w:r>
              <w:rPr>
                <w:rFonts w:ascii="Arial" w:cs="Arial" w:eastAsia="Arial" w:hAnsi="Arial"/>
                <w:sz w:val="20"/>
                <w:szCs w:val="20"/>
                <w:color w:val="auto"/>
              </w:rPr>
              <w:t>Arizona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Harrisburg Cooling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Huntington Beach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Marsh Landing Holdings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Marsh Landing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Renew Spark 2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RPV 1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RPV 2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RPV Fund 12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RPV Fund 13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RPV HoldCo 1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Solar Alpine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Solar Apple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Solar AV Holdco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Solar Avra Valley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Solar Blythe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Solar Borrego Holdco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Solar Borrego I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Solar CVSR Holdings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Solar Kansas South Holdings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Solar Kansas South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Solar Mayfair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Solar Oasis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5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Solar Roadrunner Holdings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0"/>
        </w:trPr>
        <w:tc>
          <w:tcPr>
            <w:tcW w:w="8180" w:type="dxa"/>
            <w:vAlign w:val="bottom"/>
            <w:tcBorders>
              <w:left w:val="single" w:sz="8" w:color="C0C0C0"/>
              <w:right w:val="single" w:sz="8" w:color="C0C0C0"/>
            </w:tcBorders>
            <w:shd w:val="clear" w:color="auto" w:fill="C0C0C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ectPr>
          <w:pgSz w:w="11900" w:h="16838" w:orient="portrait"/>
          <w:cols w:equalWidth="0" w:num="1">
            <w:col w:w="11360"/>
          </w:cols>
          <w:pgMar w:left="280" w:top="714" w:right="259" w:bottom="1440" w:gutter="0" w:footer="0" w:header="0"/>
        </w:sectPr>
      </w:pPr>
    </w:p>
    <w:bookmarkStart w:id="127" w:name="page128"/>
    <w:bookmarkEnd w:id="1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Solar Roadrunner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South Trent Holdings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Thermal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Walnut Creek II,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Walnut Creek,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West Holdings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Wind TE Holdco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Yield DGPV Holding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NRG Yield Operating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NRG Yield RPV Holding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NS Smith,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NYLD Fuel Cell Holdings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OC Solar 2010, LLC</w:t>
            </w:r>
          </w:p>
        </w:tc>
        <w:tc>
          <w:tcPr>
            <w:tcW w:w="3180" w:type="dxa"/>
            <w:vAlign w:val="bottom"/>
          </w:tcPr>
          <w:p>
            <w:pPr>
              <w:ind w:left="140"/>
              <w:spacing w:after="0"/>
              <w:rPr>
                <w:sz w:val="20"/>
                <w:szCs w:val="20"/>
                <w:color w:val="auto"/>
              </w:rPr>
            </w:pPr>
            <w:r>
              <w:rPr>
                <w:rFonts w:ascii="Arial" w:cs="Arial" w:eastAsia="Arial" w:hAnsi="Arial"/>
                <w:sz w:val="20"/>
                <w:szCs w:val="20"/>
                <w:color w:val="auto"/>
              </w:rPr>
              <w:t>California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Odin Wind Farm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Minnesota</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OWF Eight, LLC</w:t>
            </w:r>
          </w:p>
        </w:tc>
        <w:tc>
          <w:tcPr>
            <w:tcW w:w="3180" w:type="dxa"/>
            <w:vAlign w:val="bottom"/>
          </w:tcPr>
          <w:p>
            <w:pPr>
              <w:ind w:left="140"/>
              <w:spacing w:after="0"/>
              <w:rPr>
                <w:sz w:val="20"/>
                <w:szCs w:val="20"/>
                <w:color w:val="auto"/>
              </w:rPr>
            </w:pPr>
            <w:r>
              <w:rPr>
                <w:rFonts w:ascii="Arial" w:cs="Arial" w:eastAsia="Arial" w:hAnsi="Arial"/>
                <w:sz w:val="20"/>
                <w:szCs w:val="20"/>
                <w:color w:val="auto"/>
              </w:rPr>
              <w:t>Minnesota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OWF Five,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Minnesota</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OWF Four, LLC</w:t>
            </w:r>
          </w:p>
        </w:tc>
        <w:tc>
          <w:tcPr>
            <w:tcW w:w="3180" w:type="dxa"/>
            <w:vAlign w:val="bottom"/>
          </w:tcPr>
          <w:p>
            <w:pPr>
              <w:ind w:left="140"/>
              <w:spacing w:after="0"/>
              <w:rPr>
                <w:sz w:val="20"/>
                <w:szCs w:val="20"/>
                <w:color w:val="auto"/>
              </w:rPr>
            </w:pPr>
            <w:r>
              <w:rPr>
                <w:rFonts w:ascii="Arial" w:cs="Arial" w:eastAsia="Arial" w:hAnsi="Arial"/>
                <w:sz w:val="20"/>
                <w:szCs w:val="20"/>
                <w:color w:val="auto"/>
              </w:rPr>
              <w:t>Minnesota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OWF One,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Minnesota</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OWF Seven, LLC</w:t>
            </w:r>
          </w:p>
        </w:tc>
        <w:tc>
          <w:tcPr>
            <w:tcW w:w="3180" w:type="dxa"/>
            <w:vAlign w:val="bottom"/>
          </w:tcPr>
          <w:p>
            <w:pPr>
              <w:ind w:left="140"/>
              <w:spacing w:after="0"/>
              <w:rPr>
                <w:sz w:val="20"/>
                <w:szCs w:val="20"/>
                <w:color w:val="auto"/>
              </w:rPr>
            </w:pPr>
            <w:r>
              <w:rPr>
                <w:rFonts w:ascii="Arial" w:cs="Arial" w:eastAsia="Arial" w:hAnsi="Arial"/>
                <w:sz w:val="20"/>
                <w:szCs w:val="20"/>
                <w:color w:val="auto"/>
              </w:rPr>
              <w:t>Minnesota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OWF Six,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Minnesota</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OWF Three, LLC</w:t>
            </w:r>
          </w:p>
        </w:tc>
        <w:tc>
          <w:tcPr>
            <w:tcW w:w="3180" w:type="dxa"/>
            <w:vAlign w:val="bottom"/>
          </w:tcPr>
          <w:p>
            <w:pPr>
              <w:ind w:left="140"/>
              <w:spacing w:after="0"/>
              <w:rPr>
                <w:sz w:val="20"/>
                <w:szCs w:val="20"/>
                <w:color w:val="auto"/>
              </w:rPr>
            </w:pPr>
            <w:r>
              <w:rPr>
                <w:rFonts w:ascii="Arial" w:cs="Arial" w:eastAsia="Arial" w:hAnsi="Arial"/>
                <w:sz w:val="20"/>
                <w:szCs w:val="20"/>
                <w:color w:val="auto"/>
              </w:rPr>
              <w:t>Minnesota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OWF Two,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Minnesota</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Palo Alto County Wind Farm, LLC</w:t>
            </w:r>
          </w:p>
        </w:tc>
        <w:tc>
          <w:tcPr>
            <w:tcW w:w="3180" w:type="dxa"/>
            <w:vAlign w:val="bottom"/>
          </w:tcPr>
          <w:p>
            <w:pPr>
              <w:ind w:left="140"/>
              <w:spacing w:after="0"/>
              <w:rPr>
                <w:sz w:val="20"/>
                <w:szCs w:val="20"/>
                <w:color w:val="auto"/>
              </w:rPr>
            </w:pPr>
            <w:r>
              <w:rPr>
                <w:rFonts w:ascii="Arial" w:cs="Arial" w:eastAsia="Arial" w:hAnsi="Arial"/>
                <w:sz w:val="20"/>
                <w:szCs w:val="20"/>
                <w:color w:val="auto"/>
              </w:rPr>
              <w:t>Iowa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PESD Energy,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Arizona</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PFMG 2011 Finance Holdco,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PFMG Apple I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Pikes Peak Solar Garden I LLC</w:t>
            </w:r>
          </w:p>
        </w:tc>
        <w:tc>
          <w:tcPr>
            <w:tcW w:w="3180" w:type="dxa"/>
            <w:vAlign w:val="bottom"/>
          </w:tcPr>
          <w:p>
            <w:pPr>
              <w:ind w:left="140"/>
              <w:spacing w:after="0"/>
              <w:rPr>
                <w:sz w:val="20"/>
                <w:szCs w:val="20"/>
                <w:color w:val="auto"/>
              </w:rPr>
            </w:pPr>
            <w:r>
              <w:rPr>
                <w:rFonts w:ascii="Arial" w:cs="Arial" w:eastAsia="Arial" w:hAnsi="Arial"/>
                <w:sz w:val="20"/>
                <w:szCs w:val="20"/>
                <w:color w:val="auto"/>
              </w:rPr>
              <w:t>Colorado</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Pinnacle Wind,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PM Solar Holdings, LLC</w:t>
            </w:r>
          </w:p>
        </w:tc>
        <w:tc>
          <w:tcPr>
            <w:tcW w:w="3180" w:type="dxa"/>
            <w:vAlign w:val="bottom"/>
          </w:tcPr>
          <w:p>
            <w:pPr>
              <w:ind w:left="140"/>
              <w:spacing w:after="0"/>
              <w:rPr>
                <w:sz w:val="20"/>
                <w:szCs w:val="20"/>
                <w:color w:val="auto"/>
              </w:rPr>
            </w:pPr>
            <w:r>
              <w:rPr>
                <w:rFonts w:ascii="Arial" w:cs="Arial" w:eastAsia="Arial" w:hAnsi="Arial"/>
                <w:sz w:val="20"/>
                <w:szCs w:val="20"/>
                <w:color w:val="auto"/>
              </w:rPr>
              <w:t>California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Pond Road Solar,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Poverty Ridge Wind, LLC</w:t>
            </w:r>
          </w:p>
        </w:tc>
        <w:tc>
          <w:tcPr>
            <w:tcW w:w="3180" w:type="dxa"/>
            <w:vAlign w:val="bottom"/>
          </w:tcPr>
          <w:p>
            <w:pPr>
              <w:ind w:left="140"/>
              <w:spacing w:after="0"/>
              <w:rPr>
                <w:sz w:val="20"/>
                <w:szCs w:val="20"/>
                <w:color w:val="auto"/>
              </w:rPr>
            </w:pPr>
            <w:r>
              <w:rPr>
                <w:rFonts w:ascii="Arial" w:cs="Arial" w:eastAsia="Arial" w:hAnsi="Arial"/>
                <w:sz w:val="20"/>
                <w:szCs w:val="20"/>
                <w:color w:val="auto"/>
              </w:rPr>
              <w:t>Iowa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Sand Drag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San Juan Mesa Investments,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San Juan Mesa Wind Project,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SCWFD Energy, LLC</w:t>
            </w:r>
          </w:p>
        </w:tc>
        <w:tc>
          <w:tcPr>
            <w:tcW w:w="3180" w:type="dxa"/>
            <w:vAlign w:val="bottom"/>
          </w:tcPr>
          <w:p>
            <w:pPr>
              <w:ind w:left="140"/>
              <w:spacing w:after="0"/>
              <w:rPr>
                <w:sz w:val="20"/>
                <w:szCs w:val="20"/>
                <w:color w:val="auto"/>
              </w:rPr>
            </w:pPr>
            <w:r>
              <w:rPr>
                <w:rFonts w:ascii="Arial" w:cs="Arial" w:eastAsia="Arial" w:hAnsi="Arial"/>
                <w:sz w:val="20"/>
                <w:szCs w:val="20"/>
                <w:color w:val="auto"/>
              </w:rPr>
              <w:t>Arizona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Silver Lake Acres Wind Farm,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Iowa</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Sleeping Bear,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South Trent Wind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Spanish Fork Wind Park 2, LLC</w:t>
            </w:r>
          </w:p>
        </w:tc>
        <w:tc>
          <w:tcPr>
            <w:tcW w:w="3180" w:type="dxa"/>
            <w:vAlign w:val="bottom"/>
          </w:tcPr>
          <w:p>
            <w:pPr>
              <w:ind w:left="140"/>
              <w:spacing w:after="0"/>
              <w:rPr>
                <w:sz w:val="20"/>
                <w:szCs w:val="20"/>
                <w:color w:val="auto"/>
              </w:rPr>
            </w:pPr>
            <w:r>
              <w:rPr>
                <w:rFonts w:ascii="Arial" w:cs="Arial" w:eastAsia="Arial" w:hAnsi="Arial"/>
                <w:sz w:val="20"/>
                <w:szCs w:val="20"/>
                <w:color w:val="auto"/>
              </w:rPr>
              <w:t>Utah</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Spring Canyon Energy II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Spring Canyon Energy III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Spring Canyon Expansion Class B Holdings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Spring Canyon Expansion Holdings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Spring Canyon Expansion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Spring Canyon Interconnection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5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Statoil Energy Power/Pennsylvania Inc.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Pennsylvania</w:t>
            </w:r>
          </w:p>
        </w:tc>
      </w:tr>
      <w:tr>
        <w:trPr>
          <w:trHeight w:val="20"/>
        </w:trPr>
        <w:tc>
          <w:tcPr>
            <w:tcW w:w="8180" w:type="dxa"/>
            <w:vAlign w:val="bottom"/>
            <w:tcBorders>
              <w:left w:val="single" w:sz="8" w:color="C0C0C0"/>
              <w:right w:val="single" w:sz="8" w:color="C0C0C0"/>
            </w:tcBorders>
            <w:shd w:val="clear" w:color="auto" w:fill="C0C0C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ectPr>
          <w:pgSz w:w="11900" w:h="16838" w:orient="portrait"/>
          <w:cols w:equalWidth="0" w:num="1">
            <w:col w:w="11360"/>
          </w:cols>
          <w:pgMar w:left="280" w:top="714" w:right="259" w:bottom="1440" w:gutter="0" w:footer="0" w:header="0"/>
        </w:sectPr>
      </w:pPr>
    </w:p>
    <w:bookmarkStart w:id="128" w:name="page129"/>
    <w:bookmarkEnd w:id="1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Steel Bridge Solar,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Sun City Project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Sunrise View Wind Farm, LLC</w:t>
            </w:r>
          </w:p>
        </w:tc>
        <w:tc>
          <w:tcPr>
            <w:tcW w:w="3180" w:type="dxa"/>
            <w:vAlign w:val="bottom"/>
          </w:tcPr>
          <w:p>
            <w:pPr>
              <w:ind w:left="140"/>
              <w:spacing w:after="0"/>
              <w:rPr>
                <w:sz w:val="20"/>
                <w:szCs w:val="20"/>
                <w:color w:val="auto"/>
              </w:rPr>
            </w:pPr>
            <w:r>
              <w:rPr>
                <w:rFonts w:ascii="Arial" w:cs="Arial" w:eastAsia="Arial" w:hAnsi="Arial"/>
                <w:sz w:val="20"/>
                <w:szCs w:val="20"/>
                <w:color w:val="auto"/>
              </w:rPr>
              <w:t>Iowa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Sunset View Wind Farm,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Iowa</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Sutton Wind Energy, LLC</w:t>
            </w:r>
          </w:p>
        </w:tc>
        <w:tc>
          <w:tcPr>
            <w:tcW w:w="3180" w:type="dxa"/>
            <w:vAlign w:val="bottom"/>
          </w:tcPr>
          <w:p>
            <w:pPr>
              <w:ind w:left="140"/>
              <w:spacing w:after="0"/>
              <w:rPr>
                <w:sz w:val="20"/>
                <w:szCs w:val="20"/>
                <w:color w:val="auto"/>
              </w:rPr>
            </w:pPr>
            <w:r>
              <w:rPr>
                <w:rFonts w:ascii="Arial" w:cs="Arial" w:eastAsia="Arial" w:hAnsi="Arial"/>
                <w:sz w:val="20"/>
                <w:szCs w:val="20"/>
                <w:color w:val="auto"/>
              </w:rPr>
              <w:t>Iowa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TA- High Desert,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California</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Taloga Wind LLC</w:t>
            </w:r>
          </w:p>
        </w:tc>
        <w:tc>
          <w:tcPr>
            <w:tcW w:w="3180" w:type="dxa"/>
            <w:vAlign w:val="bottom"/>
          </w:tcPr>
          <w:p>
            <w:pPr>
              <w:ind w:left="140"/>
              <w:spacing w:after="0"/>
              <w:rPr>
                <w:sz w:val="20"/>
                <w:szCs w:val="20"/>
                <w:color w:val="auto"/>
              </w:rPr>
            </w:pPr>
            <w:r>
              <w:rPr>
                <w:rFonts w:ascii="Arial" w:cs="Arial" w:eastAsia="Arial" w:hAnsi="Arial"/>
                <w:sz w:val="20"/>
                <w:szCs w:val="20"/>
                <w:color w:val="auto"/>
              </w:rPr>
              <w:t>Oklahoma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Tapestry Wind,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Topeka Solar 1,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UB Fuel Cell,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Connecticut</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Vail Energy, LLC</w:t>
            </w:r>
          </w:p>
        </w:tc>
        <w:tc>
          <w:tcPr>
            <w:tcW w:w="3180" w:type="dxa"/>
            <w:vAlign w:val="bottom"/>
          </w:tcPr>
          <w:p>
            <w:pPr>
              <w:ind w:left="140"/>
              <w:spacing w:after="0"/>
              <w:rPr>
                <w:sz w:val="20"/>
                <w:szCs w:val="20"/>
                <w:color w:val="auto"/>
              </w:rPr>
            </w:pPr>
            <w:r>
              <w:rPr>
                <w:rFonts w:ascii="Arial" w:cs="Arial" w:eastAsia="Arial" w:hAnsi="Arial"/>
                <w:sz w:val="20"/>
                <w:szCs w:val="20"/>
                <w:color w:val="auto"/>
              </w:rPr>
              <w:t>Arizona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Viento Funding II,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Viento Funding,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Virgin Lake Wind Farm,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Iowa</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Walnut Creek Energy, LLC</w:t>
            </w:r>
          </w:p>
        </w:tc>
        <w:tc>
          <w:tcPr>
            <w:tcW w:w="3180" w:type="dxa"/>
            <w:vAlign w:val="bottom"/>
          </w:tcPr>
          <w:p>
            <w:pPr>
              <w:ind w:left="140"/>
              <w:spacing w:after="0"/>
              <w:rPr>
                <w:sz w:val="20"/>
                <w:szCs w:val="20"/>
                <w:color w:val="auto"/>
              </w:rPr>
            </w:pPr>
            <w:r>
              <w:rPr>
                <w:rFonts w:ascii="Arial" w:cs="Arial" w:eastAsia="Arial" w:hAnsi="Arial"/>
                <w:sz w:val="20"/>
                <w:szCs w:val="20"/>
                <w:color w:val="auto"/>
              </w:rPr>
              <w:t>Delaware</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WCEP Holdings,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Wildcat Energy, LLC</w:t>
            </w:r>
          </w:p>
        </w:tc>
        <w:tc>
          <w:tcPr>
            <w:tcW w:w="3180" w:type="dxa"/>
            <w:vAlign w:val="bottom"/>
          </w:tcPr>
          <w:p>
            <w:pPr>
              <w:ind w:left="140"/>
              <w:spacing w:after="0"/>
              <w:rPr>
                <w:sz w:val="20"/>
                <w:szCs w:val="20"/>
                <w:color w:val="auto"/>
              </w:rPr>
            </w:pPr>
            <w:r>
              <w:rPr>
                <w:rFonts w:ascii="Arial" w:cs="Arial" w:eastAsia="Arial" w:hAnsi="Arial"/>
                <w:sz w:val="20"/>
                <w:szCs w:val="20"/>
                <w:color w:val="auto"/>
              </w:rPr>
              <w:t>Arizona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Wildorado Interconnect,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Texas</w:t>
            </w:r>
          </w:p>
        </w:tc>
      </w:tr>
      <w:tr>
        <w:trPr>
          <w:trHeight w:val="254"/>
        </w:trPr>
        <w:tc>
          <w:tcPr>
            <w:tcW w:w="8180" w:type="dxa"/>
            <w:vAlign w:val="bottom"/>
            <w:tcBorders>
              <w:top w:val="single" w:sz="8" w:color="C0C0C0"/>
              <w:left w:val="single" w:sz="8" w:color="C0C0C0"/>
              <w:right w:val="single" w:sz="8" w:color="C0C0C0"/>
            </w:tcBorders>
          </w:tcPr>
          <w:p>
            <w:pPr>
              <w:ind w:left="80"/>
              <w:spacing w:after="0"/>
              <w:rPr>
                <w:sz w:val="20"/>
                <w:szCs w:val="20"/>
                <w:color w:val="auto"/>
              </w:rPr>
            </w:pPr>
            <w:r>
              <w:rPr>
                <w:rFonts w:ascii="Arial" w:cs="Arial" w:eastAsia="Arial" w:hAnsi="Arial"/>
                <w:sz w:val="20"/>
                <w:szCs w:val="20"/>
                <w:color w:val="auto"/>
              </w:rPr>
              <w:t>Wind Family Turbine, LLC</w:t>
            </w:r>
          </w:p>
        </w:tc>
        <w:tc>
          <w:tcPr>
            <w:tcW w:w="3180" w:type="dxa"/>
            <w:vAlign w:val="bottom"/>
          </w:tcPr>
          <w:p>
            <w:pPr>
              <w:ind w:left="140"/>
              <w:spacing w:after="0"/>
              <w:rPr>
                <w:sz w:val="20"/>
                <w:szCs w:val="20"/>
                <w:color w:val="auto"/>
              </w:rPr>
            </w:pPr>
            <w:r>
              <w:rPr>
                <w:rFonts w:ascii="Arial" w:cs="Arial" w:eastAsia="Arial" w:hAnsi="Arial"/>
                <w:sz w:val="20"/>
                <w:szCs w:val="20"/>
                <w:color w:val="auto"/>
              </w:rPr>
              <w:t>Iowa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r>
      <w:tr>
        <w:trPr>
          <w:trHeight w:val="277"/>
        </w:trPr>
        <w:tc>
          <w:tcPr>
            <w:tcW w:w="8180" w:type="dxa"/>
            <w:vAlign w:val="bottom"/>
            <w:tcBorders>
              <w:left w:val="single" w:sz="8" w:color="C0C0C0"/>
              <w:bottom w:val="single" w:sz="8" w:color="CCEEFF"/>
              <w:right w:val="single" w:sz="8" w:color="C0C0C0"/>
            </w:tcBorders>
            <w:shd w:val="clear" w:color="auto" w:fill="CCEEFF"/>
          </w:tcPr>
          <w:p>
            <w:pPr>
              <w:ind w:left="80"/>
              <w:spacing w:after="0"/>
              <w:rPr>
                <w:sz w:val="20"/>
                <w:szCs w:val="20"/>
                <w:color w:val="auto"/>
              </w:rPr>
            </w:pPr>
            <w:r>
              <w:rPr>
                <w:rFonts w:ascii="Arial" w:cs="Arial" w:eastAsia="Arial" w:hAnsi="Arial"/>
                <w:sz w:val="20"/>
                <w:szCs w:val="20"/>
                <w:color w:val="auto"/>
              </w:rPr>
              <w:t>WSD Solar Holdings, LLC</w:t>
            </w:r>
          </w:p>
        </w:tc>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Delaware</w:t>
            </w:r>
          </w:p>
        </w:tc>
      </w:tr>
      <w:tr>
        <w:trPr>
          <w:trHeight w:val="254"/>
        </w:trPr>
        <w:tc>
          <w:tcPr>
            <w:tcW w:w="8180" w:type="dxa"/>
            <w:vAlign w:val="bottom"/>
            <w:tcBorders>
              <w:top w:val="single" w:sz="8" w:color="C0C0C0"/>
              <w:left w:val="single" w:sz="8" w:color="C0C0C0"/>
              <w:right w:val="single" w:sz="8" w:color="C0C0C0"/>
            </w:tcBorders>
          </w:tcPr>
          <w:p>
            <w:pPr>
              <w:ind w:left="40"/>
              <w:spacing w:after="0"/>
              <w:rPr>
                <w:sz w:val="20"/>
                <w:szCs w:val="20"/>
                <w:color w:val="auto"/>
              </w:rPr>
            </w:pPr>
            <w:r>
              <w:rPr>
                <w:rFonts w:ascii="Arial" w:cs="Arial" w:eastAsia="Arial" w:hAnsi="Arial"/>
                <w:sz w:val="20"/>
                <w:szCs w:val="20"/>
                <w:color w:val="auto"/>
              </w:rPr>
              <w:t>Zontos Wind, LLC</w:t>
            </w:r>
          </w:p>
        </w:tc>
        <w:tc>
          <w:tcPr>
            <w:tcW w:w="3180" w:type="dxa"/>
            <w:vAlign w:val="bottom"/>
          </w:tcPr>
          <w:p>
            <w:pPr>
              <w:ind w:left="140"/>
              <w:spacing w:after="0"/>
              <w:rPr>
                <w:sz w:val="20"/>
                <w:szCs w:val="20"/>
                <w:color w:val="auto"/>
              </w:rPr>
            </w:pPr>
            <w:r>
              <w:rPr>
                <w:rFonts w:ascii="Arial" w:cs="Arial" w:eastAsia="Arial" w:hAnsi="Arial"/>
                <w:sz w:val="20"/>
                <w:szCs w:val="20"/>
                <w:color w:val="auto"/>
              </w:rPr>
              <w:t>Iowa</w:t>
            </w:r>
          </w:p>
        </w:tc>
      </w:tr>
      <w:tr>
        <w:trPr>
          <w:trHeight w:val="23"/>
        </w:trPr>
        <w:tc>
          <w:tcPr>
            <w:tcW w:w="8180" w:type="dxa"/>
            <w:vAlign w:val="bottom"/>
            <w:tcBorders>
              <w:left w:val="single" w:sz="8" w:color="C0C0C0"/>
              <w:bottom w:val="single" w:sz="8" w:color="C0C0C0"/>
              <w:right w:val="single" w:sz="8" w:color="C0C0C0"/>
            </w:tcBorders>
          </w:tcPr>
          <w:p>
            <w:pPr>
              <w:spacing w:after="0"/>
              <w:rPr>
                <w:sz w:val="2"/>
                <w:szCs w:val="2"/>
                <w:color w:val="auto"/>
              </w:rPr>
            </w:pPr>
          </w:p>
        </w:tc>
        <w:tc>
          <w:tcPr>
            <w:tcW w:w="3180" w:type="dxa"/>
            <w:vAlign w:val="bottom"/>
          </w:tcPr>
          <w:p>
            <w:pPr>
              <w:spacing w:after="0"/>
              <w:rPr>
                <w:sz w:val="2"/>
                <w:szCs w:val="2"/>
                <w:color w:val="auto"/>
              </w:rPr>
            </w:pPr>
          </w:p>
        </w:tc>
      </w:tr>
    </w:tbl>
    <w:p>
      <w:pPr>
        <w:sectPr>
          <w:pgSz w:w="11900" w:h="16838" w:orient="portrait"/>
          <w:cols w:equalWidth="0" w:num="1">
            <w:col w:w="11360"/>
          </w:cols>
          <w:pgMar w:left="280" w:top="714" w:right="259" w:bottom="1440" w:gutter="0" w:footer="0" w:header="0"/>
        </w:sectPr>
      </w:pPr>
    </w:p>
    <w:bookmarkStart w:id="129" w:name="page130"/>
    <w:bookmarkEnd w:id="129"/>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Mauricio Gutierrez, certify that:</w:t>
      </w:r>
    </w:p>
    <w:p>
      <w:pPr>
        <w:spacing w:after="0" w:line="306"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MAURICIO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28213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Mauricio Gutierrez</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ectPr>
          <w:pgSz w:w="11900" w:h="16838" w:orient="portrait"/>
          <w:cols w:equalWidth="0" w:num="1">
            <w:col w:w="11420"/>
          </w:cols>
          <w:pgMar w:left="240" w:top="661" w:right="239" w:bottom="1440" w:gutter="0" w:footer="0" w:header="0"/>
        </w:sectPr>
      </w:pPr>
    </w:p>
    <w:bookmarkStart w:id="130" w:name="page131"/>
    <w:bookmarkEnd w:id="130"/>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306"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KIRKLAND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Kirkland B. Andrews</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ectPr>
          <w:pgSz w:w="11900" w:h="16838" w:orient="portrait"/>
          <w:cols w:equalWidth="0" w:num="1">
            <w:col w:w="11420"/>
          </w:cols>
          <w:pgMar w:left="240" w:top="661" w:right="239" w:bottom="1440" w:gutter="0" w:footer="0" w:header="0"/>
        </w:sectPr>
      </w:pPr>
    </w:p>
    <w:bookmarkStart w:id="131" w:name="page132"/>
    <w:bookmarkEnd w:id="131"/>
    <w:p>
      <w:pPr>
        <w:ind w:left="10280"/>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David Callen, certify that:</w:t>
      </w:r>
    </w:p>
    <w:p>
      <w:pPr>
        <w:spacing w:after="0" w:line="306"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David Callen</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ectPr>
          <w:pgSz w:w="11900" w:h="16838" w:orient="portrait"/>
          <w:cols w:equalWidth="0" w:num="1">
            <w:col w:w="11420"/>
          </w:cols>
          <w:pgMar w:left="240" w:top="580"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Annual Report of NRG Yield LLC on Form 10-K for the year ended December 31, 2015,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Form 10-K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Form 10-K fairly presents, in all material respects, the financial condition and results of operations of the Company as of the dates and for the periods expressed in the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MAURICIO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Mauricio Gutierrez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KIRKLAND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Kirkland B. Andrews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Callen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10-K or as a separate disclosure document.</w:t>
      </w:r>
    </w:p>
    <w:p>
      <w:pPr>
        <w:spacing w:after="0" w:line="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LLC and will be retained by NRG Yield LLC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x"/>
      <w:numFmt w:val="bullet"/>
      <w:start w:val="1"/>
    </w:lvl>
  </w:abstractNum>
  <w:abstractNum w:abstractNumId="1">
    <w:nsid w:val="3855585C"/>
    <w:multiLevelType w:val="hybridMultilevel"/>
    <w:lvl w:ilvl="0">
      <w:lvlJc w:val="left"/>
      <w:lvlText w:val="o"/>
      <w:numFmt w:val="bullet"/>
      <w:start w:val="1"/>
    </w:lvl>
  </w:abstractNum>
  <w:abstractNum w:abstractNumId="2">
    <w:nsid w:val="70A64E2A"/>
    <w:multiLevelType w:val="hybridMultilevel"/>
    <w:lvl w:ilvl="0">
      <w:lvlJc w:val="left"/>
      <w:lvlText w:val="\emdash "/>
      <w:numFmt w:val="bullet"/>
      <w:start w:val="1"/>
    </w:lvl>
  </w:abstractNum>
  <w:abstractNum w:abstractNumId="3">
    <w:nsid w:val="6A2342EC"/>
    <w:multiLevelType w:val="hybridMultilevel"/>
    <w:lvl w:ilvl="0">
      <w:lvlJc w:val="left"/>
      <w:lvlText w:val="(%1)"/>
      <w:numFmt w:val="lowerLetter"/>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1)"/>
      <w:numFmt w:val="lowerLetter"/>
      <w:start w:val="1"/>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1"/>
      <w:numFmt w:val="decimal"/>
      <w:start w:val="17"/>
    </w:lvl>
  </w:abstractNum>
  <w:abstractNum w:abstractNumId="13">
    <w:nsid w:val="38437FDB"/>
    <w:multiLevelType w:val="hybridMultilevel"/>
    <w:lvl w:ilvl="0">
      <w:lvlJc w:val="left"/>
      <w:lvlText w:val="(%1)"/>
      <w:numFmt w:val="lowerLetter"/>
      <w:start w:val="1"/>
    </w:lvl>
  </w:abstractNum>
  <w:abstractNum w:abstractNumId="14">
    <w:nsid w:val="7644A45C"/>
    <w:multiLevelType w:val="hybridMultilevel"/>
    <w:lvl w:ilvl="0">
      <w:lvlJc w:val="left"/>
      <w:lvlText w:val="(%1)"/>
      <w:numFmt w:val="lowerLetter"/>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emdash "/>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1)"/>
      <w:numFmt w:val="lowerLetter"/>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lowerLetter"/>
      <w:start w:val="2"/>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1)"/>
      <w:numFmt w:val="lowerLetter"/>
      <w:start w:val="1"/>
    </w:lvl>
  </w:abstractNum>
  <w:abstractNum w:abstractNumId="31">
    <w:nsid w:val="39386575"/>
    <w:multiLevelType w:val="hybridMultilevel"/>
    <w:lvl w:ilvl="0">
      <w:lvlJc w:val="left"/>
      <w:lvlText w:val="(%1)"/>
      <w:numFmt w:val="lowerLetter"/>
      <w:start w:val="1"/>
    </w:lvl>
  </w:abstractNum>
  <w:abstractNum w:abstractNumId="32">
    <w:nsid w:val="1CF10FD8"/>
    <w:multiLevelType w:val="hybridMultilevel"/>
    <w:lvl w:ilvl="0">
      <w:lvlJc w:val="left"/>
      <w:lvlText w:val="(%1)"/>
      <w:numFmt w:val="lowerLetter"/>
      <w:start w:val="1"/>
    </w:lvl>
  </w:abstractNum>
  <w:abstractNum w:abstractNumId="33">
    <w:nsid w:val="180115BE"/>
    <w:multiLevelType w:val="hybridMultilevel"/>
    <w:lvl w:ilvl="0">
      <w:lvlJc w:val="left"/>
      <w:lvlText w:val="(%1)"/>
      <w:numFmt w:val="lowerLetter"/>
      <w:start w:val="1"/>
    </w:lvl>
  </w:abstractNum>
  <w:abstractNum w:abstractNumId="34">
    <w:nsid w:val="235BA861"/>
    <w:multiLevelType w:val="hybridMultilevel"/>
    <w:lvl w:ilvl="0">
      <w:lvlJc w:val="left"/>
      <w:lvlText w:val="(%1)"/>
      <w:numFmt w:val="lowerLetter"/>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lowerLetter"/>
      <w:start w:val="1"/>
    </w:lvl>
  </w:abstractNum>
  <w:abstractNum w:abstractNumId="40">
    <w:nsid w:val="10233C99"/>
    <w:multiLevelType w:val="hybridMultilevel"/>
    <w:lvl w:ilvl="0">
      <w:lvlJc w:val="left"/>
      <w:lvlText w:val="(%1)"/>
      <w:numFmt w:val="lowerLetter"/>
      <w:start w:val="1"/>
    </w:lvl>
  </w:abstractNum>
  <w:abstractNum w:abstractNumId="41">
    <w:nsid w:val="3F6AB60F"/>
    <w:multiLevelType w:val="hybridMultilevel"/>
    <w:lvl w:ilvl="0">
      <w:lvlJc w:val="left"/>
      <w:lvlText w:val="(%1)"/>
      <w:numFmt w:val="lowerRoman"/>
      <w:start w:val="2"/>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1)"/>
      <w:numFmt w:val="lowerLetter"/>
      <w:start w:val="1"/>
    </w:lvl>
  </w:abstractNum>
  <w:abstractNum w:abstractNumId="44">
    <w:nsid w:val="77AE35EB"/>
    <w:multiLevelType w:val="hybridMultilevel"/>
    <w:lvl w:ilvl="0">
      <w:lvlJc w:val="left"/>
      <w:lvlText w:val="(%1)"/>
      <w:numFmt w:val="lowerRoman"/>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1)"/>
      <w:numFmt w:val="lowerLetter"/>
      <w:start w:val="1"/>
    </w:lvl>
  </w:abstractNum>
  <w:abstractNum w:abstractNumId="48">
    <w:nsid w:val="2F305DEF"/>
    <w:multiLevelType w:val="hybridMultilevel"/>
    <w:lvl w:ilvl="0">
      <w:lvlJc w:val="left"/>
      <w:lvlText w:val="(%1)"/>
      <w:numFmt w:val="lowerLetter"/>
      <w:start w:val="1"/>
    </w:lvl>
  </w:abstractNum>
  <w:abstractNum w:abstractNumId="49">
    <w:nsid w:val="25A70BF7"/>
    <w:multiLevelType w:val="hybridMultilevel"/>
    <w:lvl w:ilvl="0">
      <w:lvlJc w:val="left"/>
      <w:lvlText w:val="(%1)"/>
      <w:numFmt w:val="lowerLetter"/>
      <w:start w:val="1"/>
    </w:lvl>
  </w:abstractNum>
  <w:abstractNum w:abstractNumId="50">
    <w:nsid w:val="1DBABF00"/>
    <w:multiLevelType w:val="hybridMultilevel"/>
    <w:lvl w:ilvl="0">
      <w:lvlJc w:val="left"/>
      <w:lvlText w:val="(%1)"/>
      <w:numFmt w:val="lowerLetter"/>
      <w:start w:val="1"/>
    </w:lvl>
  </w:abstractNum>
  <w:abstractNum w:abstractNumId="51">
    <w:nsid w:val="4AD084E9"/>
    <w:multiLevelType w:val="hybridMultilevel"/>
    <w:lvl w:ilvl="0">
      <w:lvlJc w:val="left"/>
      <w:lvlText w:val="%1"/>
      <w:numFmt w:val="lowerLetter"/>
      <w:start w:val="1"/>
    </w:lvl>
    <w:lvl w:ilvl="1">
      <w:lvlJc w:val="left"/>
      <w:lvlText w:val="(%2)"/>
      <w:numFmt w:val="lowerLetter"/>
      <w:start w:val="1"/>
    </w:lvl>
  </w:abstractNum>
  <w:abstractNum w:abstractNumId="52">
    <w:nsid w:val="1F48EAA1"/>
    <w:multiLevelType w:val="hybridMultilevel"/>
    <w:lvl w:ilvl="0">
      <w:lvlJc w:val="left"/>
      <w:lvlText w:val="(%1)"/>
      <w:numFmt w:val="lowerLetter"/>
      <w:start w:val="2"/>
    </w:lvl>
    <w:lvl w:ilvl="1">
      <w:lvlJc w:val="left"/>
      <w:lvlText w:val="%2"/>
      <w:numFmt w:val="lowerLetter"/>
      <w:start w:val="1"/>
    </w:lvl>
  </w:abstractNum>
  <w:abstractNum w:abstractNumId="53">
    <w:nsid w:val="1381823A"/>
    <w:multiLevelType w:val="hybridMultilevel"/>
    <w:lvl w:ilvl="0">
      <w:lvlJc w:val="left"/>
      <w:lvlText w:val="%1"/>
      <w:numFmt w:val="lowerLetter"/>
      <w:start w:val="1"/>
    </w:lvl>
    <w:lvl w:ilvl="1">
      <w:lvlJc w:val="left"/>
      <w:lvlText w:val="(%2)"/>
      <w:numFmt w:val="lowerLetter"/>
      <w:start w:val="1"/>
    </w:lvl>
  </w:abstractNum>
  <w:abstractNum w:abstractNumId="54">
    <w:nsid w:val="5DB70AE5"/>
    <w:multiLevelType w:val="hybridMultilevel"/>
    <w:lvl w:ilvl="0">
      <w:lvlJc w:val="left"/>
      <w:lvlText w:val="(%1)"/>
      <w:numFmt w:val="lowerLetter"/>
      <w:start w:val="2"/>
    </w:lvl>
    <w:lvl w:ilvl="1">
      <w:lvlJc w:val="left"/>
      <w:lvlText w:val="%2"/>
      <w:numFmt w:val="lowerLetter"/>
      <w:start w:val="1"/>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lowerLetter"/>
      <w:start w:val="1"/>
    </w:lvl>
  </w:abstractNum>
  <w:abstractNum w:abstractNumId="57">
    <w:nsid w:val="15014ACB"/>
    <w:multiLevelType w:val="hybridMultilevel"/>
    <w:lvl w:ilvl="0">
      <w:lvlJc w:val="left"/>
      <w:lvlText w:val="(%1)"/>
      <w:numFmt w:val="lowerLetter"/>
      <w:start w:val="1"/>
    </w:lvl>
  </w:abstractNum>
  <w:abstractNum w:abstractNumId="58">
    <w:nsid w:val="5F5E7FD0"/>
    <w:multiLevelType w:val="hybridMultilevel"/>
    <w:lvl w:ilvl="0">
      <w:lvlJc w:val="left"/>
      <w:lvlText w:val="%1"/>
      <w:numFmt w:val="lowerLetter"/>
      <w:start w:val="1"/>
    </w:lvl>
    <w:lvl w:ilvl="1">
      <w:lvlJc w:val="left"/>
      <w:lvlText w:val="(%2)"/>
      <w:numFmt w:val="lowerLetter"/>
      <w:start w:val="1"/>
    </w:lvl>
  </w:abstractNum>
  <w:abstractNum w:abstractNumId="59">
    <w:nsid w:val="98A3148"/>
    <w:multiLevelType w:val="hybridMultilevel"/>
    <w:lvl w:ilvl="0">
      <w:lvlJc w:val="left"/>
      <w:lvlText w:val="(%1)"/>
      <w:numFmt w:val="lowerLetter"/>
      <w:start w:val="2"/>
    </w:lvl>
    <w:lvl w:ilvl="1">
      <w:lvlJc w:val="left"/>
      <w:lvlText w:val="%2"/>
      <w:numFmt w:val="lowerLetter"/>
      <w:start w:val="1"/>
    </w:lvl>
  </w:abstractNum>
  <w:abstractNum w:abstractNumId="60">
    <w:nsid w:val="799D0247"/>
    <w:multiLevelType w:val="hybridMultilevel"/>
    <w:lvl w:ilvl="0">
      <w:lvlJc w:val="left"/>
      <w:lvlText w:val="%1"/>
      <w:numFmt w:val="lowerLetter"/>
      <w:start w:val="1"/>
    </w:lvl>
    <w:lvl w:ilvl="1">
      <w:lvlJc w:val="left"/>
      <w:lvlText w:val="(%2)"/>
      <w:numFmt w:val="lowerLetter"/>
      <w:start w:val="1"/>
    </w:lvl>
  </w:abstractNum>
  <w:abstractNum w:abstractNumId="61">
    <w:nsid w:val="6B94764"/>
    <w:multiLevelType w:val="hybridMultilevel"/>
    <w:lvl w:ilvl="0">
      <w:lvlJc w:val="left"/>
      <w:lvlText w:val="(%1)"/>
      <w:numFmt w:val="lowerLetter"/>
      <w:start w:val="2"/>
    </w:lvl>
    <w:lvl w:ilvl="1">
      <w:lvlJc w:val="left"/>
      <w:lvlText w:val="%2"/>
      <w:numFmt w:val="lowerLetter"/>
      <w:start w:val="1"/>
    </w:lvl>
  </w:abstractNum>
  <w:abstractNum w:abstractNumId="62">
    <w:nsid w:val="42C296BD"/>
    <w:multiLevelType w:val="hybridMultilevel"/>
    <w:lvl w:ilvl="0">
      <w:lvlJc w:val="left"/>
      <w:lvlText w:val="%1"/>
      <w:numFmt w:val="lowerLetter"/>
      <w:start w:val="1"/>
    </w:lvl>
    <w:lvl w:ilvl="1">
      <w:lvlJc w:val="left"/>
      <w:lvlText w:val="(%2)"/>
      <w:numFmt w:val="lowerLetter"/>
      <w:start w:val="1"/>
    </w:lvl>
  </w:abstractNum>
  <w:abstractNum w:abstractNumId="63">
    <w:nsid w:val="168E121F"/>
    <w:multiLevelType w:val="hybridMultilevel"/>
    <w:lvl w:ilvl="0">
      <w:lvlJc w:val="left"/>
      <w:lvlText w:val="(%1)"/>
      <w:numFmt w:val="lowerLetter"/>
      <w:start w:val="2"/>
    </w:lvl>
    <w:lvl w:ilvl="1">
      <w:lvlJc w:val="left"/>
      <w:lvlText w:val="%2"/>
      <w:numFmt w:val="lowerLetter"/>
      <w:start w:val="1"/>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lowerLetter"/>
      <w:start w:val="1"/>
    </w:lvl>
    <w:lvl w:ilvl="1">
      <w:lvlJc w:val="left"/>
      <w:lvlText w:val="(%2)"/>
      <w:numFmt w:val="lowerLetter"/>
      <w:start w:val="1"/>
    </w:lvl>
  </w:abstractNum>
  <w:abstractNum w:abstractNumId="66">
    <w:nsid w:val="5DC79EA8"/>
    <w:multiLevelType w:val="hybridMultilevel"/>
    <w:lvl w:ilvl="0">
      <w:lvlJc w:val="left"/>
      <w:lvlText w:val="(%1)"/>
      <w:numFmt w:val="lowerLetter"/>
      <w:start w:val="2"/>
    </w:lvl>
    <w:lvl w:ilvl="1">
      <w:lvlJc w:val="left"/>
      <w:lvlText w:val="%2"/>
      <w:numFmt w:val="lowerLetter"/>
      <w:start w:val="1"/>
    </w:lvl>
  </w:abstractNum>
  <w:abstractNum w:abstractNumId="67">
    <w:nsid w:val="540A471C"/>
    <w:multiLevelType w:val="hybridMultilevel"/>
    <w:lvl w:ilvl="0">
      <w:lvlJc w:val="left"/>
      <w:lvlText w:val="%1"/>
      <w:numFmt w:val="lowerLetter"/>
      <w:start w:val="1"/>
    </w:lvl>
    <w:lvl w:ilvl="1">
      <w:lvlJc w:val="left"/>
      <w:lvlText w:val="(%2)"/>
      <w:numFmt w:val="lowerLetter"/>
      <w:start w:val="1"/>
    </w:lvl>
  </w:abstractNum>
  <w:abstractNum w:abstractNumId="68">
    <w:nsid w:val="7BD3EE7B"/>
    <w:multiLevelType w:val="hybridMultilevel"/>
    <w:lvl w:ilvl="0">
      <w:lvlJc w:val="left"/>
      <w:lvlText w:val="(%1)"/>
      <w:numFmt w:val="lowerLetter"/>
      <w:start w:val="2"/>
    </w:lvl>
    <w:lvl w:ilvl="1">
      <w:lvlJc w:val="left"/>
      <w:lvlText w:val="%2"/>
      <w:numFmt w:val="lowerLetter"/>
      <w:start w:val="1"/>
    </w:lvl>
  </w:abstractNum>
  <w:abstractNum w:abstractNumId="69">
    <w:nsid w:val="51D9C564"/>
    <w:multiLevelType w:val="hybridMultilevel"/>
    <w:lvl w:ilvl="0">
      <w:lvlJc w:val="left"/>
      <w:lvlText w:val="%1"/>
      <w:numFmt w:val="lowerLetter"/>
      <w:start w:val="1"/>
    </w:lvl>
    <w:lvl w:ilvl="1">
      <w:lvlJc w:val="left"/>
      <w:lvlText w:val="(%2)"/>
      <w:numFmt w:val="lowerLetter"/>
      <w:start w:val="1"/>
    </w:lvl>
  </w:abstractNum>
  <w:abstractNum w:abstractNumId="70">
    <w:nsid w:val="613EFDC5"/>
    <w:multiLevelType w:val="hybridMultilevel"/>
    <w:lvl w:ilvl="0">
      <w:lvlJc w:val="left"/>
      <w:lvlText w:val="(%1)"/>
      <w:numFmt w:val="lowerLetter"/>
      <w:start w:val="2"/>
    </w:lvl>
    <w:lvl w:ilvl="1">
      <w:lvlJc w:val="left"/>
      <w:lvlText w:val="%2"/>
      <w:numFmt w:val="lowerLetter"/>
      <w:start w:val="1"/>
    </w:lvl>
  </w:abstractNum>
  <w:abstractNum w:abstractNumId="71">
    <w:nsid w:val="BF72B14"/>
    <w:multiLevelType w:val="hybridMultilevel"/>
    <w:lvl w:ilvl="0">
      <w:lvlJc w:val="left"/>
      <w:lvlText w:val="%1"/>
      <w:numFmt w:val="lowerLetter"/>
      <w:start w:val="1"/>
    </w:lvl>
    <w:lvl w:ilvl="1">
      <w:lvlJc w:val="left"/>
      <w:lvlText w:val="(%2)"/>
      <w:numFmt w:val="lowerLetter"/>
      <w:start w:val="1"/>
    </w:lvl>
  </w:abstractNum>
  <w:abstractNum w:abstractNumId="72">
    <w:nsid w:val="11447B73"/>
    <w:multiLevelType w:val="hybridMultilevel"/>
    <w:lvl w:ilvl="0">
      <w:lvlJc w:val="left"/>
      <w:lvlText w:val="(%1)"/>
      <w:numFmt w:val="lowerLetter"/>
      <w:start w:val="2"/>
    </w:lvl>
    <w:lvl w:ilvl="1">
      <w:lvlJc w:val="left"/>
      <w:lvlText w:val="%2"/>
      <w:numFmt w:val="lowerLetter"/>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2019-12-29T11:46:58Z</dcterms:created>
  <dcterms:modified xsi:type="dcterms:W3CDTF">2019-12-29T11:46:58Z</dcterms:modified>
</cp:coreProperties>
</file>